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Dodatek č. 2 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8"/>
          <w:szCs w:val="28"/>
        </w:rPr>
        <w:t>k Příkazní smlouvě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  <w:bCs/>
        </w:rPr>
        <w:t xml:space="preserve">Číslo smlouvy příkazce: </w:t>
        <w:tab/>
        <w:t>2/AQ/2017</w:t>
        <w:tab/>
        <w:tab/>
        <w:tab/>
        <w:t xml:space="preserve">           </w:t>
      </w:r>
    </w:p>
    <w:p>
      <w:pPr>
        <w:pStyle w:val="Normal"/>
        <w:rPr/>
      </w:pPr>
      <w:r>
        <w:rPr>
          <w:b/>
          <w:bCs/>
        </w:rPr>
        <w:t>Číslo smlouvy příkazníka:</w:t>
        <w:tab/>
        <w:t>005-2017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adpis3"/>
        <w:numPr>
          <w:ilvl w:val="0"/>
          <w:numId w:val="1"/>
        </w:numPr>
        <w:rPr/>
      </w:pPr>
      <w:r>
        <w:rPr/>
        <w:t>Smluvní strany</w:t>
      </w:r>
    </w:p>
    <w:p>
      <w:pPr>
        <w:pStyle w:val="Normal"/>
        <w:ind w:left="567" w:hanging="567"/>
        <w:jc w:val="both"/>
        <w:rPr/>
      </w:pPr>
      <w:r>
        <w:rPr/>
      </w:r>
    </w:p>
    <w:p>
      <w:pPr>
        <w:pStyle w:val="Normal"/>
        <w:numPr>
          <w:ilvl w:val="1"/>
          <w:numId w:val="1"/>
        </w:numPr>
        <w:jc w:val="both"/>
        <w:rPr/>
      </w:pPr>
      <w:r>
        <w:rPr/>
        <w:t>Příkazce:</w:t>
        <w:tab/>
      </w:r>
      <w:r>
        <w:rPr>
          <w:b/>
          <w:bCs/>
        </w:rPr>
        <w:t>AQUACENTRUM, příspěvková organizace města Teplice</w:t>
      </w:r>
    </w:p>
    <w:p>
      <w:pPr>
        <w:pStyle w:val="Normal"/>
        <w:ind w:left="1416" w:firstLine="708"/>
        <w:jc w:val="both"/>
        <w:rPr/>
      </w:pPr>
      <w:r>
        <w:rPr/>
        <w:t>Aloise Jiráska 3149</w:t>
      </w:r>
    </w:p>
    <w:p>
      <w:pPr>
        <w:pStyle w:val="Normal"/>
        <w:ind w:left="1416" w:firstLine="708"/>
        <w:jc w:val="both"/>
        <w:rPr/>
      </w:pPr>
      <w:r>
        <w:rPr/>
        <w:t>415 01 Teplice</w:t>
      </w:r>
    </w:p>
    <w:p>
      <w:pPr>
        <w:pStyle w:val="Normal"/>
        <w:ind w:left="1416" w:firstLine="708"/>
        <w:jc w:val="both"/>
        <w:rPr/>
      </w:pPr>
      <w:r>
        <w:rPr/>
        <w:t>IČ: 68975490</w:t>
      </w:r>
    </w:p>
    <w:p>
      <w:pPr>
        <w:pStyle w:val="Normal"/>
        <w:ind w:left="1416" w:firstLine="708"/>
        <w:jc w:val="both"/>
        <w:rPr/>
      </w:pPr>
      <w:r>
        <w:rPr/>
        <w:t>DIČ: ----</w:t>
      </w:r>
    </w:p>
    <w:p>
      <w:pPr>
        <w:pStyle w:val="Normal"/>
        <w:ind w:left="1416" w:firstLine="708"/>
        <w:jc w:val="both"/>
        <w:rPr/>
      </w:pPr>
      <w:r>
        <w:rPr/>
        <w:t>Zastoupený: Ing. Michaelem Paraskou, ředitelem Aquacentra</w:t>
      </w:r>
    </w:p>
    <w:p>
      <w:pPr>
        <w:pStyle w:val="Normal"/>
        <w:ind w:left="1416" w:firstLine="708"/>
        <w:jc w:val="both"/>
        <w:rPr/>
      </w:pPr>
      <w:r>
        <w:rPr/>
        <w:t xml:space="preserve">Zástupce pověřený ve věcech </w:t>
      </w:r>
    </w:p>
    <w:p>
      <w:pPr>
        <w:pStyle w:val="Normal"/>
        <w:ind w:left="2124" w:firstLine="708"/>
        <w:jc w:val="both"/>
        <w:rPr/>
      </w:pPr>
      <w:r>
        <w:rPr/>
        <w:t>a/ smluvních:</w:t>
        <w:tab/>
        <w:tab/>
        <w:t xml:space="preserve">Ing. Michael Paraska </w:t>
      </w:r>
    </w:p>
    <w:p>
      <w:pPr>
        <w:pStyle w:val="Normal"/>
        <w:ind w:left="2124" w:firstLine="708"/>
        <w:jc w:val="both"/>
        <w:rPr/>
      </w:pPr>
      <w:r>
        <w:rPr/>
        <w:t>b/ technických:</w:t>
        <w:tab/>
        <w:t>Ing. Michael Paraska</w:t>
      </w:r>
    </w:p>
    <w:p>
      <w:pPr>
        <w:pStyle w:val="Normal"/>
        <w:ind w:left="2124" w:firstLine="708"/>
        <w:jc w:val="both"/>
        <w:rPr>
          <w:i/>
          <w:i/>
        </w:rPr>
      </w:pPr>
      <w:r>
        <w:rPr>
          <w:i/>
        </w:rPr>
      </w:r>
    </w:p>
    <w:p>
      <w:pPr>
        <w:pStyle w:val="Normal"/>
        <w:ind w:left="2124" w:firstLine="708"/>
        <w:jc w:val="both"/>
        <w:rPr>
          <w:i/>
          <w:i/>
        </w:rPr>
      </w:pPr>
      <w:r>
        <w:rPr>
          <w:i/>
        </w:rPr>
      </w:r>
    </w:p>
    <w:p>
      <w:pPr>
        <w:pStyle w:val="Normal"/>
        <w:numPr>
          <w:ilvl w:val="1"/>
          <w:numId w:val="1"/>
        </w:numPr>
        <w:jc w:val="both"/>
        <w:rPr/>
      </w:pPr>
      <w:r>
        <w:rPr/>
        <w:t>Příkazník:</w:t>
        <w:tab/>
      </w:r>
      <w:r>
        <w:rPr>
          <w:b/>
          <w:bCs/>
        </w:rPr>
        <w:t>Ing. Tomáš Vrátil</w:t>
      </w:r>
    </w:p>
    <w:p>
      <w:pPr>
        <w:pStyle w:val="Normal"/>
        <w:ind w:left="1416" w:firstLine="708"/>
        <w:jc w:val="both"/>
        <w:rPr/>
      </w:pPr>
      <w:r>
        <w:rPr/>
        <w:t>Nová cesta 3048</w:t>
      </w:r>
    </w:p>
    <w:p>
      <w:pPr>
        <w:pStyle w:val="Normal"/>
        <w:ind w:left="1416" w:firstLine="708"/>
        <w:jc w:val="both"/>
        <w:rPr/>
      </w:pPr>
      <w:r>
        <w:rPr/>
        <w:t>415 01 Teplice</w:t>
      </w:r>
    </w:p>
    <w:p>
      <w:pPr>
        <w:pStyle w:val="Normal"/>
        <w:ind w:left="1416" w:firstLine="708"/>
        <w:jc w:val="both"/>
        <w:rPr/>
      </w:pPr>
      <w:r>
        <w:rPr/>
        <w:t>IČ: 47304707</w:t>
      </w:r>
    </w:p>
    <w:p>
      <w:pPr>
        <w:pStyle w:val="Normal"/>
        <w:ind w:left="1416" w:firstLine="708"/>
        <w:jc w:val="both"/>
        <w:rPr/>
      </w:pPr>
      <w:r>
        <w:rPr/>
        <w:t>DIČ: CZ640831459</w:t>
      </w:r>
    </w:p>
    <w:p>
      <w:pPr>
        <w:pStyle w:val="NoSpacing"/>
        <w:rPr/>
      </w:pPr>
      <w:r>
        <w:rPr>
          <w:rFonts w:ascii="Times New Roman" w:hAnsi="Times New Roman"/>
          <w:sz w:val="24"/>
          <w:szCs w:val="24"/>
        </w:rPr>
        <w:tab/>
        <w:tab/>
      </w:r>
    </w:p>
    <w:p>
      <w:pPr>
        <w:pStyle w:val="NoSpacing"/>
        <w:rPr/>
      </w:pPr>
      <w:r>
        <w:rPr/>
      </w:r>
    </w:p>
    <w:p>
      <w:pPr>
        <w:pStyle w:val="Tlotextu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Tlotextu"/>
        <w:jc w:val="center"/>
        <w:rPr>
          <w:b/>
          <w:b/>
          <w:bCs/>
        </w:rPr>
      </w:pPr>
      <w:r>
        <w:rPr>
          <w:b/>
          <w:bCs/>
        </w:rPr>
        <w:t>I.</w:t>
      </w:r>
      <w:r>
        <w:rPr>
          <w:rFonts w:ascii="Times New Roman" w:hAnsi="Times New Roman"/>
          <w:b/>
          <w:bCs/>
        </w:rPr>
        <w:t xml:space="preserve"> Úvodní ustanovení</w:t>
      </w:r>
    </w:p>
    <w:p>
      <w:pPr>
        <w:pStyle w:val="Tlotextu"/>
        <w:jc w:val="both"/>
        <w:rPr/>
      </w:pPr>
      <w:r>
        <w:rPr>
          <w:rFonts w:ascii="Times New Roman" w:hAnsi="Times New Roman"/>
        </w:rPr>
        <w:t xml:space="preserve">Výše uvedené smluvní strany uzavřely dne </w:t>
      </w:r>
      <w:r>
        <w:rPr>
          <w:rFonts w:cs="Times New Roman" w:ascii="Times New Roman" w:hAnsi="Times New Roman"/>
        </w:rPr>
        <w:t xml:space="preserve">25.09.2017 </w:t>
      </w:r>
      <w:r>
        <w:rPr>
          <w:rFonts w:ascii="Times New Roman" w:hAnsi="Times New Roman"/>
        </w:rPr>
        <w:t xml:space="preserve"> Příkazní  smlouvu (</w:t>
      </w:r>
      <w:r>
        <w:rPr>
          <w:rFonts w:ascii="Times New Roman" w:hAnsi="Times New Roman"/>
          <w:i/>
          <w:iCs/>
        </w:rPr>
        <w:t xml:space="preserve">Číslo smlouvy příkazce: 2/AQ/2017,Číslo smlouvy příkazníka: 005-2017) </w:t>
      </w:r>
      <w:r>
        <w:rPr>
          <w:rFonts w:ascii="Times New Roman" w:hAnsi="Times New Roman"/>
        </w:rPr>
        <w:t>označenu dále pro zjednodušení v tomto dodatku jen jako „</w:t>
      </w:r>
      <w:r>
        <w:rPr>
          <w:rFonts w:ascii="Times New Roman" w:hAnsi="Times New Roman"/>
          <w:i/>
          <w:iCs/>
        </w:rPr>
        <w:t>S</w:t>
      </w:r>
      <w:r>
        <w:rPr>
          <w:rFonts w:ascii="Times New Roman" w:hAnsi="Times New Roman"/>
        </w:rPr>
        <w:t xml:space="preserve">mlouva“, na jejímž základě se Příkazník zavázal provádět pro Příkazce výkon technického dozoru investora na akci AQUACENTRUM Teplice – Dětský svět (rekonstrukce a přístavba).  </w:t>
      </w:r>
      <w:r>
        <w:rPr>
          <w:rFonts w:cs="Times New Roman" w:ascii="Times New Roman" w:hAnsi="Times New Roman"/>
        </w:rPr>
        <w:t xml:space="preserve">Smlouva byla uzavřena na dobu určitou do 2.1.2019 a Dodatkem č.1 prodloužena do 30.03.2019. </w:t>
      </w:r>
    </w:p>
    <w:p>
      <w:pPr>
        <w:pStyle w:val="Tlotextu"/>
        <w:jc w:val="both"/>
        <w:rPr/>
      </w:pPr>
      <w:r>
        <w:rPr>
          <w:rFonts w:cs="Times New Roman" w:ascii="Times New Roman" w:hAnsi="Times New Roman"/>
        </w:rPr>
        <w:t>S ohledem na prodloužení termínu dokončení stavby ze strany zhotovitele do 14.04. 2019 uzavírají smluvní strany tento dodatek, kterým se mění doba určitá, na kterou byla Smlouva uzavřena a cena plnění (Úplata).</w:t>
      </w:r>
    </w:p>
    <w:p>
      <w:pPr>
        <w:pStyle w:val="Tlotextu"/>
        <w:jc w:val="center"/>
        <w:rPr/>
      </w:pPr>
      <w:r>
        <w:rPr>
          <w:rFonts w:cs="Times New Roman" w:ascii="Times New Roman" w:hAnsi="Times New Roman"/>
          <w:b/>
          <w:bCs/>
        </w:rPr>
        <w:t>II. Předmět dodatku</w:t>
      </w:r>
    </w:p>
    <w:p>
      <w:pPr>
        <w:pStyle w:val="Tlotextu"/>
        <w:rPr>
          <w:rFonts w:ascii="Times New Roman" w:hAnsi="Times New Roman"/>
        </w:rPr>
      </w:pPr>
      <w:r>
        <w:rPr>
          <w:rFonts w:ascii="Times New Roman" w:hAnsi="Times New Roman"/>
        </w:rPr>
        <w:t>II.1  Ujednání odstavce 4.1. Smlouvy se mění tak, že zní :</w:t>
      </w:r>
    </w:p>
    <w:p>
      <w:pPr>
        <w:pStyle w:val="Tlotextu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„</w:t>
      </w:r>
      <w:r>
        <w:rPr>
          <w:rFonts w:ascii="Times New Roman" w:hAnsi="Times New Roman"/>
          <w:i/>
          <w:iCs/>
        </w:rPr>
        <w:t>4.1. Příkazník se zavazuje provádět činnosti v rozsahu čl. 3 této smlouvy po celou dobu realizace stavby,</w:t>
      </w:r>
      <w:bookmarkStart w:id="0" w:name="__DdeLink__361_2297109285"/>
      <w:r>
        <w:rPr>
          <w:rFonts w:ascii="Times New Roman" w:hAnsi="Times New Roman"/>
          <w:i/>
          <w:iCs/>
        </w:rPr>
        <w:t xml:space="preserve"> včetně doby k provedení kolaudace.</w:t>
      </w:r>
      <w:bookmarkEnd w:id="0"/>
    </w:p>
    <w:p>
      <w:pPr>
        <w:pStyle w:val="BodyTextIndent3"/>
        <w:tabs>
          <w:tab w:val="left" w:pos="567" w:leader="none"/>
        </w:tabs>
        <w:spacing w:before="0" w:after="120"/>
        <w:ind w:left="0" w:firstLine="360"/>
        <w:jc w:val="both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ab/>
        <w:t xml:space="preserve">Termín zahájení : </w:t>
        <w:tab/>
      </w:r>
      <w:r>
        <w:rPr>
          <w:rFonts w:ascii="Times New Roman" w:hAnsi="Times New Roman"/>
          <w:b/>
          <w:bCs/>
          <w:i/>
          <w:iCs/>
        </w:rPr>
        <w:t>3. 10. 2017</w:t>
      </w:r>
    </w:p>
    <w:p>
      <w:pPr>
        <w:pStyle w:val="Tlotextu"/>
        <w:rPr/>
      </w:pPr>
      <w:r>
        <w:rPr>
          <w:rFonts w:ascii="Times New Roman" w:hAnsi="Times New Roman"/>
          <w:i/>
          <w:iCs/>
        </w:rPr>
        <w:t xml:space="preserve">         </w:t>
      </w:r>
      <w:r>
        <w:rPr>
          <w:rFonts w:ascii="Times New Roman" w:hAnsi="Times New Roman"/>
          <w:i/>
          <w:iCs/>
        </w:rPr>
        <w:t>Termín sjednaného dokončení pro zhotovitele:</w:t>
      </w:r>
      <w:r>
        <w:rPr>
          <w:rFonts w:ascii="Times New Roman" w:hAnsi="Times New Roman"/>
          <w:b/>
          <w:bCs/>
          <w:i/>
          <w:iCs/>
        </w:rPr>
        <w:t xml:space="preserve"> 14.04.2019</w:t>
      </w:r>
    </w:p>
    <w:p>
      <w:pPr>
        <w:pStyle w:val="Tlotextu"/>
        <w:rPr/>
      </w:pPr>
      <w:r>
        <w:rPr>
          <w:rFonts w:ascii="Times New Roman" w:hAnsi="Times New Roman"/>
          <w:i/>
          <w:iCs/>
        </w:rPr>
        <w:t>Příkazník bere na vědomí, že sjednané datum  dokončení (zhotovení díla)  pro zhotovitele nemusí být datem ukončení jeho činnosti dle této smlouvy, protože je povinen činnost vyvíjet  až do „provedení kolaudace.““</w:t>
      </w:r>
    </w:p>
    <w:p>
      <w:pPr>
        <w:pStyle w:val="Tlotextu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lotextu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</w:rPr>
        <w:t xml:space="preserve">III.2 Úplata příkazníka </w:t>
      </w:r>
    </w:p>
    <w:p>
      <w:pPr>
        <w:pStyle w:val="Tlotextu"/>
        <w:jc w:val="both"/>
        <w:rPr>
          <w:color w:val="auto"/>
        </w:rPr>
      </w:pPr>
      <w:r>
        <w:rPr>
          <w:rFonts w:ascii="Times New Roman" w:hAnsi="Times New Roman"/>
          <w:color w:val="auto"/>
        </w:rPr>
        <w:t>Pro období od 31.3.2019 do ukončení činnosti Příkazníka dle této smlouvy se sjednává pro výši jeho úplaty pravidlo jejího stanovení v závislosti na kalendářních týdnech, po které bude činnost vyvíjet, a to tak, že za kalendářní týden se sjednává úplata ve výši 22.717,50</w:t>
      </w:r>
      <w:bookmarkStart w:id="1" w:name="_GoBack"/>
      <w:bookmarkEnd w:id="1"/>
      <w:r>
        <w:rPr>
          <w:rFonts w:ascii="Times New Roman" w:hAnsi="Times New Roman"/>
          <w:color w:val="auto"/>
        </w:rPr>
        <w:t xml:space="preserve"> Kč bez DPH, ke které bude účtována DPH dle obecně závazných předpisů. Pokud nebude dokončen celý kalendářní týden, bude úplata vypočtena dle jednotlivých kalendářních dnů výkonu činnosti v nedokončeném týdnu.   </w:t>
      </w:r>
    </w:p>
    <w:p>
      <w:pPr>
        <w:pStyle w:val="Tlotextu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Tlotextu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III. Závěrečná ujednání</w:t>
      </w:r>
    </w:p>
    <w:p>
      <w:pPr>
        <w:pStyle w:val="Tlotextu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Tlotextu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III.1 Ostatní ujednání Smlouvy, jež nebyla dotčena tímto dodatkem zůstávají nadále v platnosti v původním znění.</w:t>
      </w:r>
    </w:p>
    <w:p>
      <w:pPr>
        <w:pStyle w:val="ListParagraph"/>
        <w:ind w:hanging="0"/>
        <w:jc w:val="both"/>
        <w:rPr/>
      </w:pPr>
      <w:r>
        <w:rPr>
          <w:rFonts w:cs="Times New Roman" w:ascii="Times New Roman" w:hAnsi="Times New Roman"/>
        </w:rPr>
        <w:t>III. 2  Dodatek se sepisuje ve dvou vyhotoveních s platností originálu, přičemž každá strana obdrží po jednom výtisku. Smluvní strany prohlašují, že si dodatek před podpisem řádně přečetly a porozuměly mu, což schvalují svými podpisy.</w:t>
      </w:r>
    </w:p>
    <w:p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hanging="0"/>
        <w:jc w:val="both"/>
        <w:rPr/>
      </w:pPr>
      <w:r>
        <w:rPr>
          <w:rFonts w:cs="Times New Roman" w:ascii="Times New Roman" w:hAnsi="Times New Roman"/>
        </w:rPr>
        <w:t>III.3 K účinnosti tohoto Dodatku je zapotřebí jeho zveřejnění v Registru smluv v souladu s obecně závaznými předpisy. Zveřejnění zajišťuje Příkazce.</w:t>
      </w:r>
    </w:p>
    <w:p>
      <w:pPr>
        <w:pStyle w:val="ListParagraph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12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12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V Teplicích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dne: </w:t>
        <w:tab/>
        <w:tab/>
        <w:tab/>
        <w:tab/>
        <w:tab/>
        <w:tab/>
        <w:t xml:space="preserve">V Teplicích dne: </w:t>
      </w:r>
    </w:p>
    <w:p>
      <w:pPr>
        <w:pStyle w:val="Normal"/>
        <w:spacing w:before="0" w:after="12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12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12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ab/>
        <w:tab/>
        <w:tab/>
        <w:tab/>
        <w:t>…………………………………</w:t>
      </w:r>
    </w:p>
    <w:p>
      <w:pPr>
        <w:pStyle w:val="Normal"/>
        <w:spacing w:before="0" w:after="120"/>
        <w:ind w:firstLine="36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Ing. Michael Paraska</w:t>
        <w:tab/>
        <w:tab/>
        <w:tab/>
        <w:tab/>
        <w:tab/>
        <w:t>Ing. Tomáš Vrátil</w:t>
      </w:r>
    </w:p>
    <w:p>
      <w:pPr>
        <w:pStyle w:val="Normal"/>
        <w:spacing w:before="0" w:after="120"/>
        <w:ind w:first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Příkazce</w:t>
        <w:tab/>
        <w:tab/>
        <w:tab/>
        <w:tab/>
        <w:tab/>
        <w:tab/>
        <w:tab/>
        <w:t>Příkazník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cs-CZ" w:eastAsia="zh-CN" w:bidi="hi-IN"/>
    </w:rPr>
  </w:style>
  <w:style w:type="paragraph" w:styleId="Nadpis3">
    <w:name w:val="Heading 3"/>
    <w:basedOn w:val="Normal"/>
    <w:qFormat/>
    <w:pPr>
      <w:keepNext w:val="true"/>
      <w:jc w:val="center"/>
      <w:outlineLvl w:val="2"/>
    </w:pPr>
    <w:rPr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6z0" w:customStyle="1">
    <w:name w:val="WW8Num6z0"/>
    <w:qFormat/>
    <w:rPr>
      <w:rFonts w:ascii="Times New Roman" w:hAnsi="Times New Roman" w:cs="Times New Roman"/>
      <w:b/>
      <w:sz w:val="20"/>
      <w:szCs w:val="20"/>
    </w:rPr>
  </w:style>
  <w:style w:type="character" w:styleId="WW8Num6z1" w:customStyle="1">
    <w:name w:val="WW8Num6z1"/>
    <w:qFormat/>
    <w:rPr>
      <w:rFonts w:ascii="Times New Roman" w:hAnsi="Times New Roman" w:cs="Times New Roman"/>
      <w:b w:val="false"/>
      <w:bCs w:val="false"/>
      <w:i/>
      <w:iCs/>
      <w:sz w:val="20"/>
      <w:szCs w:val="20"/>
    </w:rPr>
  </w:style>
  <w:style w:type="character" w:styleId="Symbolyproslovn" w:customStyle="1">
    <w:name w:val="Symboly pro číslování"/>
    <w:qFormat/>
    <w:rPr/>
  </w:style>
  <w:style w:type="character" w:styleId="ListLabel1" w:customStyle="1">
    <w:name w:val="ListLabel 1"/>
    <w:qFormat/>
    <w:rPr>
      <w:rFonts w:cs="Times New Roman"/>
      <w:b/>
      <w:sz w:val="20"/>
      <w:szCs w:val="20"/>
    </w:rPr>
  </w:style>
  <w:style w:type="character" w:styleId="ListLabel2" w:customStyle="1">
    <w:name w:val="ListLabel 2"/>
    <w:qFormat/>
    <w:rPr>
      <w:rFonts w:cs="Times New Roman"/>
      <w:b w:val="false"/>
      <w:bCs w:val="false"/>
      <w:i/>
      <w:iCs/>
      <w:sz w:val="20"/>
      <w:szCs w:val="20"/>
    </w:rPr>
  </w:style>
  <w:style w:type="character" w:styleId="ListLabel3" w:customStyle="1">
    <w:name w:val="ListLabel 3"/>
    <w:qFormat/>
    <w:rPr>
      <w:rFonts w:cs="Times New Roman"/>
      <w:b/>
      <w:sz w:val="20"/>
      <w:szCs w:val="20"/>
    </w:rPr>
  </w:style>
  <w:style w:type="character" w:styleId="ListLabel4" w:customStyle="1">
    <w:name w:val="ListLabel 4"/>
    <w:qFormat/>
    <w:rPr>
      <w:rFonts w:cs="Times New Roman"/>
      <w:b/>
      <w:sz w:val="20"/>
      <w:szCs w:val="20"/>
    </w:rPr>
  </w:style>
  <w:style w:type="character" w:styleId="ListLabel5" w:customStyle="1">
    <w:name w:val="ListLabel 5"/>
    <w:qFormat/>
    <w:rPr>
      <w:rFonts w:cs="Times New Roman"/>
      <w:b/>
      <w:sz w:val="20"/>
      <w:szCs w:val="20"/>
    </w:rPr>
  </w:style>
  <w:style w:type="character" w:styleId="ListLabel6" w:customStyle="1">
    <w:name w:val="ListLabel 6"/>
    <w:qFormat/>
    <w:rPr>
      <w:rFonts w:cs="Times New Roman"/>
      <w:b/>
      <w:sz w:val="20"/>
      <w:szCs w:val="20"/>
    </w:rPr>
  </w:style>
  <w:style w:type="character" w:styleId="ListLabel7" w:customStyle="1">
    <w:name w:val="ListLabel 7"/>
    <w:qFormat/>
    <w:rPr>
      <w:rFonts w:cs="Times New Roman"/>
      <w:b/>
      <w:sz w:val="20"/>
      <w:szCs w:val="20"/>
    </w:rPr>
  </w:style>
  <w:style w:type="character" w:styleId="ListLabel8" w:customStyle="1">
    <w:name w:val="ListLabel 8"/>
    <w:qFormat/>
    <w:rPr>
      <w:rFonts w:cs="Times New Roman"/>
      <w:b/>
      <w:sz w:val="20"/>
      <w:szCs w:val="20"/>
    </w:rPr>
  </w:style>
  <w:style w:type="character" w:styleId="ListLabel9" w:customStyle="1">
    <w:name w:val="ListLabel 9"/>
    <w:qFormat/>
    <w:rPr>
      <w:rFonts w:cs="Times New Roman"/>
      <w:b/>
      <w:sz w:val="20"/>
      <w:szCs w:val="20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sz w:val="24"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ListLabel10" w:customStyle="1">
    <w:name w:val="ListLabel 10"/>
    <w:qFormat/>
    <w:rPr>
      <w:sz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a1cd7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1a1cd7"/>
    <w:rPr>
      <w:szCs w:val="18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1a1cd7"/>
    <w:rPr>
      <w:b/>
      <w:bCs/>
      <w:szCs w:val="18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1a1cd7"/>
    <w:rPr>
      <w:rFonts w:ascii="Segoe UI" w:hAnsi="Segoe UI"/>
      <w:sz w:val="18"/>
      <w:szCs w:val="16"/>
    </w:rPr>
  </w:style>
  <w:style w:type="character" w:styleId="ListLabel11" w:customStyle="1">
    <w:name w:val="ListLabel 11"/>
    <w:qFormat/>
    <w:rPr>
      <w:sz w:val="24"/>
    </w:rPr>
  </w:style>
  <w:style w:type="character" w:styleId="ListLabel12" w:customStyle="1">
    <w:name w:val="ListLabel 12"/>
    <w:qFormat/>
    <w:rPr>
      <w:sz w:val="24"/>
    </w:rPr>
  </w:style>
  <w:style w:type="character" w:styleId="ListLabel13">
    <w:name w:val="ListLabel 13"/>
    <w:qFormat/>
    <w:rPr>
      <w:sz w:val="24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Spacing">
    <w:name w:val="No Spacing"/>
    <w:qFormat/>
    <w:pPr>
      <w:widowControl/>
      <w:bidi w:val="0"/>
      <w:jc w:val="left"/>
    </w:pPr>
    <w:rPr>
      <w:rFonts w:ascii="Calibri" w:hAnsi="Calibri" w:eastAsia="Times New Roman" w:cs="Times New Roman"/>
      <w:color w:val="auto"/>
      <w:kern w:val="2"/>
      <w:sz w:val="22"/>
      <w:szCs w:val="22"/>
      <w:lang w:bidi="ar-SA" w:val="cs-CZ" w:eastAsia="zh-CN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BodyTextIndent3">
    <w:name w:val="Body Text Indent 3"/>
    <w:basedOn w:val="Normal"/>
    <w:qFormat/>
    <w:pPr>
      <w:ind w:left="426" w:hanging="426"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1a1cd7"/>
    <w:pPr/>
    <w:rPr>
      <w:sz w:val="20"/>
      <w:szCs w:val="18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1a1cd7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1a1cd7"/>
    <w:pPr/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6" w:customStyle="1">
    <w:name w:val="WW8Num6"/>
    <w:qFormat/>
  </w:style>
  <w:style w:type="numbering" w:styleId="WW8Num3" w:customStyle="1">
    <w:name w:val="WW8Num3"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LibreOffice/6.0.4.2$Windows_X86_64 LibreOffice_project/9b0d9b32d5dcda91d2f1a96dc04c645c450872bf</Application>
  <Pages>2</Pages>
  <Words>411</Words>
  <Characters>2440</Characters>
  <CharactersWithSpaces>2877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2018-11-19T15:05:00Z</dcterms:created>
  <dc:creator>Pavel Mareček</dc:creator>
  <dc:description/>
  <dc:language>cs-CZ</dc:language>
  <cp:lastModifiedBy>Pavel Mareček</cp:lastModifiedBy>
  <dcterms:modified xsi:type="dcterms:W3CDTF">2019-02-27T16:05:42Z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