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2F1" w:rsidRDefault="007562F1" w:rsidP="007562F1">
      <w:pPr>
        <w:pStyle w:val="Nadpis1"/>
        <w:numPr>
          <w:ilvl w:val="0"/>
          <w:numId w:val="0"/>
        </w:numPr>
        <w:rPr>
          <w:b w:val="0"/>
          <w:i w:val="0"/>
          <w:caps w:val="0"/>
          <w:sz w:val="22"/>
        </w:rPr>
      </w:pPr>
      <w:r w:rsidRPr="007562F1">
        <w:rPr>
          <w:b w:val="0"/>
          <w:i w:val="0"/>
          <w:caps w:val="0"/>
          <w:sz w:val="22"/>
        </w:rPr>
        <w:t>Příloha č. 2 smlouvy</w:t>
      </w:r>
    </w:p>
    <w:p w:rsidR="00A92D67" w:rsidRDefault="00A92D67" w:rsidP="00A92D67">
      <w:pPr>
        <w:rPr>
          <w:lang w:eastAsia="en-US"/>
        </w:rPr>
      </w:pPr>
    </w:p>
    <w:p w:rsidR="00A92D67" w:rsidRPr="00A92D67" w:rsidRDefault="00A92D67" w:rsidP="00A92D67">
      <w:pPr>
        <w:jc w:val="center"/>
        <w:rPr>
          <w:b/>
          <w:sz w:val="28"/>
          <w:szCs w:val="28"/>
          <w:lang w:eastAsia="en-US"/>
        </w:rPr>
      </w:pPr>
      <w:r w:rsidRPr="00A92D67">
        <w:rPr>
          <w:b/>
          <w:sz w:val="28"/>
          <w:szCs w:val="28"/>
          <w:lang w:eastAsia="en-US"/>
        </w:rPr>
        <w:t>Podrobná specifikace</w:t>
      </w:r>
    </w:p>
    <w:p w:rsidR="007562F1" w:rsidRDefault="007562F1" w:rsidP="007562F1">
      <w:pPr>
        <w:rPr>
          <w:lang w:eastAsia="en-US"/>
        </w:rPr>
      </w:pPr>
    </w:p>
    <w:p w:rsidR="007562F1" w:rsidRPr="007562F1" w:rsidRDefault="007562F1" w:rsidP="007562F1">
      <w:pPr>
        <w:pStyle w:val="Odstavecseseznamem"/>
        <w:numPr>
          <w:ilvl w:val="0"/>
          <w:numId w:val="13"/>
        </w:numPr>
        <w:rPr>
          <w:b/>
          <w:i/>
          <w:sz w:val="28"/>
          <w:szCs w:val="28"/>
        </w:rPr>
      </w:pPr>
      <w:r w:rsidRPr="007562F1">
        <w:rPr>
          <w:b/>
          <w:i/>
          <w:sz w:val="28"/>
          <w:szCs w:val="28"/>
        </w:rPr>
        <w:t>SHRNUTÍ</w:t>
      </w:r>
    </w:p>
    <w:p w:rsidR="00A45A74" w:rsidRDefault="00BE2146" w:rsidP="00B47D90">
      <w:r>
        <w:t xml:space="preserve">Česká obchodní inspekce disponuje 470 licencemi </w:t>
      </w:r>
      <w:r w:rsidR="00A45A74" w:rsidRPr="00A45A74">
        <w:t>softwarov</w:t>
      </w:r>
      <w:r w:rsidR="00A45A74">
        <w:t>ého</w:t>
      </w:r>
      <w:r w:rsidR="00A45A74" w:rsidRPr="00A45A74">
        <w:t xml:space="preserve"> produkt</w:t>
      </w:r>
      <w:r w:rsidR="00A45A74">
        <w:t>u</w:t>
      </w:r>
      <w:r w:rsidR="00A45A74" w:rsidRPr="00A45A74">
        <w:t xml:space="preserve"> Varonis pro komplexní řízení a kvalifikaci nestrukturovaných elektronicky uložených informací, kterým zjišťuje, kdo a k jakým datům přistupuje, a identifikuje nadbytečná oprávnění a vlastníky dat</w:t>
      </w:r>
      <w:r w:rsidR="00716D4D">
        <w:t>,</w:t>
      </w:r>
      <w:r w:rsidR="00A45A74" w:rsidRPr="00A45A74">
        <w:t xml:space="preserve"> čímž mimo jiné omezuje možnost nekontrolovaného úniku informací. Pro další zvýšení bezpečnosti, zejména s ohledem na naplňování zákona č. 181/2014 Sb., o kybernetické bezpečnosti je třeba, v rámci technických opatření, zavést další modul tohoto produktu – </w:t>
      </w:r>
      <w:proofErr w:type="spellStart"/>
      <w:r w:rsidR="00A45A74" w:rsidRPr="00A45A74">
        <w:t>DatAdvantage</w:t>
      </w:r>
      <w:proofErr w:type="spellEnd"/>
      <w:r w:rsidR="00A45A74" w:rsidRPr="00A45A74">
        <w:t xml:space="preserve"> </w:t>
      </w:r>
      <w:proofErr w:type="spellStart"/>
      <w:r w:rsidR="00A45A74" w:rsidRPr="00A45A74">
        <w:t>Directory</w:t>
      </w:r>
      <w:proofErr w:type="spellEnd"/>
      <w:r w:rsidR="00A45A74" w:rsidRPr="00A45A74">
        <w:t xml:space="preserve"> </w:t>
      </w:r>
      <w:proofErr w:type="spellStart"/>
      <w:r w:rsidR="00A45A74" w:rsidRPr="00A45A74">
        <w:t>Services</w:t>
      </w:r>
      <w:proofErr w:type="spellEnd"/>
      <w:r w:rsidR="00A45A74">
        <w:t xml:space="preserve"> (dále také „modul“)</w:t>
      </w:r>
      <w:r w:rsidR="00A45A74" w:rsidRPr="00A45A74">
        <w:t xml:space="preserve">, kterým je možno auditovat a analyzovat změny a další aktivity prováděné v </w:t>
      </w:r>
      <w:proofErr w:type="spellStart"/>
      <w:r w:rsidR="00A45A74" w:rsidRPr="00A45A74">
        <w:t>Active</w:t>
      </w:r>
      <w:proofErr w:type="spellEnd"/>
      <w:r w:rsidR="00A45A74" w:rsidRPr="00A45A74">
        <w:t xml:space="preserve"> </w:t>
      </w:r>
      <w:proofErr w:type="spellStart"/>
      <w:r w:rsidR="00A45A74" w:rsidRPr="00A45A74">
        <w:t>Directory</w:t>
      </w:r>
      <w:proofErr w:type="spellEnd"/>
      <w:r w:rsidR="00A45A74" w:rsidRPr="00A45A74">
        <w:t xml:space="preserve"> </w:t>
      </w:r>
      <w:r w:rsidR="00A45A74">
        <w:t xml:space="preserve">(dále také „AD“) </w:t>
      </w:r>
      <w:r w:rsidR="00A45A74" w:rsidRPr="00A45A74">
        <w:t>instituce.</w:t>
      </w:r>
    </w:p>
    <w:p w:rsidR="00A45A74" w:rsidRDefault="00A45A74" w:rsidP="00B47D90"/>
    <w:p w:rsidR="00B47D90" w:rsidRDefault="00A45A74" w:rsidP="00B47D90">
      <w:r>
        <w:t>Centrální AD je provozováno na Windows serveru 2012 R2.</w:t>
      </w:r>
      <w:r w:rsidR="00620CC8">
        <w:t xml:space="preserve"> </w:t>
      </w:r>
      <w:r w:rsidR="00B47D90" w:rsidRPr="003525AB">
        <w:t xml:space="preserve">Základní doména je </w:t>
      </w:r>
      <w:r w:rsidR="00B47D90">
        <w:t>COI</w:t>
      </w:r>
      <w:r w:rsidR="00B47D90" w:rsidRPr="003525AB">
        <w:t>.CZ.</w:t>
      </w:r>
    </w:p>
    <w:p w:rsidR="00A45A74" w:rsidRPr="003525AB" w:rsidRDefault="00A45A74" w:rsidP="00B47D90"/>
    <w:p w:rsidR="00B47D90" w:rsidRPr="00850B98" w:rsidRDefault="00B47D90" w:rsidP="00A92D67">
      <w:pPr>
        <w:pStyle w:val="Nadpis1"/>
        <w:numPr>
          <w:ilvl w:val="0"/>
          <w:numId w:val="13"/>
        </w:numPr>
        <w:spacing w:before="240"/>
        <w:contextualSpacing w:val="0"/>
        <w:jc w:val="both"/>
      </w:pPr>
      <w:bookmarkStart w:id="0" w:name="_GoBack"/>
      <w:bookmarkEnd w:id="0"/>
      <w:r w:rsidRPr="00850B98">
        <w:t>Předmět plnění</w:t>
      </w:r>
    </w:p>
    <w:p w:rsidR="00B47D90" w:rsidRPr="003525AB" w:rsidRDefault="00B47D90" w:rsidP="00B47D90">
      <w:pPr>
        <w:rPr>
          <w:bCs/>
        </w:rPr>
      </w:pPr>
      <w:r w:rsidRPr="003525AB">
        <w:rPr>
          <w:bCs/>
          <w:lang w:val="x-none"/>
        </w:rPr>
        <w:t>Předmět plnění veřejné zakázky</w:t>
      </w:r>
      <w:r w:rsidRPr="003525AB">
        <w:rPr>
          <w:bCs/>
        </w:rPr>
        <w:t xml:space="preserve"> spočívá v dodávce (poskytnutí práva softwarové vybavení užít) a implementaci softwarového vybavení (dále také „systém“) pro </w:t>
      </w:r>
      <w:r w:rsidR="00A45A74">
        <w:rPr>
          <w:bCs/>
        </w:rPr>
        <w:t>záznam a audit všech aktivit prováděných v AD instituce</w:t>
      </w:r>
      <w:r w:rsidRPr="003525AB">
        <w:rPr>
          <w:bCs/>
        </w:rPr>
        <w:t>.</w:t>
      </w:r>
      <w:r>
        <w:rPr>
          <w:bCs/>
        </w:rPr>
        <w:t xml:space="preserve"> Zadavatel požaduje dodávku</w:t>
      </w:r>
      <w:r w:rsidRPr="000E61DF">
        <w:t xml:space="preserve"> </w:t>
      </w:r>
      <w:r w:rsidRPr="000E61DF">
        <w:rPr>
          <w:bCs/>
        </w:rPr>
        <w:t>hotového softwar</w:t>
      </w:r>
      <w:r>
        <w:rPr>
          <w:bCs/>
        </w:rPr>
        <w:t>u (nikoli vývoj), jako modulu k </w:t>
      </w:r>
      <w:r w:rsidRPr="000E61DF">
        <w:rPr>
          <w:bCs/>
        </w:rPr>
        <w:t>již zavedenému systému pro komplexní řízení a kvalifikaci nestrukturovaných elektronicky uložených informací</w:t>
      </w:r>
      <w:r>
        <w:rPr>
          <w:bCs/>
        </w:rPr>
        <w:t>.</w:t>
      </w:r>
    </w:p>
    <w:p w:rsidR="00B47D90" w:rsidRPr="00827755" w:rsidRDefault="00B47D90" w:rsidP="00B47D90">
      <w:pPr>
        <w:rPr>
          <w:bCs/>
          <w:sz w:val="10"/>
          <w:lang w:val="x-none"/>
        </w:rPr>
      </w:pPr>
      <w:bookmarkStart w:id="1" w:name="_Ref312151167"/>
    </w:p>
    <w:p w:rsidR="00B47D90" w:rsidRDefault="00B47D90" w:rsidP="00B47D90">
      <w:pPr>
        <w:rPr>
          <w:bCs/>
          <w:lang w:val="x-none"/>
        </w:rPr>
      </w:pPr>
      <w:r w:rsidRPr="003525AB">
        <w:rPr>
          <w:bCs/>
          <w:lang w:val="x-none"/>
        </w:rPr>
        <w:t>Předmět plnění se skládá z těchto dílčích částí:</w:t>
      </w:r>
    </w:p>
    <w:p w:rsidR="00B47D90" w:rsidRPr="00827755" w:rsidRDefault="00B47D90" w:rsidP="00B47D90">
      <w:pPr>
        <w:rPr>
          <w:bCs/>
          <w:sz w:val="10"/>
          <w:lang w:val="x-none"/>
        </w:rPr>
      </w:pPr>
    </w:p>
    <w:bookmarkEnd w:id="1"/>
    <w:p w:rsidR="00B47D90" w:rsidRPr="003525AB" w:rsidRDefault="00B47D90" w:rsidP="007D2DB6">
      <w:pPr>
        <w:numPr>
          <w:ilvl w:val="0"/>
          <w:numId w:val="5"/>
        </w:numPr>
        <w:ind w:right="0"/>
      </w:pPr>
      <w:r w:rsidRPr="003525AB">
        <w:t xml:space="preserve">poskytnutí </w:t>
      </w:r>
      <w:r>
        <w:t>softwaru</w:t>
      </w:r>
      <w:r w:rsidRPr="003525AB">
        <w:t xml:space="preserve"> (vč. licencí k užívání </w:t>
      </w:r>
      <w:r>
        <w:t>softwarového</w:t>
      </w:r>
      <w:r w:rsidRPr="003525AB">
        <w:t xml:space="preserve"> vybavení pro následnou implementaci v prostředí </w:t>
      </w:r>
      <w:r>
        <w:t>Z</w:t>
      </w:r>
      <w:r w:rsidRPr="003525AB">
        <w:t>adavatele</w:t>
      </w:r>
      <w:r w:rsidRPr="003525AB">
        <w:rPr>
          <w:lang w:val="x-none"/>
        </w:rPr>
        <w:t>;</w:t>
      </w:r>
    </w:p>
    <w:p w:rsidR="00B47D90" w:rsidRPr="003525AB" w:rsidRDefault="00B47D90" w:rsidP="007D2DB6">
      <w:pPr>
        <w:numPr>
          <w:ilvl w:val="0"/>
          <w:numId w:val="5"/>
        </w:numPr>
        <w:ind w:right="0"/>
      </w:pPr>
      <w:r w:rsidRPr="003525AB">
        <w:t>poskytnutí služeb</w:t>
      </w:r>
      <w:r>
        <w:t xml:space="preserve"> - </w:t>
      </w:r>
      <w:r w:rsidRPr="003525AB">
        <w:t xml:space="preserve">implementace a integrace dodaného </w:t>
      </w:r>
      <w:r>
        <w:t>softwaru</w:t>
      </w:r>
      <w:r w:rsidRPr="003525AB">
        <w:t xml:space="preserve"> do stávajícího prostředí;</w:t>
      </w:r>
    </w:p>
    <w:p w:rsidR="00B47D90" w:rsidRPr="003525AB" w:rsidRDefault="00B47D90" w:rsidP="007D2DB6">
      <w:pPr>
        <w:numPr>
          <w:ilvl w:val="0"/>
          <w:numId w:val="5"/>
        </w:numPr>
        <w:ind w:right="0"/>
      </w:pPr>
      <w:r w:rsidRPr="003525AB">
        <w:t xml:space="preserve">školení </w:t>
      </w:r>
      <w:r>
        <w:t>administrátorů</w:t>
      </w:r>
      <w:r w:rsidRPr="003525AB">
        <w:t xml:space="preserve"> pro řádné užívání poskytnutého plnění</w:t>
      </w:r>
      <w:r w:rsidR="00A45A74">
        <w:t xml:space="preserve"> v rozsahu 2 x 8 hodin</w:t>
      </w:r>
      <w:r w:rsidRPr="003525AB">
        <w:t>;</w:t>
      </w:r>
    </w:p>
    <w:p w:rsidR="00B47D90" w:rsidRPr="000A4064" w:rsidRDefault="00B47D90" w:rsidP="007D2DB6">
      <w:pPr>
        <w:numPr>
          <w:ilvl w:val="0"/>
          <w:numId w:val="5"/>
        </w:numPr>
        <w:ind w:right="0"/>
        <w:rPr>
          <w:lang w:val="x-none"/>
        </w:rPr>
      </w:pPr>
      <w:r w:rsidRPr="003525AB">
        <w:t xml:space="preserve">poskytnutí služeb podpory provozu na dodané plnění v délce </w:t>
      </w:r>
      <w:r w:rsidR="001F321E">
        <w:t>12 měsíců</w:t>
      </w:r>
      <w:r w:rsidRPr="003525AB">
        <w:t xml:space="preserve"> od řádného předání </w:t>
      </w:r>
      <w:r w:rsidRPr="003525AB">
        <w:rPr>
          <w:lang w:val="x-none"/>
        </w:rPr>
        <w:t>plnění</w:t>
      </w:r>
      <w:r w:rsidRPr="003525AB">
        <w:t>.</w:t>
      </w:r>
    </w:p>
    <w:p w:rsidR="00B47D90" w:rsidRPr="00620CC8" w:rsidRDefault="00B47D90" w:rsidP="007D2DB6">
      <w:pPr>
        <w:numPr>
          <w:ilvl w:val="0"/>
          <w:numId w:val="5"/>
        </w:numPr>
        <w:ind w:right="0"/>
        <w:rPr>
          <w:lang w:val="x-none"/>
        </w:rPr>
      </w:pPr>
      <w:r w:rsidRPr="003525AB">
        <w:t xml:space="preserve">poskytnutí služeb podpory provozu na </w:t>
      </w:r>
      <w:r>
        <w:t>již zavedený systém pro komplexní řízení a </w:t>
      </w:r>
      <w:r w:rsidRPr="00107EDF">
        <w:t>kvalifikaci nestrukturovaných elektronicky uložených informací</w:t>
      </w:r>
      <w:r w:rsidRPr="003525AB">
        <w:t xml:space="preserve"> v délce </w:t>
      </w:r>
      <w:r w:rsidR="001F321E">
        <w:t>12 měsíců</w:t>
      </w:r>
      <w:r>
        <w:t>.</w:t>
      </w:r>
    </w:p>
    <w:p w:rsidR="00620CC8" w:rsidRPr="003525AB" w:rsidRDefault="00620CC8" w:rsidP="00620CC8">
      <w:pPr>
        <w:ind w:right="0"/>
        <w:rPr>
          <w:lang w:val="x-none"/>
        </w:rPr>
      </w:pPr>
    </w:p>
    <w:p w:rsidR="00B47D90" w:rsidRDefault="00B47D90" w:rsidP="00A92D67">
      <w:pPr>
        <w:pStyle w:val="Nadpis1"/>
        <w:numPr>
          <w:ilvl w:val="0"/>
          <w:numId w:val="13"/>
        </w:numPr>
        <w:spacing w:before="240"/>
        <w:ind w:left="357" w:hanging="357"/>
        <w:contextualSpacing w:val="0"/>
        <w:jc w:val="both"/>
      </w:pPr>
      <w:r w:rsidRPr="003525AB">
        <w:t>Požadavky na funkcionalitu</w:t>
      </w:r>
    </w:p>
    <w:p w:rsidR="00B47D90" w:rsidRDefault="00B47D90" w:rsidP="00B47D90">
      <w:r>
        <w:t>Zadavatel požaduje následující funkcionalitu:</w:t>
      </w:r>
    </w:p>
    <w:p w:rsidR="00B47D90" w:rsidRPr="00850B98" w:rsidRDefault="00B47D90" w:rsidP="007D2DB6">
      <w:pPr>
        <w:pStyle w:val="Nadpis2"/>
        <w:keepNext w:val="0"/>
        <w:numPr>
          <w:ilvl w:val="0"/>
          <w:numId w:val="7"/>
        </w:numPr>
        <w:spacing w:before="120" w:after="120"/>
        <w:ind w:left="357" w:hanging="357"/>
        <w:jc w:val="both"/>
      </w:pPr>
      <w:r w:rsidRPr="00850B98">
        <w:t xml:space="preserve">Požadavky na </w:t>
      </w:r>
      <w:r w:rsidR="00A45A74">
        <w:t>viditelnost</w:t>
      </w:r>
    </w:p>
    <w:p w:rsidR="00B47D90" w:rsidRPr="003525AB" w:rsidRDefault="00B47D90" w:rsidP="007D2DB6">
      <w:pPr>
        <w:numPr>
          <w:ilvl w:val="0"/>
          <w:numId w:val="6"/>
        </w:numPr>
        <w:ind w:left="709" w:right="0"/>
      </w:pPr>
      <w:r>
        <w:t xml:space="preserve">Možnost </w:t>
      </w:r>
      <w:r w:rsidR="00A45A74">
        <w:t>zobrazení struktury adresářů v grafickém rozhraní</w:t>
      </w:r>
      <w:r>
        <w:t>,</w:t>
      </w:r>
    </w:p>
    <w:p w:rsidR="00B47D90" w:rsidRDefault="00B47D90" w:rsidP="007D2DB6">
      <w:pPr>
        <w:numPr>
          <w:ilvl w:val="0"/>
          <w:numId w:val="6"/>
        </w:numPr>
        <w:ind w:left="709" w:right="0"/>
      </w:pPr>
      <w:r>
        <w:t xml:space="preserve">Možnost </w:t>
      </w:r>
      <w:r w:rsidR="00A45A74">
        <w:t>zobrazení domén, podadresářů, počítačů, skupin a dalších objektů</w:t>
      </w:r>
      <w:r w:rsidR="008A3AC1">
        <w:t>.</w:t>
      </w:r>
    </w:p>
    <w:p w:rsidR="00B47D90" w:rsidRPr="000E61DF" w:rsidRDefault="00B47D90" w:rsidP="00B47D90"/>
    <w:p w:rsidR="00B47D90" w:rsidRDefault="00A45A74" w:rsidP="007D2DB6">
      <w:pPr>
        <w:pStyle w:val="Nadpis2"/>
        <w:keepNext w:val="0"/>
        <w:numPr>
          <w:ilvl w:val="0"/>
          <w:numId w:val="7"/>
        </w:numPr>
        <w:spacing w:before="120" w:after="120"/>
        <w:ind w:left="426" w:hanging="426"/>
        <w:jc w:val="both"/>
      </w:pPr>
      <w:r w:rsidRPr="00A45A74">
        <w:t>Kompletní auditní záznam</w:t>
      </w:r>
    </w:p>
    <w:p w:rsidR="00A45A74" w:rsidRDefault="00A45A74" w:rsidP="007D2DB6">
      <w:pPr>
        <w:pStyle w:val="Odstavecseseznamem"/>
        <w:numPr>
          <w:ilvl w:val="0"/>
          <w:numId w:val="9"/>
        </w:numPr>
      </w:pPr>
      <w:r>
        <w:t xml:space="preserve">Kompletní </w:t>
      </w:r>
      <w:proofErr w:type="spellStart"/>
      <w:r>
        <w:t>prohledávatelný</w:t>
      </w:r>
      <w:proofErr w:type="spellEnd"/>
      <w:r>
        <w:t xml:space="preserve"> záznam aktivit všech aktivních adresářů</w:t>
      </w:r>
      <w:r w:rsidR="008A3AC1">
        <w:t>,</w:t>
      </w:r>
    </w:p>
    <w:p w:rsidR="00A45A74" w:rsidRDefault="00A45A74" w:rsidP="007D2DB6">
      <w:pPr>
        <w:pStyle w:val="Odstavecseseznamem"/>
        <w:numPr>
          <w:ilvl w:val="0"/>
          <w:numId w:val="9"/>
        </w:numPr>
      </w:pPr>
      <w:r>
        <w:t>Možnost dohledat, kdo a kdy provedl změnu v aktivním adresáři</w:t>
      </w:r>
      <w:r w:rsidR="008A3AC1">
        <w:t>.</w:t>
      </w:r>
    </w:p>
    <w:p w:rsidR="00A45A74" w:rsidRDefault="00A45A74" w:rsidP="00A45A74">
      <w:pPr>
        <w:rPr>
          <w:lang w:eastAsia="en-US"/>
        </w:rPr>
      </w:pPr>
    </w:p>
    <w:p w:rsidR="00A45A74" w:rsidRPr="00212982" w:rsidRDefault="00A45A74" w:rsidP="007D2DB6">
      <w:pPr>
        <w:pStyle w:val="Odstavecseseznamem"/>
        <w:numPr>
          <w:ilvl w:val="0"/>
          <w:numId w:val="7"/>
        </w:numPr>
        <w:ind w:left="426" w:hanging="426"/>
        <w:rPr>
          <w:b/>
        </w:rPr>
      </w:pPr>
      <w:r w:rsidRPr="00212982">
        <w:rPr>
          <w:b/>
        </w:rPr>
        <w:t>Doporučení a modelování</w:t>
      </w:r>
    </w:p>
    <w:p w:rsidR="00212982" w:rsidRDefault="00212982" w:rsidP="007D2DB6">
      <w:pPr>
        <w:pStyle w:val="Odstavecseseznamem"/>
        <w:numPr>
          <w:ilvl w:val="0"/>
          <w:numId w:val="10"/>
        </w:numPr>
        <w:ind w:left="709" w:hanging="283"/>
      </w:pPr>
      <w:r>
        <w:t>Doporučení pro nepoužívané skupiny a členství ve skupinách</w:t>
      </w:r>
      <w:r w:rsidR="008A3AC1">
        <w:t>,</w:t>
      </w:r>
    </w:p>
    <w:p w:rsidR="00A45A74" w:rsidRDefault="00620CC8" w:rsidP="007D2DB6">
      <w:pPr>
        <w:pStyle w:val="Odstavecseseznamem"/>
        <w:numPr>
          <w:ilvl w:val="0"/>
          <w:numId w:val="10"/>
        </w:numPr>
        <w:ind w:left="709" w:hanging="283"/>
      </w:pPr>
      <w:r>
        <w:t xml:space="preserve">Možnost simulace změn ve skupinách v zabezpečeném prostředí </w:t>
      </w:r>
      <w:r w:rsidR="00212982">
        <w:t xml:space="preserve">bez vlivu na </w:t>
      </w:r>
      <w:r>
        <w:t xml:space="preserve">produkční </w:t>
      </w:r>
      <w:r w:rsidR="00212982">
        <w:t>prostředí</w:t>
      </w:r>
      <w:r w:rsidR="008A3AC1">
        <w:t>.</w:t>
      </w:r>
    </w:p>
    <w:p w:rsidR="00212982" w:rsidRDefault="00212982">
      <w:pPr>
        <w:ind w:left="0" w:right="0"/>
        <w:jc w:val="left"/>
      </w:pPr>
      <w:r>
        <w:br w:type="page"/>
      </w:r>
    </w:p>
    <w:p w:rsidR="00B47D90" w:rsidRPr="003525AB" w:rsidRDefault="00B47D90" w:rsidP="00A92D67">
      <w:pPr>
        <w:pStyle w:val="Nadpis1"/>
        <w:numPr>
          <w:ilvl w:val="0"/>
          <w:numId w:val="13"/>
        </w:numPr>
        <w:spacing w:before="240"/>
        <w:ind w:left="357" w:hanging="357"/>
        <w:contextualSpacing w:val="0"/>
        <w:jc w:val="both"/>
      </w:pPr>
      <w:r w:rsidRPr="003525AB">
        <w:lastRenderedPageBreak/>
        <w:t>Požadované služby</w:t>
      </w:r>
    </w:p>
    <w:p w:rsidR="00B47D90" w:rsidRPr="003525AB" w:rsidRDefault="00B47D90" w:rsidP="007D2DB6">
      <w:pPr>
        <w:pStyle w:val="Nadpis2"/>
        <w:keepNext w:val="0"/>
        <w:numPr>
          <w:ilvl w:val="0"/>
          <w:numId w:val="8"/>
        </w:numPr>
        <w:spacing w:before="120" w:after="120"/>
        <w:ind w:left="426"/>
        <w:jc w:val="both"/>
      </w:pPr>
      <w:r w:rsidRPr="003525AB">
        <w:t>Obecné požadavky</w:t>
      </w:r>
    </w:p>
    <w:p w:rsidR="00B47D90" w:rsidRDefault="00B47D90" w:rsidP="007D2DB6">
      <w:pPr>
        <w:numPr>
          <w:ilvl w:val="0"/>
          <w:numId w:val="6"/>
        </w:numPr>
        <w:ind w:left="709" w:right="0"/>
      </w:pPr>
      <w:r w:rsidRPr="00DA0A4F">
        <w:t>záruka na poskytnuté dodávky práce a služby v délce minimálně 12 měsíců,</w:t>
      </w:r>
    </w:p>
    <w:p w:rsidR="00DA0A4F" w:rsidRDefault="00DA0A4F" w:rsidP="007D2DB6">
      <w:pPr>
        <w:numPr>
          <w:ilvl w:val="0"/>
          <w:numId w:val="6"/>
        </w:numPr>
        <w:ind w:left="709" w:right="0"/>
      </w:pPr>
      <w:r>
        <w:t xml:space="preserve"> minimální reakční doba na servisní zásah od nahlášení incidentu (u</w:t>
      </w:r>
      <w:r w:rsidRPr="00DA0A4F">
        <w:t>chazeč může nabídnout lepší podmínky</w:t>
      </w:r>
      <w:r>
        <w:t>)</w:t>
      </w:r>
    </w:p>
    <w:p w:rsidR="00DA0A4F" w:rsidRPr="007A4E0A" w:rsidRDefault="00DA0A4F" w:rsidP="00DA0A4F">
      <w:pPr>
        <w:rPr>
          <w:sz w:val="1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2126"/>
        <w:gridCol w:w="2693"/>
        <w:gridCol w:w="2263"/>
      </w:tblGrid>
      <w:tr w:rsidR="00DA0A4F" w:rsidRPr="007A4E0A" w:rsidTr="00DA0A4F">
        <w:trPr>
          <w:trHeight w:val="762"/>
        </w:trPr>
        <w:tc>
          <w:tcPr>
            <w:tcW w:w="1276" w:type="dxa"/>
            <w:shd w:val="clear" w:color="auto" w:fill="808080" w:themeFill="background1" w:themeFillShade="80"/>
            <w:vAlign w:val="center"/>
          </w:tcPr>
          <w:p w:rsidR="00DA0A4F" w:rsidRPr="007A4E0A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Druh i</w:t>
            </w:r>
            <w:r w:rsidRPr="007A4E0A">
              <w:rPr>
                <w:color w:val="FFFFFF" w:themeColor="background1"/>
              </w:rPr>
              <w:t>ncidentu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:rsidR="00DA0A4F" w:rsidRPr="007A4E0A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center"/>
              <w:rPr>
                <w:color w:val="FFFFFF" w:themeColor="background1"/>
              </w:rPr>
            </w:pPr>
            <w:r w:rsidRPr="007A4E0A">
              <w:rPr>
                <w:color w:val="FFFFFF" w:themeColor="background1"/>
              </w:rPr>
              <w:t>Maximální doba odezvy</w:t>
            </w:r>
          </w:p>
        </w:tc>
        <w:tc>
          <w:tcPr>
            <w:tcW w:w="2693" w:type="dxa"/>
            <w:shd w:val="clear" w:color="auto" w:fill="808080" w:themeFill="background1" w:themeFillShade="80"/>
            <w:vAlign w:val="center"/>
          </w:tcPr>
          <w:p w:rsidR="00DA0A4F" w:rsidRPr="007A4E0A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center"/>
              <w:rPr>
                <w:color w:val="FFFFFF" w:themeColor="background1"/>
              </w:rPr>
            </w:pPr>
            <w:r w:rsidRPr="007A4E0A">
              <w:rPr>
                <w:color w:val="FFFFFF" w:themeColor="background1"/>
              </w:rPr>
              <w:t>Limitní doba zahájení servisního zásahu</w:t>
            </w:r>
          </w:p>
        </w:tc>
        <w:tc>
          <w:tcPr>
            <w:tcW w:w="2263" w:type="dxa"/>
            <w:shd w:val="clear" w:color="auto" w:fill="808080" w:themeFill="background1" w:themeFillShade="80"/>
            <w:vAlign w:val="center"/>
          </w:tcPr>
          <w:p w:rsidR="00DA0A4F" w:rsidRPr="007A4E0A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center"/>
              <w:rPr>
                <w:color w:val="FFFFFF" w:themeColor="background1"/>
              </w:rPr>
            </w:pPr>
            <w:r w:rsidRPr="007A4E0A">
              <w:rPr>
                <w:color w:val="FFFFFF" w:themeColor="background1"/>
              </w:rPr>
              <w:t>Limitní doba odstranění incidentu</w:t>
            </w:r>
          </w:p>
        </w:tc>
      </w:tr>
      <w:tr w:rsidR="00DA0A4F" w:rsidTr="00DA0A4F">
        <w:trPr>
          <w:trHeight w:val="397"/>
        </w:trPr>
        <w:tc>
          <w:tcPr>
            <w:tcW w:w="1276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Havárie</w:t>
            </w:r>
          </w:p>
        </w:tc>
        <w:tc>
          <w:tcPr>
            <w:tcW w:w="2126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4 pracovní hodiny</w:t>
            </w:r>
          </w:p>
        </w:tc>
        <w:tc>
          <w:tcPr>
            <w:tcW w:w="2693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následující pracovní den</w:t>
            </w:r>
          </w:p>
        </w:tc>
        <w:tc>
          <w:tcPr>
            <w:tcW w:w="2263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48 hodin</w:t>
            </w:r>
          </w:p>
        </w:tc>
      </w:tr>
      <w:tr w:rsidR="00DA0A4F" w:rsidTr="00DA0A4F">
        <w:trPr>
          <w:trHeight w:val="397"/>
        </w:trPr>
        <w:tc>
          <w:tcPr>
            <w:tcW w:w="1276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Výpadek</w:t>
            </w:r>
          </w:p>
        </w:tc>
        <w:tc>
          <w:tcPr>
            <w:tcW w:w="2126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8 pracovních hodin</w:t>
            </w:r>
          </w:p>
        </w:tc>
        <w:tc>
          <w:tcPr>
            <w:tcW w:w="2693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48 hodin</w:t>
            </w:r>
          </w:p>
        </w:tc>
        <w:tc>
          <w:tcPr>
            <w:tcW w:w="2263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72 hodin</w:t>
            </w:r>
          </w:p>
        </w:tc>
      </w:tr>
      <w:tr w:rsidR="00DA0A4F" w:rsidTr="00DA0A4F">
        <w:trPr>
          <w:trHeight w:val="397"/>
        </w:trPr>
        <w:tc>
          <w:tcPr>
            <w:tcW w:w="1276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Závada</w:t>
            </w:r>
          </w:p>
        </w:tc>
        <w:tc>
          <w:tcPr>
            <w:tcW w:w="2126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8 pracovních hodin</w:t>
            </w:r>
          </w:p>
        </w:tc>
        <w:tc>
          <w:tcPr>
            <w:tcW w:w="2693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72 hodin</w:t>
            </w:r>
          </w:p>
        </w:tc>
        <w:tc>
          <w:tcPr>
            <w:tcW w:w="2263" w:type="dxa"/>
            <w:vAlign w:val="center"/>
          </w:tcPr>
          <w:p w:rsidR="00DA0A4F" w:rsidRPr="00DA0A4F" w:rsidRDefault="00DA0A4F" w:rsidP="00E54CA0">
            <w:pPr>
              <w:pStyle w:val="lnek06"/>
              <w:numPr>
                <w:ilvl w:val="0"/>
                <w:numId w:val="0"/>
              </w:numPr>
              <w:spacing w:after="0"/>
              <w:jc w:val="left"/>
            </w:pPr>
            <w:r w:rsidRPr="00DA0A4F">
              <w:t>120 hodin</w:t>
            </w:r>
          </w:p>
        </w:tc>
      </w:tr>
    </w:tbl>
    <w:p w:rsidR="00DA0A4F" w:rsidRDefault="00DA0A4F" w:rsidP="00DA0A4F">
      <w:pPr>
        <w:ind w:left="709"/>
        <w:rPr>
          <w:sz w:val="20"/>
        </w:rPr>
      </w:pPr>
      <w:r>
        <w:rPr>
          <w:sz w:val="20"/>
        </w:rPr>
        <w:t>přičemž:</w:t>
      </w:r>
    </w:p>
    <w:p w:rsidR="00DA0A4F" w:rsidRPr="00DA0A4F" w:rsidRDefault="00DA0A4F" w:rsidP="007D2DB6">
      <w:pPr>
        <w:pStyle w:val="Odstavecseseznamem"/>
        <w:numPr>
          <w:ilvl w:val="0"/>
          <w:numId w:val="12"/>
        </w:numPr>
        <w:rPr>
          <w:sz w:val="20"/>
        </w:rPr>
      </w:pPr>
      <w:r w:rsidRPr="00DA0A4F">
        <w:rPr>
          <w:b/>
          <w:i/>
          <w:sz w:val="20"/>
        </w:rPr>
        <w:t>Havárie</w:t>
      </w:r>
      <w:r w:rsidRPr="00DA0A4F">
        <w:rPr>
          <w:sz w:val="20"/>
        </w:rPr>
        <w:t xml:space="preserve"> je stav IS, který neumožňuje provoz základních funkcí systému, znemožňuje jeho využívání nebo závažným způsobem porušuje bezpečnostní požadavky.</w:t>
      </w:r>
    </w:p>
    <w:p w:rsidR="00DA0A4F" w:rsidRPr="00DA0A4F" w:rsidRDefault="00DA0A4F" w:rsidP="007D2DB6">
      <w:pPr>
        <w:pStyle w:val="Odstavecseseznamem"/>
        <w:numPr>
          <w:ilvl w:val="0"/>
          <w:numId w:val="12"/>
        </w:numPr>
        <w:rPr>
          <w:sz w:val="20"/>
        </w:rPr>
      </w:pPr>
      <w:r w:rsidRPr="00DA0A4F">
        <w:rPr>
          <w:b/>
          <w:i/>
          <w:sz w:val="20"/>
        </w:rPr>
        <w:t>Výpadek</w:t>
      </w:r>
      <w:r w:rsidRPr="00DA0A4F">
        <w:rPr>
          <w:sz w:val="20"/>
        </w:rPr>
        <w:t xml:space="preserve"> je stav umožňující provoz základních funkcí, avšak s výrazným omezením rychlosti zpracování nebo za mimořádných provozních opatření.</w:t>
      </w:r>
    </w:p>
    <w:p w:rsidR="00DA0A4F" w:rsidRPr="00DA0A4F" w:rsidRDefault="00DA0A4F" w:rsidP="007D2DB6">
      <w:pPr>
        <w:pStyle w:val="Odstavecseseznamem"/>
        <w:numPr>
          <w:ilvl w:val="0"/>
          <w:numId w:val="12"/>
        </w:numPr>
        <w:rPr>
          <w:sz w:val="20"/>
        </w:rPr>
      </w:pPr>
      <w:r w:rsidRPr="00DA0A4F">
        <w:rPr>
          <w:b/>
          <w:i/>
          <w:sz w:val="20"/>
        </w:rPr>
        <w:t>Závada</w:t>
      </w:r>
      <w:r w:rsidRPr="00DA0A4F">
        <w:rPr>
          <w:sz w:val="20"/>
        </w:rPr>
        <w:t xml:space="preserve"> je stav umožňující provoz základních funkcí, avšak je snížena rychlost zpracování nebo nelze zabezpečit některé vedlejší funkce IS, případně nejsou zcela naplněny bezpečnostní požadavky. Do této kategorie jsou zahrnuty i požadavky objednatele na změny.</w:t>
      </w:r>
    </w:p>
    <w:p w:rsidR="00DA0A4F" w:rsidRPr="00DA0A4F" w:rsidRDefault="00DA0A4F" w:rsidP="007D2DB6">
      <w:pPr>
        <w:pStyle w:val="Odstavecseseznamem"/>
        <w:numPr>
          <w:ilvl w:val="0"/>
          <w:numId w:val="12"/>
        </w:numPr>
        <w:rPr>
          <w:sz w:val="20"/>
        </w:rPr>
      </w:pPr>
      <w:r w:rsidRPr="00DA0A4F">
        <w:rPr>
          <w:b/>
          <w:i/>
          <w:sz w:val="20"/>
        </w:rPr>
        <w:t>Maximální doba odezvy</w:t>
      </w:r>
      <w:r w:rsidRPr="00DA0A4F">
        <w:rPr>
          <w:sz w:val="20"/>
        </w:rPr>
        <w:t xml:space="preserve"> je doba, ve které musí poskytovatel reagovat na nahlášení incidentu (tj. potvrzení přijetí požadavku s návrhem dalšího postupu ze strany poskytovatele, včetně specifikace nutné součinnosti ze strany objednatele).</w:t>
      </w:r>
    </w:p>
    <w:p w:rsidR="00DA0A4F" w:rsidRPr="00DA0A4F" w:rsidRDefault="00DA0A4F" w:rsidP="007D2DB6">
      <w:pPr>
        <w:pStyle w:val="Odstavecseseznamem"/>
        <w:numPr>
          <w:ilvl w:val="0"/>
          <w:numId w:val="12"/>
        </w:numPr>
        <w:rPr>
          <w:sz w:val="20"/>
        </w:rPr>
      </w:pPr>
      <w:r w:rsidRPr="00DA0A4F">
        <w:rPr>
          <w:b/>
          <w:i/>
          <w:sz w:val="20"/>
        </w:rPr>
        <w:t>Limitní doba zahájení servisního zásahu</w:t>
      </w:r>
      <w:r w:rsidRPr="00DA0A4F">
        <w:rPr>
          <w:sz w:val="20"/>
        </w:rPr>
        <w:t xml:space="preserve"> je doba, ve které musí být zahájeny řízené činnosti vedoucí k odstranění incidentu (tj. vedoucí k zprovoznění systému).</w:t>
      </w:r>
    </w:p>
    <w:p w:rsidR="00DA0A4F" w:rsidRPr="00DA0A4F" w:rsidRDefault="00DA0A4F" w:rsidP="007D2DB6">
      <w:pPr>
        <w:pStyle w:val="Odstavecseseznamem"/>
        <w:numPr>
          <w:ilvl w:val="0"/>
          <w:numId w:val="12"/>
        </w:numPr>
        <w:rPr>
          <w:sz w:val="20"/>
        </w:rPr>
      </w:pPr>
      <w:r w:rsidRPr="00DA0A4F">
        <w:rPr>
          <w:b/>
          <w:i/>
          <w:sz w:val="20"/>
        </w:rPr>
        <w:t>Limitní doba odstranění incidentu</w:t>
      </w:r>
      <w:r w:rsidRPr="00DA0A4F">
        <w:rPr>
          <w:sz w:val="20"/>
        </w:rPr>
        <w:t xml:space="preserve"> je doba, ve které dojde buď k úplnému odstranění incidentu, v případě, že toto není možné, jeho převedení do kategorie min. o jeden stupeň nižší (tj. ze stavu havárie do stavu výpadek či závada, resp. ze stavu výpadek do stavu závada).</w:t>
      </w:r>
    </w:p>
    <w:p w:rsidR="00B47D90" w:rsidRPr="003525AB" w:rsidRDefault="00B47D90" w:rsidP="007D2DB6">
      <w:pPr>
        <w:numPr>
          <w:ilvl w:val="0"/>
          <w:numId w:val="6"/>
        </w:numPr>
        <w:ind w:left="709" w:right="0"/>
      </w:pPr>
      <w:r w:rsidRPr="003525AB">
        <w:t xml:space="preserve">implementace do prostředí ICT </w:t>
      </w:r>
      <w:r>
        <w:t>ČOI</w:t>
      </w:r>
      <w:r w:rsidRPr="003525AB">
        <w:t>,</w:t>
      </w:r>
    </w:p>
    <w:p w:rsidR="00B47D90" w:rsidRPr="003525AB" w:rsidRDefault="00B47D90" w:rsidP="007D2DB6">
      <w:pPr>
        <w:numPr>
          <w:ilvl w:val="0"/>
          <w:numId w:val="6"/>
        </w:numPr>
        <w:ind w:left="709" w:right="0"/>
      </w:pPr>
      <w:r w:rsidRPr="003525AB">
        <w:t xml:space="preserve">školení </w:t>
      </w:r>
      <w:r>
        <w:t>uživatel (</w:t>
      </w:r>
      <w:r w:rsidRPr="003525AB">
        <w:t>administrátorů</w:t>
      </w:r>
      <w:r>
        <w:t>)</w:t>
      </w:r>
      <w:r w:rsidRPr="003525AB">
        <w:t>,</w:t>
      </w:r>
    </w:p>
    <w:p w:rsidR="00B47D90" w:rsidRPr="003525AB" w:rsidRDefault="00B47D90" w:rsidP="007D2DB6">
      <w:pPr>
        <w:numPr>
          <w:ilvl w:val="0"/>
          <w:numId w:val="6"/>
        </w:numPr>
        <w:ind w:left="709" w:right="0"/>
      </w:pPr>
      <w:r w:rsidRPr="003525AB">
        <w:t>projektové řízení projektu,</w:t>
      </w:r>
    </w:p>
    <w:p w:rsidR="00B47D90" w:rsidRPr="003525AB" w:rsidRDefault="00B47D90" w:rsidP="007D2DB6">
      <w:pPr>
        <w:numPr>
          <w:ilvl w:val="0"/>
          <w:numId w:val="6"/>
        </w:numPr>
        <w:ind w:left="709" w:right="0"/>
      </w:pPr>
      <w:r>
        <w:rPr>
          <w:lang w:val="en-US"/>
        </w:rPr>
        <w:t>m</w:t>
      </w:r>
      <w:r w:rsidRPr="00283447">
        <w:rPr>
          <w:lang w:val="en-US"/>
        </w:rPr>
        <w:t>aintenance</w:t>
      </w:r>
      <w:r w:rsidRPr="003525AB">
        <w:t xml:space="preserve"> v délce </w:t>
      </w:r>
      <w:r w:rsidR="001F321E">
        <w:t>1</w:t>
      </w:r>
      <w:r>
        <w:t>2</w:t>
      </w:r>
      <w:r w:rsidRPr="003525AB">
        <w:t xml:space="preserve"> měsíců od uvedení implementovaného systému do rutinního provozu</w:t>
      </w:r>
      <w:r>
        <w:t>.</w:t>
      </w:r>
    </w:p>
    <w:p w:rsidR="00B47D90" w:rsidRPr="003525AB" w:rsidRDefault="00B47D90" w:rsidP="007D2DB6">
      <w:pPr>
        <w:pStyle w:val="Nadpis2"/>
        <w:keepNext w:val="0"/>
        <w:numPr>
          <w:ilvl w:val="0"/>
          <w:numId w:val="7"/>
        </w:numPr>
        <w:spacing w:before="120" w:after="120"/>
        <w:ind w:left="357" w:hanging="357"/>
        <w:jc w:val="both"/>
        <w:rPr>
          <w:lang w:val="x-none"/>
        </w:rPr>
      </w:pPr>
      <w:r w:rsidRPr="003525AB">
        <w:t xml:space="preserve">Služby technické podpory </w:t>
      </w:r>
      <w:r>
        <w:t>softwaru</w:t>
      </w:r>
      <w:r w:rsidRPr="003525AB">
        <w:rPr>
          <w:lang w:val="x-none"/>
        </w:rPr>
        <w:t xml:space="preserve"> a </w:t>
      </w:r>
      <w:r w:rsidRPr="00283447">
        <w:rPr>
          <w:lang w:val="en-US"/>
        </w:rPr>
        <w:t>maintenance</w:t>
      </w:r>
    </w:p>
    <w:p w:rsidR="00B47D90" w:rsidRPr="003525AB" w:rsidRDefault="00B47D90" w:rsidP="007D2DB6">
      <w:pPr>
        <w:numPr>
          <w:ilvl w:val="0"/>
          <w:numId w:val="6"/>
        </w:numPr>
        <w:ind w:left="709" w:right="0"/>
      </w:pPr>
      <w:r w:rsidRPr="003525AB">
        <w:t xml:space="preserve">V rámci </w:t>
      </w:r>
      <w:r w:rsidRPr="00283447">
        <w:rPr>
          <w:lang w:val="en-US"/>
        </w:rPr>
        <w:t>maintenance</w:t>
      </w:r>
      <w:r w:rsidRPr="003525AB">
        <w:t xml:space="preserve"> bude mít objednatel k dispozici:</w:t>
      </w:r>
    </w:p>
    <w:p w:rsidR="00B47D90" w:rsidRPr="003525AB" w:rsidRDefault="00B47D90" w:rsidP="007D2DB6">
      <w:pPr>
        <w:numPr>
          <w:ilvl w:val="1"/>
          <w:numId w:val="6"/>
        </w:numPr>
        <w:ind w:left="1134" w:right="0"/>
      </w:pPr>
      <w:r w:rsidRPr="003525AB">
        <w:t>update a upgrade na poslední podporovanou verzi softwar</w:t>
      </w:r>
      <w:r>
        <w:t>u</w:t>
      </w:r>
      <w:r w:rsidRPr="003525AB">
        <w:t xml:space="preserve"> vzniklou inovační činností výrobce </w:t>
      </w:r>
      <w:r>
        <w:t>softwaru</w:t>
      </w:r>
      <w:r w:rsidRPr="003525AB">
        <w:t xml:space="preserve"> a technický upgrade a update zajišťující kompatibilitu se standardně provozovaným operačním systémem odběratele</w:t>
      </w:r>
      <w:r>
        <w:t>,</w:t>
      </w:r>
    </w:p>
    <w:p w:rsidR="00B47D90" w:rsidRPr="003525AB" w:rsidRDefault="00B47D90" w:rsidP="007D2DB6">
      <w:pPr>
        <w:numPr>
          <w:ilvl w:val="1"/>
          <w:numId w:val="6"/>
        </w:numPr>
        <w:ind w:left="1134" w:right="0"/>
      </w:pPr>
      <w:r w:rsidRPr="003525AB">
        <w:t xml:space="preserve">opravné </w:t>
      </w:r>
      <w:proofErr w:type="spellStart"/>
      <w:r w:rsidRPr="003525AB">
        <w:t>patche</w:t>
      </w:r>
      <w:proofErr w:type="spellEnd"/>
      <w:r>
        <w:t>,</w:t>
      </w:r>
    </w:p>
    <w:p w:rsidR="00B47D90" w:rsidRPr="003525AB" w:rsidRDefault="00B47D90" w:rsidP="007D2DB6">
      <w:pPr>
        <w:numPr>
          <w:ilvl w:val="1"/>
          <w:numId w:val="6"/>
        </w:numPr>
        <w:ind w:left="1134" w:right="0"/>
      </w:pPr>
      <w:r w:rsidRPr="003525AB">
        <w:t>veškerou dokumentaci k podporovaným verzím.</w:t>
      </w:r>
    </w:p>
    <w:p w:rsidR="00B47D90" w:rsidRPr="003525AB" w:rsidRDefault="00B47D90" w:rsidP="00B47D90"/>
    <w:p w:rsidR="00B47D90" w:rsidRPr="003525AB" w:rsidRDefault="00B47D90" w:rsidP="007D2DB6">
      <w:pPr>
        <w:numPr>
          <w:ilvl w:val="0"/>
          <w:numId w:val="6"/>
        </w:numPr>
        <w:ind w:left="851" w:right="0"/>
      </w:pPr>
      <w:r w:rsidRPr="003525AB">
        <w:t>Technická podpora bude obsahovat služby v tomto minimálním rozsahu:</w:t>
      </w:r>
    </w:p>
    <w:p w:rsidR="00B47D90" w:rsidRPr="003525AB" w:rsidRDefault="00B47D90" w:rsidP="007D2DB6">
      <w:pPr>
        <w:numPr>
          <w:ilvl w:val="1"/>
          <w:numId w:val="6"/>
        </w:numPr>
        <w:ind w:left="1134" w:right="0"/>
      </w:pPr>
      <w:r w:rsidRPr="003525AB">
        <w:t>verifikace a klasifikace chybových hlášení,</w:t>
      </w:r>
    </w:p>
    <w:p w:rsidR="00B47D90" w:rsidRPr="003525AB" w:rsidRDefault="00B47D90" w:rsidP="007D2DB6">
      <w:pPr>
        <w:numPr>
          <w:ilvl w:val="1"/>
          <w:numId w:val="6"/>
        </w:numPr>
        <w:ind w:left="1134" w:right="0"/>
      </w:pPr>
      <w:r w:rsidRPr="003525AB">
        <w:t>opravu chyb dodaného softwar</w:t>
      </w:r>
      <w:r>
        <w:t>u</w:t>
      </w:r>
      <w:r w:rsidRPr="003525AB">
        <w:t>,</w:t>
      </w:r>
    </w:p>
    <w:p w:rsidR="00B47D90" w:rsidRPr="003525AB" w:rsidRDefault="00B47D90" w:rsidP="007D2DB6">
      <w:pPr>
        <w:numPr>
          <w:ilvl w:val="1"/>
          <w:numId w:val="6"/>
        </w:numPr>
        <w:ind w:left="1134" w:right="0"/>
      </w:pPr>
      <w:r w:rsidRPr="003525AB">
        <w:t>podporu na telefonní lince (hot-line), elektronickou poštou a webový portál (HD). Touto formou budou řešeny hlavně problémy týkající se:</w:t>
      </w:r>
    </w:p>
    <w:p w:rsidR="00B47D90" w:rsidRPr="003525AB" w:rsidRDefault="00B47D90" w:rsidP="007D2DB6">
      <w:pPr>
        <w:numPr>
          <w:ilvl w:val="2"/>
          <w:numId w:val="6"/>
        </w:numPr>
        <w:ind w:left="1560" w:right="0"/>
      </w:pPr>
      <w:r w:rsidRPr="003525AB">
        <w:t xml:space="preserve">instalace nových verzí a opravných </w:t>
      </w:r>
      <w:proofErr w:type="spellStart"/>
      <w:r w:rsidRPr="003525AB">
        <w:t>patchů</w:t>
      </w:r>
      <w:proofErr w:type="spellEnd"/>
      <w:r w:rsidRPr="003525AB">
        <w:t xml:space="preserve"> ve všech podporovaných prostředích,</w:t>
      </w:r>
    </w:p>
    <w:p w:rsidR="00B47D90" w:rsidRPr="003525AB" w:rsidRDefault="00B47D90" w:rsidP="007D2DB6">
      <w:pPr>
        <w:numPr>
          <w:ilvl w:val="2"/>
          <w:numId w:val="6"/>
        </w:numPr>
        <w:ind w:left="1560" w:right="0"/>
      </w:pPr>
      <w:r w:rsidRPr="003525AB">
        <w:t>konfigurace dodaného softwar</w:t>
      </w:r>
      <w:r>
        <w:t>u</w:t>
      </w:r>
      <w:r w:rsidRPr="003525AB">
        <w:t xml:space="preserve"> ve všech podporovaných prostředích,</w:t>
      </w:r>
    </w:p>
    <w:p w:rsidR="00B47D90" w:rsidRPr="003525AB" w:rsidRDefault="00B47D90" w:rsidP="007D2DB6">
      <w:pPr>
        <w:numPr>
          <w:ilvl w:val="2"/>
          <w:numId w:val="6"/>
        </w:numPr>
        <w:ind w:left="1560" w:right="0"/>
      </w:pPr>
      <w:r w:rsidRPr="003525AB">
        <w:t>provozu používaného softwar</w:t>
      </w:r>
      <w:r>
        <w:t>u</w:t>
      </w:r>
      <w:r w:rsidRPr="003525AB">
        <w:t xml:space="preserve"> v prostředí </w:t>
      </w:r>
      <w:r>
        <w:t>ČOI a</w:t>
      </w:r>
    </w:p>
    <w:p w:rsidR="00B47D90" w:rsidRPr="003525AB" w:rsidRDefault="00B47D90" w:rsidP="007D2DB6">
      <w:pPr>
        <w:numPr>
          <w:ilvl w:val="2"/>
          <w:numId w:val="6"/>
        </w:numPr>
        <w:ind w:left="1560" w:right="0"/>
      </w:pPr>
      <w:r>
        <w:t>dokumentace.</w:t>
      </w:r>
    </w:p>
    <w:p w:rsidR="00B47D90" w:rsidRPr="003525AB" w:rsidRDefault="00B47D90" w:rsidP="007D2DB6">
      <w:pPr>
        <w:numPr>
          <w:ilvl w:val="1"/>
          <w:numId w:val="6"/>
        </w:numPr>
        <w:ind w:left="1134" w:right="0"/>
      </w:pPr>
      <w:r w:rsidRPr="003525AB">
        <w:t xml:space="preserve">hot-line podpora bude dostupná minimálně v rozsahu 5x8 (pět </w:t>
      </w:r>
      <w:r>
        <w:t>pracovních dní, 8 hodin denně),</w:t>
      </w:r>
    </w:p>
    <w:p w:rsidR="00B47D90" w:rsidRPr="00E5432F" w:rsidRDefault="00B47D90" w:rsidP="007D2DB6">
      <w:pPr>
        <w:numPr>
          <w:ilvl w:val="1"/>
          <w:numId w:val="6"/>
        </w:numPr>
        <w:ind w:left="1134" w:right="0"/>
        <w:rPr>
          <w:i/>
        </w:rPr>
      </w:pPr>
      <w:r w:rsidRPr="003525AB">
        <w:t>webový portál (HD) pro hlášení požadavků a přístup k dokumentaci bude dostupný</w:t>
      </w:r>
      <w:r>
        <w:t xml:space="preserve"> nepřetržitě.</w:t>
      </w:r>
    </w:p>
    <w:p w:rsidR="00E5432F" w:rsidRDefault="00E5432F" w:rsidP="00E5432F">
      <w:pPr>
        <w:ind w:right="0"/>
      </w:pPr>
    </w:p>
    <w:p w:rsidR="00E5432F" w:rsidRDefault="00E5432F" w:rsidP="00E5432F">
      <w:pPr>
        <w:ind w:right="0"/>
      </w:pPr>
    </w:p>
    <w:p w:rsidR="00B47D90" w:rsidRPr="003525AB" w:rsidRDefault="00B47D90" w:rsidP="00A92D67">
      <w:pPr>
        <w:pStyle w:val="Nadpis1"/>
        <w:numPr>
          <w:ilvl w:val="0"/>
          <w:numId w:val="13"/>
        </w:numPr>
        <w:spacing w:before="240"/>
        <w:ind w:left="357" w:hanging="357"/>
        <w:contextualSpacing w:val="0"/>
        <w:jc w:val="both"/>
      </w:pPr>
      <w:r w:rsidRPr="003525AB">
        <w:t xml:space="preserve">Požadavky na technické řešení </w:t>
      </w:r>
    </w:p>
    <w:p w:rsidR="00B47D90" w:rsidRPr="003525AB" w:rsidRDefault="00B47D90" w:rsidP="00B47D90">
      <w:r w:rsidRPr="003525AB">
        <w:t xml:space="preserve">Uchazeč </w:t>
      </w:r>
      <w:r>
        <w:t xml:space="preserve">v rámci své nabídky </w:t>
      </w:r>
      <w:r w:rsidRPr="003525AB">
        <w:t>předloží celkový popis konceptu řešení včetně popisu použitých prvků.</w:t>
      </w:r>
    </w:p>
    <w:p w:rsidR="00B47D90" w:rsidRPr="003525AB" w:rsidRDefault="00B47D90" w:rsidP="00B47D90"/>
    <w:p w:rsidR="00B47D90" w:rsidRDefault="00B47D90" w:rsidP="00B47D90">
      <w:pPr>
        <w:rPr>
          <w:bCs/>
        </w:rPr>
      </w:pPr>
      <w:r>
        <w:rPr>
          <w:bCs/>
        </w:rPr>
        <w:t>V tabulce „Minimální hardwarové požadavky na SW – specifikace hardwaru“ uchazeč v příslušném řádku uvede minimální HW požadavky nutné pro běh (plnou funkčnost) jím nabízeného softwarového řešení</w:t>
      </w:r>
      <w:r w:rsidRPr="003525AB">
        <w:rPr>
          <w:bCs/>
        </w:rPr>
        <w:t>.</w:t>
      </w:r>
      <w:r w:rsidR="00620CC8">
        <w:rPr>
          <w:bCs/>
        </w:rPr>
        <w:t xml:space="preserve"> </w:t>
      </w:r>
      <w:r w:rsidR="00212982">
        <w:rPr>
          <w:bCs/>
        </w:rPr>
        <w:t>Vyplněná tabulka</w:t>
      </w:r>
      <w:r>
        <w:rPr>
          <w:bCs/>
        </w:rPr>
        <w:t xml:space="preserve"> </w:t>
      </w:r>
      <w:r w:rsidR="00212982">
        <w:rPr>
          <w:bCs/>
        </w:rPr>
        <w:t>bude</w:t>
      </w:r>
      <w:r>
        <w:rPr>
          <w:bCs/>
        </w:rPr>
        <w:t xml:space="preserve"> Uchazečem vložen</w:t>
      </w:r>
      <w:r w:rsidR="00212982">
        <w:rPr>
          <w:bCs/>
        </w:rPr>
        <w:t>a</w:t>
      </w:r>
      <w:r>
        <w:rPr>
          <w:bCs/>
        </w:rPr>
        <w:t xml:space="preserve"> do nabídky.</w:t>
      </w:r>
    </w:p>
    <w:p w:rsidR="00212982" w:rsidRDefault="00212982" w:rsidP="00B47D90">
      <w:pPr>
        <w:rPr>
          <w:bCs/>
        </w:rPr>
      </w:pPr>
    </w:p>
    <w:p w:rsidR="00B47D90" w:rsidRDefault="00B47D90" w:rsidP="00B47D90">
      <w:pPr>
        <w:rPr>
          <w:b/>
          <w:u w:val="single"/>
        </w:rPr>
      </w:pPr>
      <w:r>
        <w:rPr>
          <w:b/>
          <w:u w:val="single"/>
        </w:rPr>
        <w:t>Minimální hardwarové požadavky pro nabízený software</w:t>
      </w:r>
    </w:p>
    <w:p w:rsidR="00B47D90" w:rsidRDefault="00B47D90" w:rsidP="00B47D90">
      <w:pPr>
        <w:rPr>
          <w:bCs/>
          <w:u w:val="single"/>
        </w:rPr>
      </w:pPr>
    </w:p>
    <w:tbl>
      <w:tblPr>
        <w:tblW w:w="9840" w:type="dxa"/>
        <w:jc w:val="center"/>
        <w:tblBorders>
          <w:top w:val="single" w:sz="4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552"/>
        <w:gridCol w:w="5333"/>
      </w:tblGrid>
      <w:tr w:rsidR="00B47D90" w:rsidRPr="00F12E36" w:rsidTr="00212982">
        <w:trPr>
          <w:trHeight w:val="397"/>
          <w:jc w:val="center"/>
        </w:trPr>
        <w:tc>
          <w:tcPr>
            <w:tcW w:w="1955" w:type="dxa"/>
            <w:shd w:val="clear" w:color="auto" w:fill="808080"/>
            <w:vAlign w:val="center"/>
            <w:hideMark/>
          </w:tcPr>
          <w:p w:rsidR="00B47D90" w:rsidRPr="00F12E36" w:rsidRDefault="00B47D90" w:rsidP="00BE2146">
            <w:pPr>
              <w:jc w:val="center"/>
              <w:rPr>
                <w:b/>
                <w:color w:val="FFFFFF"/>
                <w:sz w:val="20"/>
                <w:szCs w:val="18"/>
              </w:rPr>
            </w:pPr>
            <w:r>
              <w:rPr>
                <w:b/>
                <w:color w:val="FFFFFF"/>
                <w:sz w:val="20"/>
                <w:szCs w:val="18"/>
              </w:rPr>
              <w:t>Konfigurace</w:t>
            </w:r>
          </w:p>
        </w:tc>
        <w:tc>
          <w:tcPr>
            <w:tcW w:w="2552" w:type="dxa"/>
            <w:shd w:val="clear" w:color="auto" w:fill="808080"/>
            <w:vAlign w:val="center"/>
            <w:hideMark/>
          </w:tcPr>
          <w:p w:rsidR="00B47D90" w:rsidRPr="00F12E36" w:rsidRDefault="00B47D90" w:rsidP="00BE2146">
            <w:pPr>
              <w:jc w:val="center"/>
              <w:rPr>
                <w:b/>
                <w:color w:val="FFFFFF"/>
                <w:sz w:val="20"/>
                <w:szCs w:val="18"/>
              </w:rPr>
            </w:pPr>
            <w:r>
              <w:rPr>
                <w:b/>
                <w:color w:val="FFFFFF"/>
                <w:sz w:val="20"/>
                <w:szCs w:val="18"/>
              </w:rPr>
              <w:t>Parametr</w:t>
            </w:r>
          </w:p>
        </w:tc>
        <w:tc>
          <w:tcPr>
            <w:tcW w:w="5333" w:type="dxa"/>
            <w:shd w:val="clear" w:color="auto" w:fill="808080"/>
            <w:vAlign w:val="center"/>
            <w:hideMark/>
          </w:tcPr>
          <w:p w:rsidR="00B47D90" w:rsidRPr="00F12E36" w:rsidRDefault="00B47D90" w:rsidP="00BE2146">
            <w:pPr>
              <w:jc w:val="center"/>
              <w:rPr>
                <w:b/>
                <w:color w:val="FFFFFF"/>
                <w:sz w:val="20"/>
                <w:szCs w:val="18"/>
              </w:rPr>
            </w:pPr>
            <w:r>
              <w:rPr>
                <w:b/>
                <w:color w:val="FFFFFF"/>
                <w:sz w:val="20"/>
                <w:szCs w:val="18"/>
              </w:rPr>
              <w:t>Hodnota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 w:val="restart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Doporučená konfigurace hlavního serveru systému pro prostředí ČOI</w:t>
            </w: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Počet CPU, počet jader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 xml:space="preserve">2 CPU, </w:t>
            </w:r>
            <w:proofErr w:type="spellStart"/>
            <w:r>
              <w:t>Quad-core</w:t>
            </w:r>
            <w:proofErr w:type="spellEnd"/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Kmitočet CPU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2 GHz a vyšší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Velikost RAM v GB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8GB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Typ pamětí RAM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DDR3 a vyšší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Potřeba v</w:t>
            </w:r>
            <w:r w:rsidRPr="00F12E36">
              <w:rPr>
                <w:sz w:val="20"/>
                <w:szCs w:val="18"/>
              </w:rPr>
              <w:t>elikost</w:t>
            </w:r>
            <w:r>
              <w:rPr>
                <w:sz w:val="20"/>
                <w:szCs w:val="18"/>
              </w:rPr>
              <w:t>i</w:t>
            </w:r>
            <w:r w:rsidRPr="00F12E36">
              <w:rPr>
                <w:sz w:val="20"/>
                <w:szCs w:val="18"/>
              </w:rPr>
              <w:t xml:space="preserve"> diskov</w:t>
            </w:r>
            <w:r>
              <w:rPr>
                <w:sz w:val="20"/>
                <w:szCs w:val="18"/>
              </w:rPr>
              <w:t>ého</w:t>
            </w:r>
            <w:r w:rsidRPr="00F12E36">
              <w:rPr>
                <w:sz w:val="20"/>
                <w:szCs w:val="18"/>
              </w:rPr>
              <w:t xml:space="preserve"> prostor</w:t>
            </w:r>
            <w:r>
              <w:rPr>
                <w:sz w:val="20"/>
                <w:szCs w:val="18"/>
              </w:rPr>
              <w:t>u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Volné místo cca 400 GB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Podporované OS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Windows server 2008 R2 – SP1 (64bit) Standard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 w:val="restart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Doporučená konfigurace pro klienta administrátora</w:t>
            </w: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Počet CPU, počet jader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1 CPU a vyšší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Kmitočet CPU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2 GHz a vyšší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Velikost RAM v GB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2GB a vyšší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Potřeba v</w:t>
            </w:r>
            <w:r w:rsidRPr="00F12E36">
              <w:rPr>
                <w:sz w:val="20"/>
                <w:szCs w:val="18"/>
              </w:rPr>
              <w:t>elikost</w:t>
            </w:r>
            <w:r>
              <w:rPr>
                <w:sz w:val="20"/>
                <w:szCs w:val="18"/>
              </w:rPr>
              <w:t>i</w:t>
            </w:r>
            <w:r w:rsidRPr="00F12E36">
              <w:rPr>
                <w:sz w:val="20"/>
                <w:szCs w:val="18"/>
              </w:rPr>
              <w:t xml:space="preserve"> diskov</w:t>
            </w:r>
            <w:r>
              <w:rPr>
                <w:sz w:val="20"/>
                <w:szCs w:val="18"/>
              </w:rPr>
              <w:t>ého</w:t>
            </w:r>
            <w:r w:rsidRPr="00F12E36">
              <w:rPr>
                <w:sz w:val="20"/>
                <w:szCs w:val="18"/>
              </w:rPr>
              <w:t xml:space="preserve"> prostor</w:t>
            </w:r>
            <w:r>
              <w:rPr>
                <w:sz w:val="20"/>
                <w:szCs w:val="18"/>
              </w:rPr>
              <w:t>u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Volné místo 100 MB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Podporované OS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Windows XP SP2 a vyšší</w:t>
            </w:r>
          </w:p>
        </w:tc>
      </w:tr>
      <w:tr w:rsidR="00B47D90" w:rsidRPr="00F12E36" w:rsidTr="00212982">
        <w:trPr>
          <w:trHeight w:val="397"/>
          <w:jc w:val="center"/>
        </w:trPr>
        <w:tc>
          <w:tcPr>
            <w:tcW w:w="1955" w:type="dxa"/>
            <w:vMerge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47D90" w:rsidRPr="00F12E36" w:rsidRDefault="00B47D90" w:rsidP="00BE2146">
            <w:pPr>
              <w:jc w:val="left"/>
              <w:rPr>
                <w:sz w:val="20"/>
                <w:szCs w:val="18"/>
              </w:rPr>
            </w:pPr>
            <w:r w:rsidRPr="00F12E36">
              <w:rPr>
                <w:sz w:val="20"/>
                <w:szCs w:val="18"/>
              </w:rPr>
              <w:t>Typ klienta</w:t>
            </w:r>
          </w:p>
        </w:tc>
        <w:tc>
          <w:tcPr>
            <w:tcW w:w="5333" w:type="dxa"/>
            <w:vAlign w:val="center"/>
          </w:tcPr>
          <w:p w:rsidR="00B47D90" w:rsidRDefault="00163EF1" w:rsidP="00212982">
            <w:pPr>
              <w:jc w:val="left"/>
            </w:pPr>
            <w:r>
              <w:t>Tenký/tlustý klient</w:t>
            </w:r>
          </w:p>
        </w:tc>
      </w:tr>
    </w:tbl>
    <w:p w:rsidR="00B47D90" w:rsidRPr="003525AB" w:rsidRDefault="00B47D90" w:rsidP="00B47D90"/>
    <w:sectPr w:rsidR="00B47D90" w:rsidRPr="003525AB" w:rsidSect="007562F1">
      <w:headerReference w:type="default" r:id="rId8"/>
      <w:footerReference w:type="default" r:id="rId9"/>
      <w:headerReference w:type="first" r:id="rId10"/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5E" w:rsidRDefault="00AE205E" w:rsidP="00A712B4">
      <w:r>
        <w:separator/>
      </w:r>
    </w:p>
  </w:endnote>
  <w:endnote w:type="continuationSeparator" w:id="0">
    <w:p w:rsidR="00AE205E" w:rsidRDefault="00AE205E" w:rsidP="00A712B4">
      <w:r>
        <w:continuationSeparator/>
      </w:r>
    </w:p>
  </w:endnote>
  <w:endnote w:type="continuationNotice" w:id="1">
    <w:p w:rsidR="00AE205E" w:rsidRDefault="00AE205E" w:rsidP="00A71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132843"/>
      <w:docPartObj>
        <w:docPartGallery w:val="Page Numbers (Bottom of Page)"/>
        <w:docPartUnique/>
      </w:docPartObj>
    </w:sdtPr>
    <w:sdtEndPr/>
    <w:sdtContent>
      <w:sdt>
        <w:sdtPr>
          <w:id w:val="-1169178925"/>
          <w:docPartObj>
            <w:docPartGallery w:val="Page Numbers (Top of Page)"/>
            <w:docPartUnique/>
          </w:docPartObj>
        </w:sdtPr>
        <w:sdtEndPr/>
        <w:sdtContent>
          <w:p w:rsidR="00BE2146" w:rsidRPr="00747146" w:rsidRDefault="00BE2146" w:rsidP="00A2516C">
            <w:pPr>
              <w:pStyle w:val="Zpat"/>
              <w:jc w:val="right"/>
            </w:pPr>
            <w:r w:rsidRPr="00747146">
              <w:t xml:space="preserve">Stránka </w:t>
            </w:r>
            <w:r w:rsidRPr="00747146">
              <w:fldChar w:fldCharType="begin"/>
            </w:r>
            <w:r w:rsidRPr="00747146">
              <w:instrText>PAGE</w:instrText>
            </w:r>
            <w:r w:rsidRPr="00747146">
              <w:fldChar w:fldCharType="separate"/>
            </w:r>
            <w:r w:rsidR="00A92D67">
              <w:rPr>
                <w:noProof/>
              </w:rPr>
              <w:t>3</w:t>
            </w:r>
            <w:r w:rsidRPr="00747146">
              <w:fldChar w:fldCharType="end"/>
            </w:r>
            <w:r w:rsidRPr="00747146">
              <w:t xml:space="preserve"> z </w:t>
            </w:r>
            <w:r w:rsidRPr="00747146">
              <w:fldChar w:fldCharType="begin"/>
            </w:r>
            <w:r w:rsidRPr="00747146">
              <w:instrText>NUMPAGES</w:instrText>
            </w:r>
            <w:r w:rsidRPr="00747146">
              <w:fldChar w:fldCharType="separate"/>
            </w:r>
            <w:r w:rsidR="00A92D67">
              <w:rPr>
                <w:noProof/>
              </w:rPr>
              <w:t>3</w:t>
            </w:r>
            <w:r w:rsidRPr="00747146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5E" w:rsidRDefault="00AE205E" w:rsidP="00A712B4">
      <w:r>
        <w:separator/>
      </w:r>
    </w:p>
  </w:footnote>
  <w:footnote w:type="continuationSeparator" w:id="0">
    <w:p w:rsidR="00AE205E" w:rsidRDefault="00AE205E" w:rsidP="00A712B4">
      <w:r>
        <w:continuationSeparator/>
      </w:r>
    </w:p>
  </w:footnote>
  <w:footnote w:type="continuationNotice" w:id="1">
    <w:p w:rsidR="00AE205E" w:rsidRDefault="00AE205E" w:rsidP="00A712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F1" w:rsidRDefault="007562F1" w:rsidP="007562F1">
    <w:pPr>
      <w:pStyle w:val="Zhlav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2F1" w:rsidRDefault="007562F1" w:rsidP="007562F1">
    <w:pPr>
      <w:pStyle w:val="Zhlav"/>
    </w:pPr>
    <w:r>
      <w:t>Příloha č. 2 smlouvy</w:t>
    </w:r>
  </w:p>
  <w:p w:rsidR="007562F1" w:rsidRDefault="007562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12DA"/>
    <w:multiLevelType w:val="hybridMultilevel"/>
    <w:tmpl w:val="B9EC18DC"/>
    <w:lvl w:ilvl="0" w:tplc="A47EDF86">
      <w:start w:val="3"/>
      <w:numFmt w:val="bullet"/>
      <w:lvlText w:val=""/>
      <w:lvlJc w:val="left"/>
      <w:pPr>
        <w:ind w:left="1091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85C504A"/>
    <w:multiLevelType w:val="hybridMultilevel"/>
    <w:tmpl w:val="DA687A0E"/>
    <w:lvl w:ilvl="0" w:tplc="040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B5560C6"/>
    <w:multiLevelType w:val="hybridMultilevel"/>
    <w:tmpl w:val="E21C0F7C"/>
    <w:lvl w:ilvl="0" w:tplc="680881FC">
      <w:start w:val="1"/>
      <w:numFmt w:val="decimal"/>
      <w:pStyle w:val="Nadpis2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10FF3BF6"/>
    <w:multiLevelType w:val="hybridMultilevel"/>
    <w:tmpl w:val="19785900"/>
    <w:lvl w:ilvl="0" w:tplc="D1A68B18">
      <w:start w:val="1"/>
      <w:numFmt w:val="upperLetter"/>
      <w:pStyle w:val="Nadpis3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18442D7B"/>
    <w:multiLevelType w:val="hybridMultilevel"/>
    <w:tmpl w:val="2548AA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12DD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60AD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22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8E14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EA3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B04C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807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EA1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B4D13"/>
    <w:multiLevelType w:val="hybridMultilevel"/>
    <w:tmpl w:val="EDE62D52"/>
    <w:lvl w:ilvl="0" w:tplc="F2AC4E74">
      <w:start w:val="1"/>
      <w:numFmt w:val="upperLetter"/>
      <w:pStyle w:val="Nadpis1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26C330A5"/>
    <w:multiLevelType w:val="hybridMultilevel"/>
    <w:tmpl w:val="CB54D090"/>
    <w:lvl w:ilvl="0" w:tplc="D6F073AE">
      <w:start w:val="1"/>
      <w:numFmt w:val="decimal"/>
      <w:pStyle w:val="lnek06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714D5"/>
    <w:multiLevelType w:val="hybridMultilevel"/>
    <w:tmpl w:val="C590C2B6"/>
    <w:lvl w:ilvl="0" w:tplc="39E4677E">
      <w:start w:val="1"/>
      <w:numFmt w:val="upperLetter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7A8316F"/>
    <w:multiLevelType w:val="hybridMultilevel"/>
    <w:tmpl w:val="8AA2E322"/>
    <w:lvl w:ilvl="0" w:tplc="A47EDF86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044139"/>
    <w:multiLevelType w:val="hybridMultilevel"/>
    <w:tmpl w:val="0972A6C8"/>
    <w:lvl w:ilvl="0" w:tplc="238869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3EF9BE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3C1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DDF3442"/>
    <w:multiLevelType w:val="hybridMultilevel"/>
    <w:tmpl w:val="31F6F5E6"/>
    <w:lvl w:ilvl="0" w:tplc="D742794E">
      <w:start w:val="1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2"/>
    <w:rsid w:val="00000A25"/>
    <w:rsid w:val="00001204"/>
    <w:rsid w:val="0000214C"/>
    <w:rsid w:val="000242C0"/>
    <w:rsid w:val="00037731"/>
    <w:rsid w:val="000405C5"/>
    <w:rsid w:val="00084163"/>
    <w:rsid w:val="00095A08"/>
    <w:rsid w:val="000F74AC"/>
    <w:rsid w:val="00105882"/>
    <w:rsid w:val="00106F54"/>
    <w:rsid w:val="001310C9"/>
    <w:rsid w:val="00140399"/>
    <w:rsid w:val="00143B83"/>
    <w:rsid w:val="00145578"/>
    <w:rsid w:val="00157DAE"/>
    <w:rsid w:val="00163EF1"/>
    <w:rsid w:val="00167426"/>
    <w:rsid w:val="00195B5B"/>
    <w:rsid w:val="001E4126"/>
    <w:rsid w:val="001F321E"/>
    <w:rsid w:val="001F3C2F"/>
    <w:rsid w:val="001F44CF"/>
    <w:rsid w:val="001F6832"/>
    <w:rsid w:val="00206356"/>
    <w:rsid w:val="00212982"/>
    <w:rsid w:val="0025161A"/>
    <w:rsid w:val="00265196"/>
    <w:rsid w:val="0027154E"/>
    <w:rsid w:val="00273E6E"/>
    <w:rsid w:val="002A3F0F"/>
    <w:rsid w:val="002A59AB"/>
    <w:rsid w:val="002B4260"/>
    <w:rsid w:val="002B664B"/>
    <w:rsid w:val="002F3BD9"/>
    <w:rsid w:val="00312968"/>
    <w:rsid w:val="003300D5"/>
    <w:rsid w:val="00352B57"/>
    <w:rsid w:val="00393F28"/>
    <w:rsid w:val="003A0978"/>
    <w:rsid w:val="003D2364"/>
    <w:rsid w:val="0041583E"/>
    <w:rsid w:val="00446D41"/>
    <w:rsid w:val="004B3BA2"/>
    <w:rsid w:val="004C25C8"/>
    <w:rsid w:val="004E4720"/>
    <w:rsid w:val="004F0429"/>
    <w:rsid w:val="00526096"/>
    <w:rsid w:val="0054220E"/>
    <w:rsid w:val="00587015"/>
    <w:rsid w:val="005A4623"/>
    <w:rsid w:val="005B35C2"/>
    <w:rsid w:val="005C2BC4"/>
    <w:rsid w:val="00620CC8"/>
    <w:rsid w:val="00632A92"/>
    <w:rsid w:val="006565B5"/>
    <w:rsid w:val="00664A6D"/>
    <w:rsid w:val="00664CEB"/>
    <w:rsid w:val="006823CC"/>
    <w:rsid w:val="006A4087"/>
    <w:rsid w:val="006C0A9A"/>
    <w:rsid w:val="006C3CBC"/>
    <w:rsid w:val="006C5ED8"/>
    <w:rsid w:val="006F58CE"/>
    <w:rsid w:val="00711648"/>
    <w:rsid w:val="00716D4D"/>
    <w:rsid w:val="0072141D"/>
    <w:rsid w:val="00726046"/>
    <w:rsid w:val="007326C6"/>
    <w:rsid w:val="00747146"/>
    <w:rsid w:val="00750C83"/>
    <w:rsid w:val="007562F1"/>
    <w:rsid w:val="007642BB"/>
    <w:rsid w:val="00786458"/>
    <w:rsid w:val="00792F1C"/>
    <w:rsid w:val="007D2DB6"/>
    <w:rsid w:val="00816CCE"/>
    <w:rsid w:val="0083041E"/>
    <w:rsid w:val="008313FA"/>
    <w:rsid w:val="008346B2"/>
    <w:rsid w:val="0089121C"/>
    <w:rsid w:val="008A2E94"/>
    <w:rsid w:val="008A3AC1"/>
    <w:rsid w:val="008E3C8C"/>
    <w:rsid w:val="008E463F"/>
    <w:rsid w:val="008F535F"/>
    <w:rsid w:val="0092383A"/>
    <w:rsid w:val="0092673C"/>
    <w:rsid w:val="0094711E"/>
    <w:rsid w:val="009519BC"/>
    <w:rsid w:val="00952C7B"/>
    <w:rsid w:val="0099243B"/>
    <w:rsid w:val="009950BF"/>
    <w:rsid w:val="009A5345"/>
    <w:rsid w:val="009D31EE"/>
    <w:rsid w:val="009F3254"/>
    <w:rsid w:val="00A042C9"/>
    <w:rsid w:val="00A2516C"/>
    <w:rsid w:val="00A35071"/>
    <w:rsid w:val="00A35859"/>
    <w:rsid w:val="00A36049"/>
    <w:rsid w:val="00A42F2D"/>
    <w:rsid w:val="00A449BE"/>
    <w:rsid w:val="00A45A74"/>
    <w:rsid w:val="00A712B4"/>
    <w:rsid w:val="00A92D67"/>
    <w:rsid w:val="00A94973"/>
    <w:rsid w:val="00A96843"/>
    <w:rsid w:val="00AA2244"/>
    <w:rsid w:val="00AA4758"/>
    <w:rsid w:val="00AB53FC"/>
    <w:rsid w:val="00AB745D"/>
    <w:rsid w:val="00AD3855"/>
    <w:rsid w:val="00AE205E"/>
    <w:rsid w:val="00AE59F4"/>
    <w:rsid w:val="00B1379D"/>
    <w:rsid w:val="00B24730"/>
    <w:rsid w:val="00B3546D"/>
    <w:rsid w:val="00B36114"/>
    <w:rsid w:val="00B37398"/>
    <w:rsid w:val="00B47D90"/>
    <w:rsid w:val="00B75CB9"/>
    <w:rsid w:val="00B951EA"/>
    <w:rsid w:val="00BB6A1C"/>
    <w:rsid w:val="00BE2146"/>
    <w:rsid w:val="00C10926"/>
    <w:rsid w:val="00C2467D"/>
    <w:rsid w:val="00C37327"/>
    <w:rsid w:val="00C37D5E"/>
    <w:rsid w:val="00C524F5"/>
    <w:rsid w:val="00C67D8C"/>
    <w:rsid w:val="00C71B8B"/>
    <w:rsid w:val="00C72B31"/>
    <w:rsid w:val="00CB5562"/>
    <w:rsid w:val="00CE660F"/>
    <w:rsid w:val="00D032E7"/>
    <w:rsid w:val="00D16EF4"/>
    <w:rsid w:val="00D20101"/>
    <w:rsid w:val="00D269A0"/>
    <w:rsid w:val="00D30411"/>
    <w:rsid w:val="00D46A99"/>
    <w:rsid w:val="00D66A9F"/>
    <w:rsid w:val="00D830EF"/>
    <w:rsid w:val="00D83E56"/>
    <w:rsid w:val="00D862E4"/>
    <w:rsid w:val="00DA0A4F"/>
    <w:rsid w:val="00DC123B"/>
    <w:rsid w:val="00DC17E3"/>
    <w:rsid w:val="00DE51EB"/>
    <w:rsid w:val="00DE7D0F"/>
    <w:rsid w:val="00DF06E9"/>
    <w:rsid w:val="00E0154F"/>
    <w:rsid w:val="00E0399A"/>
    <w:rsid w:val="00E04E67"/>
    <w:rsid w:val="00E07623"/>
    <w:rsid w:val="00E411B0"/>
    <w:rsid w:val="00E449E3"/>
    <w:rsid w:val="00E5432F"/>
    <w:rsid w:val="00EA2A79"/>
    <w:rsid w:val="00EC37B1"/>
    <w:rsid w:val="00EC56A2"/>
    <w:rsid w:val="00ED12F9"/>
    <w:rsid w:val="00F02322"/>
    <w:rsid w:val="00F443D4"/>
    <w:rsid w:val="00F458CC"/>
    <w:rsid w:val="00F964B6"/>
    <w:rsid w:val="00FA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3BBAE2-5080-45C8-AF00-E67F6039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2B4"/>
    <w:pPr>
      <w:ind w:left="23" w:right="23"/>
      <w:jc w:val="both"/>
    </w:pPr>
    <w:rPr>
      <w:rFonts w:ascii="Arial" w:eastAsia="Times New Roman" w:hAnsi="Arial" w:cs="Arial"/>
      <w:color w:val="000000"/>
      <w:sz w:val="22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106F54"/>
    <w:pPr>
      <w:numPr>
        <w:numId w:val="2"/>
      </w:numPr>
      <w:spacing w:before="360" w:after="240"/>
      <w:ind w:left="357" w:hanging="357"/>
      <w:outlineLvl w:val="0"/>
    </w:pPr>
    <w:rPr>
      <w:b/>
      <w:i/>
      <w:caps/>
      <w:sz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06F54"/>
    <w:pPr>
      <w:keepNext/>
      <w:numPr>
        <w:numId w:val="3"/>
      </w:numPr>
      <w:spacing w:before="240" w:after="240"/>
      <w:ind w:left="357" w:hanging="357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10926"/>
    <w:pPr>
      <w:keepNext/>
      <w:numPr>
        <w:numId w:val="4"/>
      </w:numPr>
      <w:spacing w:before="240" w:after="240"/>
      <w:ind w:left="357" w:hanging="357"/>
      <w:outlineLvl w:val="2"/>
    </w:pPr>
    <w:rPr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1F6832"/>
    <w:pPr>
      <w:spacing w:line="360" w:lineRule="auto"/>
    </w:pPr>
    <w:rPr>
      <w:rFonts w:ascii="Times New Roman" w:hAnsi="Times New Roman"/>
      <w:sz w:val="28"/>
      <w:szCs w:val="24"/>
      <w:lang w:val="sk-SK" w:eastAsia="x-none"/>
    </w:rPr>
  </w:style>
  <w:style w:type="character" w:customStyle="1" w:styleId="ZkladntextChar">
    <w:name w:val="Základní text Char"/>
    <w:link w:val="Zkladntext"/>
    <w:rsid w:val="001F6832"/>
    <w:rPr>
      <w:rFonts w:ascii="Times New Roman" w:eastAsia="Times New Roman" w:hAnsi="Times New Roman" w:cs="Times New Roman"/>
      <w:sz w:val="28"/>
      <w:szCs w:val="24"/>
      <w:lang w:val="sk-SK" w:eastAsia="x-none"/>
    </w:rPr>
  </w:style>
  <w:style w:type="paragraph" w:styleId="Nzev">
    <w:name w:val="Title"/>
    <w:basedOn w:val="Normln"/>
    <w:link w:val="NzevChar"/>
    <w:qFormat/>
    <w:rsid w:val="001F6832"/>
    <w:pPr>
      <w:autoSpaceDE w:val="0"/>
      <w:autoSpaceDN w:val="0"/>
      <w:adjustRightInd w:val="0"/>
      <w:jc w:val="center"/>
    </w:pPr>
    <w:rPr>
      <w:rFonts w:ascii="Times New Roman" w:hAnsi="Times New Roman"/>
      <w:b/>
      <w:color w:val="FF0000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F6832"/>
    <w:rPr>
      <w:rFonts w:ascii="Times New Roman" w:eastAsia="Times New Roman" w:hAnsi="Times New Roman" w:cs="Times New Roman"/>
      <w:b/>
      <w:color w:val="FF0000"/>
      <w:sz w:val="32"/>
      <w:szCs w:val="32"/>
      <w:lang w:val="x-none" w:eastAsia="x-none"/>
    </w:rPr>
  </w:style>
  <w:style w:type="paragraph" w:customStyle="1" w:styleId="Text">
    <w:name w:val="Text"/>
    <w:basedOn w:val="Normln"/>
    <w:link w:val="TextChar"/>
    <w:rsid w:val="001F6832"/>
    <w:pPr>
      <w:autoSpaceDE w:val="0"/>
      <w:autoSpaceDN w:val="0"/>
      <w:spacing w:after="120" w:line="264" w:lineRule="auto"/>
      <w:ind w:left="1134"/>
    </w:pPr>
    <w:rPr>
      <w:szCs w:val="24"/>
      <w:lang w:val="x-none" w:eastAsia="x-none"/>
    </w:rPr>
  </w:style>
  <w:style w:type="character" w:customStyle="1" w:styleId="TextChar">
    <w:name w:val="Text Char"/>
    <w:link w:val="Text"/>
    <w:rsid w:val="001F6832"/>
    <w:rPr>
      <w:rFonts w:ascii="Arial" w:eastAsia="Times New Roman" w:hAnsi="Arial" w:cs="Times New Roman"/>
      <w:szCs w:val="24"/>
      <w:lang w:val="x-none" w:eastAsia="x-none"/>
    </w:rPr>
  </w:style>
  <w:style w:type="numbering" w:styleId="111111">
    <w:name w:val="Outline List 2"/>
    <w:basedOn w:val="Bezseznamu"/>
    <w:rsid w:val="006565B5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2B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2BC4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05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05C5"/>
    <w:rPr>
      <w:rFonts w:ascii="Trebuchet MS" w:eastAsia="Times New Roman" w:hAnsi="Trebuchet MS"/>
    </w:rPr>
  </w:style>
  <w:style w:type="paragraph" w:styleId="Zpat">
    <w:name w:val="footer"/>
    <w:basedOn w:val="Normln"/>
    <w:link w:val="ZpatChar"/>
    <w:uiPriority w:val="99"/>
    <w:unhideWhenUsed/>
    <w:rsid w:val="000405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05C5"/>
    <w:rPr>
      <w:rFonts w:ascii="Trebuchet MS" w:eastAsia="Times New Roman" w:hAnsi="Trebuchet MS"/>
    </w:rPr>
  </w:style>
  <w:style w:type="character" w:styleId="Odkaznakoment">
    <w:name w:val="annotation reference"/>
    <w:uiPriority w:val="99"/>
    <w:semiHidden/>
    <w:rsid w:val="00C52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524F5"/>
    <w:pPr>
      <w:spacing w:after="120"/>
    </w:pPr>
  </w:style>
  <w:style w:type="character" w:customStyle="1" w:styleId="TextkomenteChar">
    <w:name w:val="Text komentáře Char"/>
    <w:link w:val="Textkomente"/>
    <w:uiPriority w:val="99"/>
    <w:semiHidden/>
    <w:rsid w:val="00C524F5"/>
    <w:rPr>
      <w:rFonts w:ascii="Arial" w:eastAsia="Times New Roman" w:hAnsi="Arial" w:cs="Arial"/>
    </w:rPr>
  </w:style>
  <w:style w:type="paragraph" w:styleId="Revize">
    <w:name w:val="Revision"/>
    <w:hidden/>
    <w:uiPriority w:val="99"/>
    <w:semiHidden/>
    <w:rsid w:val="002A3F0F"/>
    <w:rPr>
      <w:rFonts w:ascii="Arial" w:eastAsia="Times New Roman" w:hAnsi="Arial" w:cs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5C8"/>
    <w:pPr>
      <w:spacing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5C8"/>
    <w:rPr>
      <w:rFonts w:ascii="Arial" w:eastAsia="Times New Roman" w:hAnsi="Arial" w:cs="Arial"/>
      <w:b/>
      <w:bCs/>
      <w:color w:val="000000"/>
    </w:rPr>
  </w:style>
  <w:style w:type="paragraph" w:styleId="Odstavecseseznamem">
    <w:name w:val="List Paragraph"/>
    <w:basedOn w:val="Normln"/>
    <w:uiPriority w:val="34"/>
    <w:qFormat/>
    <w:rsid w:val="00726046"/>
    <w:pPr>
      <w:ind w:left="720" w:right="0"/>
      <w:contextualSpacing/>
      <w:jc w:val="left"/>
    </w:pPr>
    <w:rPr>
      <w:rFonts w:eastAsia="Calibri"/>
      <w:color w:val="auto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06F54"/>
    <w:rPr>
      <w:rFonts w:ascii="Arial" w:hAnsi="Arial" w:cs="Arial"/>
      <w:b/>
      <w:i/>
      <w:caps/>
      <w:sz w:val="28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06F54"/>
    <w:rPr>
      <w:rFonts w:ascii="Arial" w:hAnsi="Arial" w:cs="Arial"/>
      <w:b/>
      <w:sz w:val="24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10926"/>
    <w:rPr>
      <w:rFonts w:ascii="Arial" w:hAnsi="Arial" w:cs="Arial"/>
      <w:i/>
      <w:sz w:val="22"/>
      <w:szCs w:val="22"/>
      <w:u w:val="single"/>
      <w:lang w:eastAsia="en-US"/>
    </w:rPr>
  </w:style>
  <w:style w:type="table" w:styleId="Mkatabulky">
    <w:name w:val="Table Grid"/>
    <w:basedOn w:val="Normlntabulka"/>
    <w:uiPriority w:val="59"/>
    <w:rsid w:val="0010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06">
    <w:name w:val="Článek 06"/>
    <w:basedOn w:val="Normln"/>
    <w:qFormat/>
    <w:rsid w:val="00DA0A4F"/>
    <w:pPr>
      <w:numPr>
        <w:numId w:val="11"/>
      </w:numPr>
      <w:spacing w:after="120"/>
      <w:ind w:left="426" w:right="0" w:hanging="426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737A-D855-466C-90B7-38DB9AA4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Hrubý Josef, Ing.</cp:lastModifiedBy>
  <cp:revision>16</cp:revision>
  <cp:lastPrinted>2016-06-21T08:01:00Z</cp:lastPrinted>
  <dcterms:created xsi:type="dcterms:W3CDTF">2016-04-11T13:54:00Z</dcterms:created>
  <dcterms:modified xsi:type="dcterms:W3CDTF">2016-06-21T08:04:00Z</dcterms:modified>
</cp:coreProperties>
</file>