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SPD-19/052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Avantgarde Prague s.r.o</w:t>
      </w:r>
      <w:r w:rsidRPr="007B6B27" w:rsidR="007B6B27">
        <w:rPr>
          <w:b/>
        </w:rPr>
        <w:t xml:space="preserve">, </w:t>
      </w:r>
      <w:r>
        <w:rPr>
          <w:b/>
        </w:rPr>
        <w:t>Jáchymova 63/3, 110 00 Praha 1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27221687            </w:t>
      </w:r>
      <w:r w:rsidRPr="007B6B27">
        <w:t xml:space="preserve"> DIČ: </w:t>
      </w:r>
      <w:r w:rsidR="00FF4087">
        <w:t>CZ27221687          </w:t>
      </w:r>
      <w:r w:rsidRPr="007B6B27">
        <w:t xml:space="preserve"> Banka: </w:t>
      </w:r>
      <w:r w:rsidR="00FF4087">
        <w:t>66554401/5500</w:t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Jan Rajniš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SPD-19/052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Mastercard-Sonic brand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30461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312C70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6</cp:revision>
  <dcterms:created xsi:type="dcterms:W3CDTF">2017-05-05T12:39:00Z</dcterms:created>
  <dcterms:modified xsi:type="dcterms:W3CDTF">2017-07-27T12:24:00Z</dcterms:modified>
</cp:coreProperties>
</file>