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3"/>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Smlouva o zajištění výkonu technického dozoru</w:t>
        <w:br/>
        <w:t>stavebníka na staveništi</w:t>
      </w:r>
      <w:bookmarkEnd w:id="4"/>
      <w:bookmarkEnd w:id="5"/>
    </w:p>
    <w:p>
      <w:pPr>
        <w:pStyle w:val="Style19"/>
        <w:keepNext/>
        <w:keepLines/>
        <w:widowControl w:val="0"/>
        <w:shd w:val="clear" w:color="auto" w:fill="auto"/>
        <w:bidi w:val="0"/>
        <w:spacing w:before="0" w:line="240" w:lineRule="auto"/>
        <w:ind w:left="0" w:right="0" w:firstLine="0"/>
        <w:jc w:val="center"/>
      </w:pPr>
      <w:bookmarkStart w:id="6" w:name="bookmark6"/>
      <w:bookmarkStart w:id="7" w:name="bookmark7"/>
      <w:r>
        <w:rPr>
          <w:b w:val="0"/>
          <w:bCs w:val="0"/>
          <w:color w:val="000000"/>
          <w:spacing w:val="0"/>
          <w:w w:val="100"/>
          <w:position w:val="0"/>
          <w:sz w:val="22"/>
          <w:szCs w:val="22"/>
          <w:shd w:val="clear" w:color="auto" w:fill="auto"/>
          <w:lang w:val="cs-CZ" w:eastAsia="cs-CZ" w:bidi="cs-CZ"/>
        </w:rPr>
        <w:t xml:space="preserve">na akci: </w:t>
      </w:r>
      <w:r>
        <w:rPr>
          <w:color w:val="000000"/>
          <w:spacing w:val="0"/>
          <w:w w:val="100"/>
          <w:position w:val="0"/>
          <w:shd w:val="clear" w:color="auto" w:fill="auto"/>
          <w:lang w:val="cs-CZ" w:eastAsia="cs-CZ" w:bidi="cs-CZ"/>
        </w:rPr>
        <w:t>„11/354 Milovy - most ev. č. 354-011“</w:t>
      </w:r>
      <w:bookmarkEnd w:id="6"/>
      <w:bookmarkEnd w:id="7"/>
    </w:p>
    <w:p>
      <w:pPr>
        <w:pStyle w:val="Style2"/>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7"/>
          <w:szCs w:val="17"/>
          <w:shd w:val="clear" w:color="auto" w:fill="auto"/>
          <w:lang w:val="cs-CZ" w:eastAsia="cs-CZ" w:bidi="cs-CZ"/>
        </w:rPr>
        <w:t>číslo smlouvy objednatele:</w:t>
      </w:r>
      <w:r>
        <w:rPr>
          <w:b/>
          <w:bCs/>
          <w:color w:val="000000"/>
          <w:spacing w:val="0"/>
          <w:w w:val="100"/>
          <w:position w:val="0"/>
          <w:sz w:val="18"/>
          <w:szCs w:val="18"/>
          <w:shd w:val="clear" w:color="auto" w:fill="auto"/>
          <w:lang w:val="cs-CZ" w:eastAsia="cs-CZ" w:bidi="cs-CZ"/>
        </w:rPr>
        <w:t xml:space="preserve"> 59/2019/TDS/D2/POP/ZR/sl</w:t>
      </w:r>
    </w:p>
    <w:p>
      <w:pPr>
        <w:pStyle w:val="Style7"/>
        <w:keepNext w:val="0"/>
        <w:keepLines w:val="0"/>
        <w:widowControl w:val="0"/>
        <w:shd w:val="clear" w:color="auto" w:fill="auto"/>
        <w:bidi w:val="0"/>
        <w:spacing w:before="0" w:after="240" w:line="240" w:lineRule="auto"/>
        <w:ind w:left="0" w:right="0" w:firstLine="0"/>
        <w:jc w:val="left"/>
        <w:rPr>
          <w:sz w:val="14"/>
          <w:szCs w:val="14"/>
        </w:rPr>
      </w:pPr>
      <w:r>
        <w:rPr>
          <w:rFonts w:ascii="Arial" w:eastAsia="Arial" w:hAnsi="Arial" w:cs="Arial"/>
          <w:i/>
          <w:iCs/>
          <w:color w:val="000000"/>
          <w:spacing w:val="0"/>
          <w:w w:val="100"/>
          <w:position w:val="0"/>
          <w:sz w:val="17"/>
          <w:szCs w:val="17"/>
          <w:shd w:val="clear" w:color="auto" w:fill="auto"/>
          <w:lang w:val="cs-CZ" w:eastAsia="cs-CZ" w:bidi="cs-CZ"/>
        </w:rPr>
        <w:t>Číslo smlouvy dodavatele:</w:t>
      </w:r>
      <w:r>
        <w:rPr>
          <w:rFonts w:ascii="Arial" w:eastAsia="Arial" w:hAnsi="Arial" w:cs="Arial"/>
          <w:b/>
          <w:bCs/>
          <w:color w:val="000000"/>
          <w:spacing w:val="0"/>
          <w:w w:val="100"/>
          <w:position w:val="0"/>
          <w:sz w:val="14"/>
          <w:szCs w:val="14"/>
          <w:shd w:val="clear" w:color="auto" w:fill="auto"/>
          <w:lang w:val="cs-CZ" w:eastAsia="cs-CZ" w:bidi="cs-CZ"/>
        </w:rPr>
        <w:t xml:space="preserve"> 19TD10010007</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1</w:t>
        <w:br/>
        <w:t>Smluvní strany</w:t>
      </w:r>
    </w:p>
    <w:p>
      <w:pPr>
        <w:widowControl w:val="0"/>
        <w:spacing w:line="1" w:lineRule="exact"/>
      </w:pPr>
      <w:r>
        <mc:AlternateContent>
          <mc:Choice Requires="wps">
            <w:drawing>
              <wp:anchor distT="0" distB="1700530" distL="0" distR="0" simplePos="0" relativeHeight="125829378" behindDoc="0" locked="0" layoutInCell="1" allowOverlap="1">
                <wp:simplePos x="0" y="0"/>
                <wp:positionH relativeFrom="page">
                  <wp:posOffset>2033905</wp:posOffset>
                </wp:positionH>
                <wp:positionV relativeFrom="paragraph">
                  <wp:posOffset>0</wp:posOffset>
                </wp:positionV>
                <wp:extent cx="4210685" cy="537210"/>
                <wp:wrapTopAndBottom/>
                <wp:docPr id="1" name="Shape 1"/>
                <a:graphic xmlns:a="http://schemas.openxmlformats.org/drawingml/2006/main">
                  <a:graphicData uri="http://schemas.microsoft.com/office/word/2010/wordprocessingShape">
                    <wps:wsp>
                      <wps:cNvSpPr txBox="1"/>
                      <wps:spPr>
                        <a:xfrm>
                          <a:ext cx="4210685" cy="5372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5"/>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Ing. Janem Míkou, MBA, ředitelem organizace</w:t>
                            </w:r>
                            <w:bookmarkEnd w:id="0"/>
                            <w:bookmarkEnd w:id="1"/>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0.15000000000001pt;margin-top:0;width:331.55000000000001pt;height:42.299999999999997pt;z-index:-125829375;mso-wrap-distance-left:0;mso-wrap-distance-right:0;mso-wrap-distance-bottom:133.9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5"/>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Ing. Janem Míkou, MBA, ředitelem organizace</w:t>
                      </w:r>
                      <w:bookmarkEnd w:id="0"/>
                      <w:bookmarkEnd w:id="1"/>
                    </w:p>
                  </w:txbxContent>
                </v:textbox>
                <w10:wrap type="topAndBottom" anchorx="page"/>
              </v:shape>
            </w:pict>
          </mc:Fallback>
        </mc:AlternateContent>
      </w:r>
      <w:r>
        <mc:AlternateContent>
          <mc:Choice Requires="wps">
            <w:drawing>
              <wp:anchor distT="2540" distB="0" distL="0" distR="0" simplePos="0" relativeHeight="125829380" behindDoc="0" locked="0" layoutInCell="1" allowOverlap="1">
                <wp:simplePos x="0" y="0"/>
                <wp:positionH relativeFrom="page">
                  <wp:posOffset>710565</wp:posOffset>
                </wp:positionH>
                <wp:positionV relativeFrom="paragraph">
                  <wp:posOffset>2540</wp:posOffset>
                </wp:positionV>
                <wp:extent cx="3298825" cy="2235835"/>
                <wp:wrapTopAndBottom/>
                <wp:docPr id="3" name="Shape 3"/>
                <a:graphic xmlns:a="http://schemas.openxmlformats.org/drawingml/2006/main">
                  <a:graphicData uri="http://schemas.microsoft.com/office/word/2010/wordprocessingShape">
                    <wps:wsp>
                      <wps:cNvSpPr txBox="1"/>
                      <wps:spPr>
                        <a:xfrm>
                          <a:ext cx="3298825" cy="2235835"/>
                        </a:xfrm>
                        <a:prstGeom prst="rect"/>
                        <a:noFill/>
                      </wps:spPr>
                      <wps:txbx>
                        <w:txbxContent>
                          <w:p>
                            <w:pPr>
                              <w:pStyle w:val="Style5"/>
                              <w:keepNext/>
                              <w:keepLines/>
                              <w:widowControl w:val="0"/>
                              <w:shd w:val="clear" w:color="auto" w:fill="auto"/>
                              <w:bidi w:val="0"/>
                              <w:spacing w:before="0" w:after="0" w:line="257"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Objednatel:</w:t>
                            </w:r>
                            <w:bookmarkEnd w:id="2"/>
                            <w:bookmarkEnd w:id="3"/>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Zřizovatel:</w:t>
                            </w:r>
                          </w:p>
                        </w:txbxContent>
                      </wps:txbx>
                      <wps:bodyPr lIns="0" tIns="0" rIns="0" bIns="0">
                        <a:noAutoFit/>
                      </wps:bodyPr>
                    </wps:wsp>
                  </a:graphicData>
                </a:graphic>
              </wp:anchor>
            </w:drawing>
          </mc:Choice>
          <mc:Fallback>
            <w:pict>
              <v:shape id="_x0000_s1029" type="#_x0000_t202" style="position:absolute;margin-left:55.950000000000003pt;margin-top:0.20000000000000001pt;width:259.75pt;height:176.05000000000001pt;z-index:-125829373;mso-wrap-distance-left:0;mso-wrap-distance-top:0.20000000000000001pt;mso-wrap-distance-right:0;mso-position-horizontal-relative:page" filled="f" stroked="f">
                <v:textbox inset="0,0,0,0">
                  <w:txbxContent>
                    <w:p>
                      <w:pPr>
                        <w:pStyle w:val="Style5"/>
                        <w:keepNext/>
                        <w:keepLines/>
                        <w:widowControl w:val="0"/>
                        <w:shd w:val="clear" w:color="auto" w:fill="auto"/>
                        <w:bidi w:val="0"/>
                        <w:spacing w:before="0" w:after="0" w:line="257"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Objednatel:</w:t>
                      </w:r>
                      <w:bookmarkEnd w:id="2"/>
                      <w:bookmarkEnd w:id="3"/>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838835" distB="1195705" distL="0" distR="0" simplePos="0" relativeHeight="125829382" behindDoc="0" locked="0" layoutInCell="1" allowOverlap="1">
                <wp:simplePos x="0" y="0"/>
                <wp:positionH relativeFrom="page">
                  <wp:posOffset>2040890</wp:posOffset>
                </wp:positionH>
                <wp:positionV relativeFrom="paragraph">
                  <wp:posOffset>838835</wp:posOffset>
                </wp:positionV>
                <wp:extent cx="1294130" cy="203200"/>
                <wp:wrapTopAndBottom/>
                <wp:docPr id="5" name="Shape 5"/>
                <a:graphic xmlns:a="http://schemas.openxmlformats.org/drawingml/2006/main">
                  <a:graphicData uri="http://schemas.microsoft.com/office/word/2010/wordprocessingShape">
                    <wps:wsp>
                      <wps:cNvSpPr txBox="1"/>
                      <wps:spPr>
                        <a:xfrm>
                          <a:ext cx="1294130" cy="2032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wps:txbx>
                      <wps:bodyPr wrap="none" lIns="0" tIns="0" rIns="0" bIns="0">
                        <a:noAutoFit/>
                      </wps:bodyPr>
                    </wps:wsp>
                  </a:graphicData>
                </a:graphic>
              </wp:anchor>
            </w:drawing>
          </mc:Choice>
          <mc:Fallback>
            <w:pict>
              <v:shape id="_x0000_s1031" type="#_x0000_t202" style="position:absolute;margin-left:160.69999999999999pt;margin-top:66.049999999999997pt;width:101.90000000000001pt;height:16.pt;z-index:-125829371;mso-wrap-distance-left:0;mso-wrap-distance-top:66.049999999999997pt;mso-wrap-distance-right:0;mso-wrap-distance-bottom:94.15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v:textbox>
                <w10:wrap type="topAndBottom" anchorx="page"/>
              </v:shape>
            </w:pict>
          </mc:Fallback>
        </mc:AlternateContent>
      </w:r>
      <w:r>
        <mc:AlternateContent>
          <mc:Choice Requires="wps">
            <w:drawing>
              <wp:anchor distT="1193165" distB="674370" distL="0" distR="0" simplePos="0" relativeHeight="125829384" behindDoc="0" locked="0" layoutInCell="1" allowOverlap="1">
                <wp:simplePos x="0" y="0"/>
                <wp:positionH relativeFrom="page">
                  <wp:posOffset>2038985</wp:posOffset>
                </wp:positionH>
                <wp:positionV relativeFrom="paragraph">
                  <wp:posOffset>1193165</wp:posOffset>
                </wp:positionV>
                <wp:extent cx="831850" cy="370205"/>
                <wp:wrapTopAndBottom/>
                <wp:docPr id="7" name="Shape 7"/>
                <a:graphic xmlns:a="http://schemas.openxmlformats.org/drawingml/2006/main">
                  <a:graphicData uri="http://schemas.microsoft.com/office/word/2010/wordprocessingShape">
                    <wps:wsp>
                      <wps:cNvSpPr txBox="1"/>
                      <wps:spPr>
                        <a:xfrm>
                          <a:ext cx="831850" cy="370205"/>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33" type="#_x0000_t202" style="position:absolute;margin-left:160.55000000000001pt;margin-top:93.950000000000003pt;width:65.5pt;height:29.149999999999999pt;z-index:-125829369;mso-wrap-distance-left:0;mso-wrap-distance-top:93.950000000000003pt;mso-wrap-distance-right:0;mso-wrap-distance-bottom:53.100000000000001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2041525" distB="1905" distL="0" distR="0" simplePos="0" relativeHeight="125829386" behindDoc="0" locked="0" layoutInCell="1" allowOverlap="1">
                <wp:simplePos x="0" y="0"/>
                <wp:positionH relativeFrom="page">
                  <wp:posOffset>2036445</wp:posOffset>
                </wp:positionH>
                <wp:positionV relativeFrom="paragraph">
                  <wp:posOffset>2041525</wp:posOffset>
                </wp:positionV>
                <wp:extent cx="918845" cy="194310"/>
                <wp:wrapTopAndBottom/>
                <wp:docPr id="9" name="Shape 9"/>
                <a:graphic xmlns:a="http://schemas.openxmlformats.org/drawingml/2006/main">
                  <a:graphicData uri="http://schemas.microsoft.com/office/word/2010/wordprocessingShape">
                    <wps:wsp>
                      <wps:cNvSpPr txBox="1"/>
                      <wps:spPr>
                        <a:xfrm>
                          <a:ext cx="918845" cy="1943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35" type="#_x0000_t202" style="position:absolute;margin-left:160.34999999999999pt;margin-top:160.75pt;width:72.349999999999994pt;height:15.300000000000001pt;z-index:-125829367;mso-wrap-distance-left:0;mso-wrap-distance-top:160.75pt;mso-wrap-distance-right:0;mso-wrap-distance-bottom:0.149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1284605" distB="436245" distL="0" distR="0" simplePos="0" relativeHeight="125829388" behindDoc="0" locked="0" layoutInCell="1" allowOverlap="1">
                <wp:simplePos x="0" y="0"/>
                <wp:positionH relativeFrom="page">
                  <wp:posOffset>5161280</wp:posOffset>
                </wp:positionH>
                <wp:positionV relativeFrom="paragraph">
                  <wp:posOffset>1284605</wp:posOffset>
                </wp:positionV>
                <wp:extent cx="1488440" cy="516890"/>
                <wp:wrapTopAndBottom/>
                <wp:docPr id="11" name="Shape 11"/>
                <a:graphic xmlns:a="http://schemas.openxmlformats.org/drawingml/2006/main">
                  <a:graphicData uri="http://schemas.microsoft.com/office/word/2010/wordprocessingShape">
                    <wps:wsp>
                      <wps:cNvSpPr txBox="1"/>
                      <wps:spPr>
                        <a:xfrm>
                          <a:ext cx="1488440" cy="5168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iHnk VvM^iny,</w:t>
                            </w:r>
                          </w:p>
                          <w:p>
                            <w:pPr>
                              <w:pStyle w:val="Style7"/>
                              <w:keepNext w:val="0"/>
                              <w:keepLines w:val="0"/>
                              <w:widowControl w:val="0"/>
                              <w:shd w:val="clear" w:color="auto" w:fill="auto"/>
                              <w:tabs>
                                <w:tab w:pos="1496" w:val="left"/>
                                <w:tab w:pos="2057" w:val="left"/>
                              </w:tabs>
                              <w:bidi w:val="0"/>
                              <w:spacing w:before="0" w:after="180" w:line="240" w:lineRule="auto"/>
                              <w:ind w:left="0" w:right="0" w:firstLine="700"/>
                              <w:jc w:val="left"/>
                              <w:rPr>
                                <w:sz w:val="12"/>
                                <w:szCs w:val="12"/>
                              </w:rPr>
                            </w:pPr>
                            <w:r>
                              <w:rPr>
                                <w:color w:val="000000"/>
                                <w:spacing w:val="0"/>
                                <w:w w:val="100"/>
                                <w:position w:val="0"/>
                                <w:sz w:val="12"/>
                                <w:szCs w:val="12"/>
                                <w:shd w:val="clear" w:color="auto" w:fill="auto"/>
                                <w:lang w:val="cs-CZ" w:eastAsia="cs-CZ" w:bidi="cs-CZ"/>
                              </w:rPr>
                              <w:t xml:space="preserve">■ </w:t>
                            </w:r>
                            <w:r>
                              <w:rPr>
                                <w:color w:val="000000"/>
                                <w:spacing w:val="0"/>
                                <w:w w:val="100"/>
                                <w:position w:val="0"/>
                                <w:sz w:val="12"/>
                                <w:szCs w:val="12"/>
                                <w:shd w:val="clear" w:color="auto" w:fill="auto"/>
                                <w:vertAlign w:val="superscript"/>
                                <w:lang w:val="cs-CZ" w:eastAsia="cs-CZ" w:bidi="cs-CZ"/>
                              </w:rPr>
                              <w:t>! 1</w:t>
                            </w:r>
                            <w:r>
                              <w:rPr>
                                <w:color w:val="000000"/>
                                <w:spacing w:val="0"/>
                                <w:w w:val="100"/>
                                <w:position w:val="0"/>
                                <w:sz w:val="12"/>
                                <w:szCs w:val="12"/>
                                <w:shd w:val="clear" w:color="auto" w:fill="auto"/>
                                <w:lang w:val="cs-CZ" w:eastAsia="cs-CZ" w:bidi="cs-CZ"/>
                              </w:rPr>
                              <w:t xml:space="preserve"> -</w:t>
                              <w:tab/>
                              <w:t>■ i</w:t>
                              <w:tab/>
                              <w:t>■-</w:t>
                            </w:r>
                          </w:p>
                          <w:p>
                            <w:pPr>
                              <w:pStyle w:val="Style7"/>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9 ? i'*-; w, /</w:t>
                            </w:r>
                          </w:p>
                          <w:p>
                            <w:pPr>
                              <w:pStyle w:val="Style7"/>
                              <w:keepNext w:val="0"/>
                              <w:keepLines w:val="0"/>
                              <w:widowControl w:val="0"/>
                              <w:shd w:val="clear" w:color="auto" w:fill="auto"/>
                              <w:bidi w:val="0"/>
                              <w:spacing w:before="0" w:after="0" w:line="180" w:lineRule="auto"/>
                              <w:ind w:left="0" w:right="0" w:firstLine="560"/>
                              <w:jc w:val="left"/>
                              <w:rPr>
                                <w:sz w:val="15"/>
                                <w:szCs w:val="15"/>
                              </w:rPr>
                            </w:pPr>
                            <w:r>
                              <w:rPr>
                                <w:i/>
                                <w:iCs/>
                                <w:color w:val="000000"/>
                                <w:spacing w:val="0"/>
                                <w:w w:val="100"/>
                                <w:position w:val="0"/>
                                <w:sz w:val="15"/>
                                <w:szCs w:val="15"/>
                                <w:shd w:val="clear" w:color="auto" w:fill="auto"/>
                                <w:lang w:val="cs-CZ" w:eastAsia="cs-CZ" w:bidi="cs-CZ"/>
                              </w:rPr>
                              <w:t>&gt; í.</w:t>
                            </w:r>
                            <w:r>
                              <w:rPr>
                                <w:color w:val="000000"/>
                                <w:spacing w:val="0"/>
                                <w:w w:val="100"/>
                                <w:position w:val="0"/>
                                <w:sz w:val="12"/>
                                <w:szCs w:val="12"/>
                                <w:shd w:val="clear" w:color="auto" w:fill="auto"/>
                                <w:lang w:val="cs-CZ" w:eastAsia="cs-CZ" w:bidi="cs-CZ"/>
                              </w:rPr>
                              <w:t xml:space="preserve"> ‘'Í/J ' Zut </w:t>
                            </w:r>
                            <w:r>
                              <w:rPr>
                                <w:color w:val="000000"/>
                                <w:spacing w:val="0"/>
                                <w:w w:val="100"/>
                                <w:position w:val="0"/>
                                <w:sz w:val="12"/>
                                <w:szCs w:val="12"/>
                                <w:shd w:val="clear" w:color="auto" w:fill="auto"/>
                                <w:vertAlign w:val="subscript"/>
                                <w:lang w:val="cs-CZ" w:eastAsia="cs-CZ" w:bidi="cs-CZ"/>
                              </w:rPr>
                              <w:t>;</w:t>
                            </w:r>
                            <w:r>
                              <w:rPr>
                                <w:color w:val="000000"/>
                                <w:spacing w:val="0"/>
                                <w:w w:val="100"/>
                                <w:position w:val="0"/>
                                <w:sz w:val="12"/>
                                <w:szCs w:val="12"/>
                                <w:shd w:val="clear" w:color="auto" w:fill="auto"/>
                                <w:lang w:val="cs-CZ" w:eastAsia="cs-CZ" w:bidi="cs-CZ"/>
                              </w:rPr>
                              <w:t xml:space="preserve"> . </w:t>
                            </w:r>
                            <w:r>
                              <w:rPr>
                                <w:i/>
                                <w:iCs/>
                                <w:color w:val="000000"/>
                                <w:spacing w:val="0"/>
                                <w:w w:val="100"/>
                                <w:position w:val="0"/>
                                <w:sz w:val="15"/>
                                <w:szCs w:val="15"/>
                                <w:shd w:val="clear" w:color="auto" w:fill="auto"/>
                                <w:lang w:val="cs-CZ" w:eastAsia="cs-CZ" w:bidi="cs-CZ"/>
                              </w:rPr>
                              <w:t>i</w:t>
                            </w:r>
                          </w:p>
                        </w:txbxContent>
                      </wps:txbx>
                      <wps:bodyPr lIns="0" tIns="0" rIns="0" bIns="0">
                        <a:noAutoFit/>
                      </wps:bodyPr>
                    </wps:wsp>
                  </a:graphicData>
                </a:graphic>
              </wp:anchor>
            </w:drawing>
          </mc:Choice>
          <mc:Fallback>
            <w:pict>
              <v:shape id="_x0000_s1037" type="#_x0000_t202" style="position:absolute;margin-left:406.39999999999998pt;margin-top:101.15000000000001pt;width:117.2pt;height:40.700000000000003pt;z-index:-125829365;mso-wrap-distance-left:0;mso-wrap-distance-top:101.15000000000001pt;mso-wrap-distance-right:0;mso-wrap-distance-bottom:34.35000000000000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iHnk VvM^iny,</w:t>
                      </w:r>
                    </w:p>
                    <w:p>
                      <w:pPr>
                        <w:pStyle w:val="Style7"/>
                        <w:keepNext w:val="0"/>
                        <w:keepLines w:val="0"/>
                        <w:widowControl w:val="0"/>
                        <w:shd w:val="clear" w:color="auto" w:fill="auto"/>
                        <w:tabs>
                          <w:tab w:pos="1496" w:val="left"/>
                          <w:tab w:pos="2057" w:val="left"/>
                        </w:tabs>
                        <w:bidi w:val="0"/>
                        <w:spacing w:before="0" w:after="180" w:line="240" w:lineRule="auto"/>
                        <w:ind w:left="0" w:right="0" w:firstLine="700"/>
                        <w:jc w:val="left"/>
                        <w:rPr>
                          <w:sz w:val="12"/>
                          <w:szCs w:val="12"/>
                        </w:rPr>
                      </w:pPr>
                      <w:r>
                        <w:rPr>
                          <w:color w:val="000000"/>
                          <w:spacing w:val="0"/>
                          <w:w w:val="100"/>
                          <w:position w:val="0"/>
                          <w:sz w:val="12"/>
                          <w:szCs w:val="12"/>
                          <w:shd w:val="clear" w:color="auto" w:fill="auto"/>
                          <w:lang w:val="cs-CZ" w:eastAsia="cs-CZ" w:bidi="cs-CZ"/>
                        </w:rPr>
                        <w:t xml:space="preserve">■ </w:t>
                      </w:r>
                      <w:r>
                        <w:rPr>
                          <w:color w:val="000000"/>
                          <w:spacing w:val="0"/>
                          <w:w w:val="100"/>
                          <w:position w:val="0"/>
                          <w:sz w:val="12"/>
                          <w:szCs w:val="12"/>
                          <w:shd w:val="clear" w:color="auto" w:fill="auto"/>
                          <w:vertAlign w:val="superscript"/>
                          <w:lang w:val="cs-CZ" w:eastAsia="cs-CZ" w:bidi="cs-CZ"/>
                        </w:rPr>
                        <w:t>! 1</w:t>
                      </w:r>
                      <w:r>
                        <w:rPr>
                          <w:color w:val="000000"/>
                          <w:spacing w:val="0"/>
                          <w:w w:val="100"/>
                          <w:position w:val="0"/>
                          <w:sz w:val="12"/>
                          <w:szCs w:val="12"/>
                          <w:shd w:val="clear" w:color="auto" w:fill="auto"/>
                          <w:lang w:val="cs-CZ" w:eastAsia="cs-CZ" w:bidi="cs-CZ"/>
                        </w:rPr>
                        <w:t xml:space="preserve"> -</w:t>
                        <w:tab/>
                        <w:t>■ i</w:t>
                        <w:tab/>
                        <w:t>■-</w:t>
                      </w:r>
                    </w:p>
                    <w:p>
                      <w:pPr>
                        <w:pStyle w:val="Style7"/>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9 ? i'*-; w, /</w:t>
                      </w:r>
                    </w:p>
                    <w:p>
                      <w:pPr>
                        <w:pStyle w:val="Style7"/>
                        <w:keepNext w:val="0"/>
                        <w:keepLines w:val="0"/>
                        <w:widowControl w:val="0"/>
                        <w:shd w:val="clear" w:color="auto" w:fill="auto"/>
                        <w:bidi w:val="0"/>
                        <w:spacing w:before="0" w:after="0" w:line="180" w:lineRule="auto"/>
                        <w:ind w:left="0" w:right="0" w:firstLine="560"/>
                        <w:jc w:val="left"/>
                        <w:rPr>
                          <w:sz w:val="15"/>
                          <w:szCs w:val="15"/>
                        </w:rPr>
                      </w:pPr>
                      <w:r>
                        <w:rPr>
                          <w:i/>
                          <w:iCs/>
                          <w:color w:val="000000"/>
                          <w:spacing w:val="0"/>
                          <w:w w:val="100"/>
                          <w:position w:val="0"/>
                          <w:sz w:val="15"/>
                          <w:szCs w:val="15"/>
                          <w:shd w:val="clear" w:color="auto" w:fill="auto"/>
                          <w:lang w:val="cs-CZ" w:eastAsia="cs-CZ" w:bidi="cs-CZ"/>
                        </w:rPr>
                        <w:t>&gt; í.</w:t>
                      </w:r>
                      <w:r>
                        <w:rPr>
                          <w:color w:val="000000"/>
                          <w:spacing w:val="0"/>
                          <w:w w:val="100"/>
                          <w:position w:val="0"/>
                          <w:sz w:val="12"/>
                          <w:szCs w:val="12"/>
                          <w:shd w:val="clear" w:color="auto" w:fill="auto"/>
                          <w:lang w:val="cs-CZ" w:eastAsia="cs-CZ" w:bidi="cs-CZ"/>
                        </w:rPr>
                        <w:t xml:space="preserve"> ‘'Í/J ' Zut </w:t>
                      </w:r>
                      <w:r>
                        <w:rPr>
                          <w:color w:val="000000"/>
                          <w:spacing w:val="0"/>
                          <w:w w:val="100"/>
                          <w:position w:val="0"/>
                          <w:sz w:val="12"/>
                          <w:szCs w:val="12"/>
                          <w:shd w:val="clear" w:color="auto" w:fill="auto"/>
                          <w:vertAlign w:val="subscript"/>
                          <w:lang w:val="cs-CZ" w:eastAsia="cs-CZ" w:bidi="cs-CZ"/>
                        </w:rPr>
                        <w:t>;</w:t>
                      </w:r>
                      <w:r>
                        <w:rPr>
                          <w:color w:val="000000"/>
                          <w:spacing w:val="0"/>
                          <w:w w:val="100"/>
                          <w:position w:val="0"/>
                          <w:sz w:val="12"/>
                          <w:szCs w:val="12"/>
                          <w:shd w:val="clear" w:color="auto" w:fill="auto"/>
                          <w:lang w:val="cs-CZ" w:eastAsia="cs-CZ" w:bidi="cs-CZ"/>
                        </w:rPr>
                        <w:t xml:space="preserve"> . </w:t>
                      </w:r>
                      <w:r>
                        <w:rPr>
                          <w:i/>
                          <w:iCs/>
                          <w:color w:val="000000"/>
                          <w:spacing w:val="0"/>
                          <w:w w:val="100"/>
                          <w:position w:val="0"/>
                          <w:sz w:val="15"/>
                          <w:szCs w:val="15"/>
                          <w:shd w:val="clear" w:color="auto" w:fill="auto"/>
                          <w:lang w:val="cs-CZ" w:eastAsia="cs-CZ" w:bidi="cs-CZ"/>
                        </w:rPr>
                        <w:t>i</w:t>
                      </w:r>
                    </w:p>
                  </w:txbxContent>
                </v:textbox>
                <w10:wrap type="topAndBottom" anchorx="page"/>
              </v:shape>
            </w:pict>
          </mc:Fallback>
        </mc:AlternateContent>
      </w:r>
      <w:r>
        <mc:AlternateContent>
          <mc:Choice Requires="wps">
            <w:drawing>
              <wp:anchor distT="1661795" distB="475615" distL="0" distR="0" simplePos="0" relativeHeight="125829390" behindDoc="0" locked="0" layoutInCell="1" allowOverlap="1">
                <wp:simplePos x="0" y="0"/>
                <wp:positionH relativeFrom="page">
                  <wp:posOffset>5067935</wp:posOffset>
                </wp:positionH>
                <wp:positionV relativeFrom="paragraph">
                  <wp:posOffset>1661795</wp:posOffset>
                </wp:positionV>
                <wp:extent cx="269875" cy="100330"/>
                <wp:wrapTopAndBottom/>
                <wp:docPr id="13" name="Shape 13"/>
                <a:graphic xmlns:a="http://schemas.openxmlformats.org/drawingml/2006/main">
                  <a:graphicData uri="http://schemas.microsoft.com/office/word/2010/wordprocessingShape">
                    <wps:wsp>
                      <wps:cNvSpPr txBox="1"/>
                      <wps:spPr>
                        <a:xfrm>
                          <a:ext cx="269875" cy="1003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□ítorri:</w:t>
                            </w:r>
                          </w:p>
                        </w:txbxContent>
                      </wps:txbx>
                      <wps:bodyPr wrap="none" lIns="0" tIns="0" rIns="0" bIns="0">
                        <a:noAutoFit/>
                      </wps:bodyPr>
                    </wps:wsp>
                  </a:graphicData>
                </a:graphic>
              </wp:anchor>
            </w:drawing>
          </mc:Choice>
          <mc:Fallback>
            <w:pict>
              <v:shape id="_x0000_s1039" type="#_x0000_t202" style="position:absolute;margin-left:399.05000000000001pt;margin-top:130.84999999999999pt;width:21.25pt;height:7.9000000000000004pt;z-index:-125829363;mso-wrap-distance-left:0;mso-wrap-distance-top:130.84999999999999pt;mso-wrap-distance-right:0;mso-wrap-distance-bottom:37.450000000000003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□ítorri:</w:t>
                      </w:r>
                    </w:p>
                  </w:txbxContent>
                </v:textbox>
                <w10:wrap type="topAndBottom" anchorx="page"/>
              </v:shape>
            </w:pict>
          </mc:Fallback>
        </mc:AlternateContent>
      </w:r>
    </w:p>
    <w:p>
      <w:pPr>
        <w:pStyle w:val="Style2"/>
        <w:keepNext w:val="0"/>
        <w:keepLines w:val="0"/>
        <w:widowControl w:val="0"/>
        <w:shd w:val="clear" w:color="auto" w:fill="auto"/>
        <w:bidi w:val="0"/>
        <w:spacing w:before="0" w:after="80" w:line="257" w:lineRule="auto"/>
        <w:ind w:left="0" w:right="0" w:firstLine="0"/>
        <w:jc w:val="both"/>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bl>
      <w:tblPr>
        <w:tblOverlap w:val="never"/>
        <w:jc w:val="center"/>
        <w:tblLayout w:type="fixed"/>
      </w:tblPr>
      <w:tblGrid>
        <w:gridCol w:w="1886"/>
        <w:gridCol w:w="7351"/>
      </w:tblGrid>
      <w:tr>
        <w:trPr>
          <w:trHeight w:val="266"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IBR Consulting, s.r.o.</w:t>
            </w:r>
          </w:p>
        </w:tc>
      </w:tr>
      <w:tr>
        <w:trPr>
          <w:trHeight w:val="288"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Sokolovská 352/215, 190 00 Praha 9</w:t>
            </w:r>
          </w:p>
        </w:tc>
      </w:tr>
    </w:tbl>
    <w:p>
      <w:pPr>
        <w:pStyle w:val="Style2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p>
      <w:pPr>
        <w:pStyle w:val="Style26"/>
        <w:keepNext w:val="0"/>
        <w:keepLines w:val="0"/>
        <w:widowControl w:val="0"/>
        <w:shd w:val="clear" w:color="auto" w:fill="auto"/>
        <w:tabs>
          <w:tab w:pos="5800" w:val="left"/>
        </w:tabs>
        <w:bidi w:val="0"/>
        <w:spacing w:before="0" w:after="0" w:line="240" w:lineRule="auto"/>
        <w:ind w:left="0" w:right="0" w:firstLine="0"/>
        <w:jc w:val="both"/>
      </w:pPr>
      <w:r>
        <w:rPr>
          <w:color w:val="000000"/>
          <w:spacing w:val="0"/>
          <w:w w:val="100"/>
          <w:position w:val="0"/>
          <w:shd w:val="clear" w:color="auto" w:fill="auto"/>
          <w:lang w:val="cs-CZ" w:eastAsia="cs-CZ" w:bidi="cs-CZ"/>
        </w:rPr>
        <w:t>zapsán v obchodním rejstříku pod sp, zn.: oddíl C, vl,</w:t>
        <w:tab/>
        <w:t>vedenou u Městského soudu v Praze</w:t>
      </w:r>
    </w:p>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Osoby pověřené jednat jménem zhotovitele ve věcech smluvních:</w:t>
      </w:r>
    </w:p>
    <w:p>
      <w:pPr>
        <w:widowControl w:val="0"/>
        <w:spacing w:line="1" w:lineRule="exact"/>
      </w:pPr>
    </w:p>
    <w:tbl>
      <w:tblPr>
        <w:tblOverlap w:val="never"/>
        <w:jc w:val="center"/>
        <w:tblLayout w:type="fixed"/>
      </w:tblPr>
      <w:tblGrid>
        <w:gridCol w:w="1886"/>
        <w:gridCol w:w="7351"/>
      </w:tblGrid>
      <w:tr>
        <w:trPr>
          <w:trHeight w:val="313"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7"/>
              <w:keepNext w:val="0"/>
              <w:keepLines w:val="0"/>
              <w:widowControl w:val="0"/>
              <w:shd w:val="clear" w:color="auto" w:fill="auto"/>
              <w:tabs>
                <w:tab w:pos="194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 e-mail:</w:t>
              <w:tab/>
            </w:r>
            <w:r>
              <w:rPr>
                <w:color w:val="000000"/>
                <w:spacing w:val="0"/>
                <w:w w:val="100"/>
                <w:position w:val="0"/>
                <w:shd w:val="clear" w:color="auto" w:fill="auto"/>
                <w:lang w:val="cs-CZ" w:eastAsia="cs-CZ" w:bidi="cs-CZ"/>
              </w:rPr>
              <w:t>ížHbrconsulting.cz</w:t>
            </w:r>
            <w:r>
              <w:rPr>
                <w:color w:val="000000"/>
                <w:spacing w:val="0"/>
                <w:w w:val="100"/>
                <w:position w:val="0"/>
                <w:shd w:val="clear" w:color="auto" w:fill="auto"/>
                <w:lang w:val="cs-CZ" w:eastAsia="cs-CZ" w:bidi="cs-CZ"/>
              </w:rPr>
              <w:t>. tel: 4</w:t>
            </w:r>
          </w:p>
        </w:tc>
      </w:tr>
      <w:tr>
        <w:trPr>
          <w:trHeight w:val="288"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Raiffeisenbank, a.s.</w:t>
            </w:r>
          </w:p>
        </w:tc>
      </w:tr>
    </w:tbl>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p>
      <w:pPr>
        <w:widowControl w:val="0"/>
        <w:spacing w:line="1" w:lineRule="exact"/>
      </w:pPr>
    </w:p>
    <w:tbl>
      <w:tblPr>
        <w:tblOverlap w:val="never"/>
        <w:jc w:val="center"/>
        <w:tblLayout w:type="fixed"/>
      </w:tblPr>
      <w:tblGrid>
        <w:gridCol w:w="1886"/>
        <w:gridCol w:w="7351"/>
      </w:tblGrid>
      <w:tr>
        <w:trPr>
          <w:trHeight w:val="594"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7"/>
              <w:keepNext w:val="0"/>
              <w:keepLines w:val="0"/>
              <w:widowControl w:val="0"/>
              <w:shd w:val="clear" w:color="auto" w:fill="auto"/>
              <w:bidi w:val="0"/>
              <w:spacing w:before="0" w:after="0" w:line="257" w:lineRule="auto"/>
              <w:ind w:left="180" w:right="0" w:firstLine="0"/>
              <w:jc w:val="left"/>
            </w:pPr>
            <w:r>
              <w:rPr>
                <w:color w:val="000000"/>
                <w:spacing w:val="0"/>
                <w:w w:val="100"/>
                <w:position w:val="0"/>
                <w:shd w:val="clear" w:color="auto" w:fill="auto"/>
                <w:lang w:val="cs-CZ" w:eastAsia="cs-CZ" w:bidi="cs-CZ"/>
              </w:rPr>
              <w:t>250 23 446 CZ25023446</w:t>
            </w:r>
          </w:p>
        </w:tc>
      </w:tr>
    </w:tbl>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„TDS“)</w:t>
      </w:r>
    </w:p>
    <w:p>
      <w:pPr>
        <w:widowControl w:val="0"/>
        <w:spacing w:after="239" w:line="1" w:lineRule="exact"/>
      </w:pPr>
    </w:p>
    <w:p>
      <w:pPr>
        <w:pStyle w:val="Style2"/>
        <w:keepNext w:val="0"/>
        <w:keepLines w:val="0"/>
        <w:widowControl w:val="0"/>
        <w:shd w:val="clear" w:color="auto" w:fill="auto"/>
        <w:bidi w:val="0"/>
        <w:spacing w:before="0" w:after="520"/>
        <w:ind w:left="0" w:right="0" w:firstLine="0"/>
        <w:jc w:val="left"/>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 xml:space="preserve">s tím, že TDS je oprávněn provádět činnosti technického dozoru stavebníka dle zákona č. 360/1992 Sb., kterým se upravují další požadavky výkonu povolání autorizovaných architektů a výkonu povolání autorizovaných inženýrů a techniků činných ve </w:t>
      </w:r>
      <w:r>
        <w:rPr>
          <w:color w:val="000000"/>
          <w:spacing w:val="0"/>
          <w:w w:val="100"/>
          <w:position w:val="0"/>
          <w:shd w:val="clear" w:color="auto" w:fill="auto"/>
          <w:lang w:val="cs-CZ" w:eastAsia="cs-CZ" w:bidi="cs-CZ"/>
        </w:rPr>
        <w:t>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5"/>
        <w:keepNext/>
        <w:keepLines/>
        <w:widowControl w:val="0"/>
        <w:shd w:val="clear" w:color="auto" w:fill="auto"/>
        <w:bidi w:val="0"/>
        <w:spacing w:before="0" w:after="120"/>
        <w:ind w:left="0" w:right="0" w:firstLine="0"/>
        <w:jc w:val="center"/>
      </w:pPr>
      <w:bookmarkStart w:id="8" w:name="bookmark8"/>
      <w:bookmarkStart w:id="9" w:name="bookmark9"/>
      <w:r>
        <w:rPr>
          <w:color w:val="000000"/>
          <w:spacing w:val="0"/>
          <w:w w:val="100"/>
          <w:position w:val="0"/>
          <w:shd w:val="clear" w:color="auto" w:fill="auto"/>
          <w:lang w:val="cs-CZ" w:eastAsia="cs-CZ" w:bidi="cs-CZ"/>
        </w:rPr>
        <w:t>Předmět smlouvy</w:t>
      </w:r>
      <w:bookmarkEnd w:id="8"/>
      <w:bookmarkEnd w:id="9"/>
    </w:p>
    <w:p>
      <w:pPr>
        <w:pStyle w:val="Style2"/>
        <w:keepNext w:val="0"/>
        <w:keepLines w:val="0"/>
        <w:widowControl w:val="0"/>
        <w:numPr>
          <w:ilvl w:val="0"/>
          <w:numId w:val="1"/>
        </w:numPr>
        <w:shd w:val="clear" w:color="auto" w:fill="auto"/>
        <w:tabs>
          <w:tab w:pos="693" w:val="left"/>
        </w:tabs>
        <w:bidi w:val="0"/>
        <w:spacing w:before="0" w:after="260" w:line="240"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5"/>
        <w:keepNext/>
        <w:keepLines/>
        <w:widowControl w:val="0"/>
        <w:shd w:val="clear" w:color="auto" w:fill="auto"/>
        <w:tabs>
          <w:tab w:pos="1152" w:val="left"/>
        </w:tabs>
        <w:bidi w:val="0"/>
        <w:spacing w:before="0" w:after="260"/>
        <w:ind w:left="0" w:right="0" w:firstLine="0"/>
        <w:jc w:val="both"/>
      </w:pPr>
      <w:bookmarkStart w:id="10" w:name="bookmark10"/>
      <w:bookmarkStart w:id="11" w:name="bookmark11"/>
      <w:r>
        <w:rPr>
          <w:b w:val="0"/>
          <w:bCs w:val="0"/>
          <w:color w:val="000000"/>
          <w:spacing w:val="0"/>
          <w:w w:val="100"/>
          <w:position w:val="0"/>
          <w:shd w:val="clear" w:color="auto" w:fill="auto"/>
          <w:lang w:val="cs-CZ" w:eastAsia="cs-CZ" w:bidi="cs-CZ"/>
        </w:rPr>
        <w:t>na akci:</w:t>
        <w:tab/>
      </w:r>
      <w:r>
        <w:rPr>
          <w:color w:val="000000"/>
          <w:spacing w:val="0"/>
          <w:w w:val="100"/>
          <w:position w:val="0"/>
          <w:shd w:val="clear" w:color="auto" w:fill="auto"/>
          <w:lang w:val="cs-CZ" w:eastAsia="cs-CZ" w:bidi="cs-CZ"/>
        </w:rPr>
        <w:t>II7354 Mílový - most ev. č. 354-011</w:t>
      </w:r>
      <w:bookmarkEnd w:id="10"/>
      <w:bookmarkEnd w:id="11"/>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 xml:space="preserve">a to v souladu s nabídkou dodavatele podanou v rámci výběrového řízení ze dne 15.3.2019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693" w:val="left"/>
        </w:tabs>
        <w:bidi w:val="0"/>
        <w:spacing w:before="0" w:after="120" w:line="240"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2"/>
        <w:keepNext w:val="0"/>
        <w:keepLines w:val="0"/>
        <w:widowControl w:val="0"/>
        <w:numPr>
          <w:ilvl w:val="0"/>
          <w:numId w:val="1"/>
        </w:numPr>
        <w:shd w:val="clear" w:color="auto" w:fill="auto"/>
        <w:tabs>
          <w:tab w:pos="693" w:val="left"/>
        </w:tabs>
        <w:bidi w:val="0"/>
        <w:spacing w:before="0" w:after="520"/>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3</w:t>
      </w:r>
    </w:p>
    <w:p>
      <w:pPr>
        <w:pStyle w:val="Style5"/>
        <w:keepNext/>
        <w:keepLines/>
        <w:widowControl w:val="0"/>
        <w:shd w:val="clear" w:color="auto" w:fill="auto"/>
        <w:bidi w:val="0"/>
        <w:spacing w:before="0" w:after="120"/>
        <w:ind w:left="0" w:right="0" w:firstLine="0"/>
        <w:jc w:val="center"/>
      </w:pPr>
      <w:bookmarkStart w:id="12" w:name="bookmark12"/>
      <w:bookmarkStart w:id="13" w:name="bookmark13"/>
      <w:r>
        <w:rPr>
          <w:color w:val="000000"/>
          <w:spacing w:val="0"/>
          <w:w w:val="100"/>
          <w:position w:val="0"/>
          <w:shd w:val="clear" w:color="auto" w:fill="auto"/>
          <w:lang w:val="cs-CZ" w:eastAsia="cs-CZ" w:bidi="cs-CZ"/>
        </w:rPr>
        <w:t>Rozsah a obsah předmětu plnění</w:t>
      </w:r>
      <w:bookmarkEnd w:id="12"/>
      <w:bookmarkEnd w:id="13"/>
    </w:p>
    <w:p>
      <w:pPr>
        <w:pStyle w:val="Style2"/>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5"/>
        <w:keepNext/>
        <w:keepLines/>
        <w:widowControl w:val="0"/>
        <w:numPr>
          <w:ilvl w:val="1"/>
          <w:numId w:val="1"/>
        </w:numPr>
        <w:shd w:val="clear" w:color="auto" w:fill="auto"/>
        <w:tabs>
          <w:tab w:pos="693" w:val="left"/>
        </w:tabs>
        <w:bidi w:val="0"/>
        <w:spacing w:before="0" w:after="120"/>
        <w:ind w:left="0" w:right="0" w:firstLine="0"/>
        <w:jc w:val="both"/>
      </w:pPr>
      <w:bookmarkStart w:id="14" w:name="bookmark14"/>
      <w:bookmarkStart w:id="15" w:name="bookmark15"/>
      <w:r>
        <w:rPr>
          <w:color w:val="000000"/>
          <w:spacing w:val="0"/>
          <w:w w:val="100"/>
          <w:position w:val="0"/>
          <w:shd w:val="clear" w:color="auto" w:fill="auto"/>
          <w:lang w:val="cs-CZ" w:eastAsia="cs-CZ" w:bidi="cs-CZ"/>
        </w:rPr>
        <w:t>Přípravné činnosti před zahájením stavby spočívající zejména v činnostech:</w:t>
      </w:r>
      <w:bookmarkEnd w:id="14"/>
      <w:bookmarkEnd w:id="15"/>
    </w:p>
    <w:p>
      <w:pPr>
        <w:pStyle w:val="Style2"/>
        <w:keepNext w:val="0"/>
        <w:keepLines w:val="0"/>
        <w:widowControl w:val="0"/>
        <w:numPr>
          <w:ilvl w:val="0"/>
          <w:numId w:val="3"/>
        </w:numPr>
        <w:shd w:val="clear" w:color="auto" w:fill="auto"/>
        <w:tabs>
          <w:tab w:pos="1152" w:val="left"/>
        </w:tabs>
        <w:bidi w:val="0"/>
        <w:spacing w:before="0" w:after="120"/>
        <w:ind w:left="1120" w:right="0" w:hanging="40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2"/>
        <w:keepNext w:val="0"/>
        <w:keepLines w:val="0"/>
        <w:widowControl w:val="0"/>
        <w:numPr>
          <w:ilvl w:val="0"/>
          <w:numId w:val="3"/>
        </w:numPr>
        <w:shd w:val="clear" w:color="auto" w:fill="auto"/>
        <w:tabs>
          <w:tab w:pos="1152" w:val="left"/>
        </w:tabs>
        <w:bidi w:val="0"/>
        <w:spacing w:before="0" w:after="120"/>
        <w:ind w:left="1120" w:right="0" w:hanging="40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2"/>
        <w:keepNext w:val="0"/>
        <w:keepLines w:val="0"/>
        <w:widowControl w:val="0"/>
        <w:numPr>
          <w:ilvl w:val="0"/>
          <w:numId w:val="3"/>
        </w:numPr>
        <w:shd w:val="clear" w:color="auto" w:fill="auto"/>
        <w:tabs>
          <w:tab w:pos="1152" w:val="left"/>
        </w:tabs>
        <w:bidi w:val="0"/>
        <w:spacing w:before="0" w:after="120" w:line="257" w:lineRule="auto"/>
        <w:ind w:left="1120" w:right="0" w:hanging="40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
        <w:keepNext w:val="0"/>
        <w:keepLines w:val="0"/>
        <w:widowControl w:val="0"/>
        <w:numPr>
          <w:ilvl w:val="0"/>
          <w:numId w:val="3"/>
        </w:numPr>
        <w:shd w:val="clear" w:color="auto" w:fill="auto"/>
        <w:tabs>
          <w:tab w:pos="1152" w:val="left"/>
        </w:tabs>
        <w:bidi w:val="0"/>
        <w:spacing w:before="0" w:after="120"/>
        <w:ind w:left="1120" w:right="0" w:hanging="400"/>
        <w:jc w:val="both"/>
      </w:pPr>
      <w:r>
        <w:rPr>
          <w:color w:val="000000"/>
          <w:spacing w:val="0"/>
          <w:w w:val="100"/>
          <w:position w:val="0"/>
          <w:shd w:val="clear" w:color="auto" w:fill="auto"/>
          <w:lang w:val="cs-CZ" w:eastAsia="cs-CZ" w:bidi="cs-CZ"/>
        </w:rPr>
        <w:t>prohlídka staveniště před zahájením vlastních stavebních prací</w:t>
      </w:r>
    </w:p>
    <w:p>
      <w:pPr>
        <w:pStyle w:val="Style2"/>
        <w:keepNext w:val="0"/>
        <w:keepLines w:val="0"/>
        <w:widowControl w:val="0"/>
        <w:numPr>
          <w:ilvl w:val="0"/>
          <w:numId w:val="3"/>
        </w:numPr>
        <w:shd w:val="clear" w:color="auto" w:fill="auto"/>
        <w:tabs>
          <w:tab w:pos="1152" w:val="left"/>
        </w:tabs>
        <w:bidi w:val="0"/>
        <w:spacing w:before="0" w:after="220" w:line="257" w:lineRule="auto"/>
        <w:ind w:left="1120" w:right="0" w:hanging="40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5"/>
        <w:keepNext/>
        <w:keepLines/>
        <w:widowControl w:val="0"/>
        <w:numPr>
          <w:ilvl w:val="1"/>
          <w:numId w:val="1"/>
        </w:numPr>
        <w:shd w:val="clear" w:color="auto" w:fill="auto"/>
        <w:tabs>
          <w:tab w:pos="693" w:val="left"/>
        </w:tabs>
        <w:bidi w:val="0"/>
        <w:spacing w:before="0" w:after="120"/>
        <w:ind w:left="0" w:right="0" w:firstLine="0"/>
        <w:jc w:val="both"/>
      </w:pPr>
      <w:bookmarkStart w:id="16" w:name="bookmark16"/>
      <w:bookmarkStart w:id="17" w:name="bookmark17"/>
      <w:r>
        <w:rPr>
          <w:color w:val="000000"/>
          <w:spacing w:val="0"/>
          <w:w w:val="100"/>
          <w:position w:val="0"/>
          <w:shd w:val="clear" w:color="auto" w:fill="auto"/>
          <w:lang w:val="cs-CZ" w:eastAsia="cs-CZ" w:bidi="cs-CZ"/>
        </w:rPr>
        <w:t>Práce spojené s prováděním stavby spočívající zejména v činnostech:</w:t>
      </w:r>
      <w:bookmarkEnd w:id="16"/>
      <w:bookmarkEnd w:id="17"/>
    </w:p>
    <w:p>
      <w:pPr>
        <w:pStyle w:val="Style2"/>
        <w:keepNext w:val="0"/>
        <w:keepLines w:val="0"/>
        <w:widowControl w:val="0"/>
        <w:numPr>
          <w:ilvl w:val="0"/>
          <w:numId w:val="3"/>
        </w:numPr>
        <w:shd w:val="clear" w:color="auto" w:fill="auto"/>
        <w:tabs>
          <w:tab w:pos="1152" w:val="left"/>
        </w:tabs>
        <w:bidi w:val="0"/>
        <w:spacing w:before="0" w:after="120" w:line="259" w:lineRule="auto"/>
        <w:ind w:left="1120" w:right="0" w:hanging="400"/>
        <w:jc w:val="both"/>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 xml:space="preserve">minimálně ve 2 dnech v průběhu kalendářního týdne, </w:t>
      </w:r>
      <w:r>
        <w:rPr>
          <w:color w:val="000000"/>
          <w:spacing w:val="0"/>
          <w:w w:val="100"/>
          <w:position w:val="0"/>
          <w:shd w:val="clear" w:color="auto" w:fill="auto"/>
          <w:lang w:val="cs-CZ" w:eastAsia="cs-CZ" w:bidi="cs-CZ"/>
        </w:rPr>
        <w:t>pokud nebude se zadavatelem dohodnuto jinak</w:t>
      </w:r>
    </w:p>
    <w:p>
      <w:pPr>
        <w:pStyle w:val="Style2"/>
        <w:keepNext w:val="0"/>
        <w:keepLines w:val="0"/>
        <w:widowControl w:val="0"/>
        <w:numPr>
          <w:ilvl w:val="0"/>
          <w:numId w:val="3"/>
        </w:numPr>
        <w:shd w:val="clear" w:color="auto" w:fill="auto"/>
        <w:tabs>
          <w:tab w:pos="1152" w:val="left"/>
        </w:tabs>
        <w:bidi w:val="0"/>
        <w:spacing w:before="0" w:after="120" w:line="257" w:lineRule="auto"/>
        <w:ind w:left="1120" w:right="0" w:hanging="40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2"/>
        <w:keepNext w:val="0"/>
        <w:keepLines w:val="0"/>
        <w:widowControl w:val="0"/>
        <w:numPr>
          <w:ilvl w:val="0"/>
          <w:numId w:val="3"/>
        </w:numPr>
        <w:shd w:val="clear" w:color="auto" w:fill="auto"/>
        <w:tabs>
          <w:tab w:pos="1093" w:val="left"/>
        </w:tabs>
        <w:bidi w:val="0"/>
        <w:spacing w:before="0" w:after="120" w:line="276" w:lineRule="auto"/>
        <w:ind w:left="1080" w:right="0" w:hanging="40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2"/>
        <w:keepNext w:val="0"/>
        <w:keepLines w:val="0"/>
        <w:widowControl w:val="0"/>
        <w:numPr>
          <w:ilvl w:val="0"/>
          <w:numId w:val="3"/>
        </w:numPr>
        <w:shd w:val="clear" w:color="auto" w:fill="auto"/>
        <w:tabs>
          <w:tab w:pos="1093" w:val="left"/>
        </w:tabs>
        <w:bidi w:val="0"/>
        <w:spacing w:before="0" w:after="120" w:line="259" w:lineRule="auto"/>
        <w:ind w:left="1080" w:right="0" w:hanging="40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
        <w:keepNext w:val="0"/>
        <w:keepLines w:val="0"/>
        <w:widowControl w:val="0"/>
        <w:numPr>
          <w:ilvl w:val="0"/>
          <w:numId w:val="3"/>
        </w:numPr>
        <w:shd w:val="clear" w:color="auto" w:fill="auto"/>
        <w:tabs>
          <w:tab w:pos="1093" w:val="left"/>
        </w:tabs>
        <w:bidi w:val="0"/>
        <w:spacing w:before="0" w:after="120" w:line="257" w:lineRule="auto"/>
        <w:ind w:left="1080" w:right="0" w:hanging="40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
        <w:keepNext w:val="0"/>
        <w:keepLines w:val="0"/>
        <w:widowControl w:val="0"/>
        <w:numPr>
          <w:ilvl w:val="0"/>
          <w:numId w:val="3"/>
        </w:numPr>
        <w:shd w:val="clear" w:color="auto" w:fill="auto"/>
        <w:tabs>
          <w:tab w:pos="1093" w:val="left"/>
        </w:tabs>
        <w:bidi w:val="0"/>
        <w:spacing w:before="0" w:after="120" w:line="259" w:lineRule="auto"/>
        <w:ind w:left="1080" w:right="0" w:hanging="400"/>
        <w:jc w:val="both"/>
      </w:pPr>
      <w:r>
        <w:rPr>
          <w:color w:val="000000"/>
          <w:spacing w:val="0"/>
          <w:w w:val="100"/>
          <w:position w:val="0"/>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2"/>
        <w:keepNext w:val="0"/>
        <w:keepLines w:val="0"/>
        <w:widowControl w:val="0"/>
        <w:numPr>
          <w:ilvl w:val="0"/>
          <w:numId w:val="3"/>
        </w:numPr>
        <w:shd w:val="clear" w:color="auto" w:fill="auto"/>
        <w:tabs>
          <w:tab w:pos="1093" w:val="left"/>
        </w:tabs>
        <w:bidi w:val="0"/>
        <w:spacing w:before="0" w:after="120" w:line="257" w:lineRule="auto"/>
        <w:ind w:left="1080" w:right="0" w:hanging="40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2"/>
        <w:keepNext w:val="0"/>
        <w:keepLines w:val="0"/>
        <w:widowControl w:val="0"/>
        <w:numPr>
          <w:ilvl w:val="0"/>
          <w:numId w:val="3"/>
        </w:numPr>
        <w:shd w:val="clear" w:color="auto" w:fill="auto"/>
        <w:tabs>
          <w:tab w:pos="1093" w:val="left"/>
        </w:tabs>
        <w:bidi w:val="0"/>
        <w:spacing w:before="0" w:after="120" w:line="259" w:lineRule="auto"/>
        <w:ind w:left="1080" w:right="0" w:hanging="40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
        <w:keepNext w:val="0"/>
        <w:keepLines w:val="0"/>
        <w:widowControl w:val="0"/>
        <w:numPr>
          <w:ilvl w:val="0"/>
          <w:numId w:val="3"/>
        </w:numPr>
        <w:shd w:val="clear" w:color="auto" w:fill="auto"/>
        <w:tabs>
          <w:tab w:pos="1093" w:val="left"/>
        </w:tabs>
        <w:bidi w:val="0"/>
        <w:spacing w:before="0" w:after="120" w:line="254" w:lineRule="auto"/>
        <w:ind w:left="1080" w:right="0" w:hanging="400"/>
        <w:jc w:val="both"/>
      </w:pPr>
      <w:r>
        <w:rPr>
          <w:color w:val="000000"/>
          <w:spacing w:val="0"/>
          <w:w w:val="100"/>
          <w:position w:val="0"/>
          <w:shd w:val="clear" w:color="auto" w:fill="auto"/>
          <w:lang w:val="cs-CZ" w:eastAsia="cs-CZ" w:bidi="cs-CZ"/>
        </w:rPr>
        <w:t>kontrola dodržování schválených technologických postupů</w:t>
      </w:r>
    </w:p>
    <w:p>
      <w:pPr>
        <w:pStyle w:val="Style2"/>
        <w:keepNext w:val="0"/>
        <w:keepLines w:val="0"/>
        <w:widowControl w:val="0"/>
        <w:numPr>
          <w:ilvl w:val="0"/>
          <w:numId w:val="3"/>
        </w:numPr>
        <w:shd w:val="clear" w:color="auto" w:fill="auto"/>
        <w:tabs>
          <w:tab w:pos="1093" w:val="left"/>
        </w:tabs>
        <w:bidi w:val="0"/>
        <w:spacing w:before="0" w:after="120" w:line="254" w:lineRule="auto"/>
        <w:ind w:left="1080" w:right="0" w:hanging="40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2"/>
        <w:keepNext w:val="0"/>
        <w:keepLines w:val="0"/>
        <w:widowControl w:val="0"/>
        <w:numPr>
          <w:ilvl w:val="0"/>
          <w:numId w:val="3"/>
        </w:numPr>
        <w:shd w:val="clear" w:color="auto" w:fill="auto"/>
        <w:tabs>
          <w:tab w:pos="1093" w:val="left"/>
        </w:tabs>
        <w:bidi w:val="0"/>
        <w:spacing w:before="0" w:after="120" w:line="254" w:lineRule="auto"/>
        <w:ind w:left="1080" w:right="0" w:hanging="40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
        <w:keepNext w:val="0"/>
        <w:keepLines w:val="0"/>
        <w:widowControl w:val="0"/>
        <w:numPr>
          <w:ilvl w:val="0"/>
          <w:numId w:val="3"/>
        </w:numPr>
        <w:shd w:val="clear" w:color="auto" w:fill="auto"/>
        <w:tabs>
          <w:tab w:pos="1093" w:val="left"/>
        </w:tabs>
        <w:bidi w:val="0"/>
        <w:spacing w:before="0" w:after="120"/>
        <w:ind w:left="1080" w:right="0" w:hanging="40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2"/>
        <w:keepNext w:val="0"/>
        <w:keepLines w:val="0"/>
        <w:widowControl w:val="0"/>
        <w:numPr>
          <w:ilvl w:val="0"/>
          <w:numId w:val="3"/>
        </w:numPr>
        <w:shd w:val="clear" w:color="auto" w:fill="auto"/>
        <w:tabs>
          <w:tab w:pos="1093" w:val="left"/>
        </w:tabs>
        <w:bidi w:val="0"/>
        <w:spacing w:before="0" w:after="120" w:line="254" w:lineRule="auto"/>
        <w:ind w:left="1080" w:right="0" w:hanging="40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
        <w:keepNext w:val="0"/>
        <w:keepLines w:val="0"/>
        <w:widowControl w:val="0"/>
        <w:numPr>
          <w:ilvl w:val="0"/>
          <w:numId w:val="3"/>
        </w:numPr>
        <w:shd w:val="clear" w:color="auto" w:fill="auto"/>
        <w:tabs>
          <w:tab w:pos="1093" w:val="left"/>
        </w:tabs>
        <w:bidi w:val="0"/>
        <w:spacing w:before="0" w:after="120"/>
        <w:ind w:left="1080" w:right="0" w:hanging="40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2"/>
        <w:keepNext w:val="0"/>
        <w:keepLines w:val="0"/>
        <w:widowControl w:val="0"/>
        <w:numPr>
          <w:ilvl w:val="0"/>
          <w:numId w:val="3"/>
        </w:numPr>
        <w:shd w:val="clear" w:color="auto" w:fill="auto"/>
        <w:tabs>
          <w:tab w:pos="1093" w:val="left"/>
        </w:tabs>
        <w:bidi w:val="0"/>
        <w:spacing w:before="0" w:after="120"/>
        <w:ind w:left="1080" w:right="0" w:hanging="40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2"/>
        <w:keepNext w:val="0"/>
        <w:keepLines w:val="0"/>
        <w:widowControl w:val="0"/>
        <w:numPr>
          <w:ilvl w:val="0"/>
          <w:numId w:val="3"/>
        </w:numPr>
        <w:shd w:val="clear" w:color="auto" w:fill="auto"/>
        <w:tabs>
          <w:tab w:pos="1093" w:val="left"/>
        </w:tabs>
        <w:bidi w:val="0"/>
        <w:spacing w:before="0" w:after="120" w:line="254" w:lineRule="auto"/>
        <w:ind w:left="0" w:right="0" w:firstLine="680"/>
        <w:jc w:val="both"/>
      </w:pPr>
      <w:r>
        <w:rPr>
          <w:color w:val="000000"/>
          <w:spacing w:val="0"/>
          <w:w w:val="100"/>
          <w:position w:val="0"/>
          <w:shd w:val="clear" w:color="auto" w:fill="auto"/>
          <w:lang w:val="cs-CZ" w:eastAsia="cs-CZ" w:bidi="cs-CZ"/>
        </w:rPr>
        <w:t>kontrola dodržení časového postupu prací a návrhy na řešení vzniklých prodlev</w:t>
      </w:r>
    </w:p>
    <w:p>
      <w:pPr>
        <w:pStyle w:val="Style2"/>
        <w:keepNext w:val="0"/>
        <w:keepLines w:val="0"/>
        <w:widowControl w:val="0"/>
        <w:numPr>
          <w:ilvl w:val="0"/>
          <w:numId w:val="3"/>
        </w:numPr>
        <w:shd w:val="clear" w:color="auto" w:fill="auto"/>
        <w:tabs>
          <w:tab w:pos="1093" w:val="left"/>
        </w:tabs>
        <w:bidi w:val="0"/>
        <w:spacing w:before="0" w:after="120" w:line="254" w:lineRule="auto"/>
        <w:ind w:left="0" w:right="0" w:firstLine="680"/>
        <w:jc w:val="both"/>
      </w:pPr>
      <w:r>
        <w:rPr>
          <w:color w:val="000000"/>
          <w:spacing w:val="0"/>
          <w:w w:val="100"/>
          <w:position w:val="0"/>
          <w:shd w:val="clear" w:color="auto" w:fill="auto"/>
          <w:lang w:val="cs-CZ" w:eastAsia="cs-CZ" w:bidi="cs-CZ"/>
        </w:rPr>
        <w:t>příprava podkladů pro odevzdání a převzetí stavby, nebo její části</w:t>
      </w:r>
    </w:p>
    <w:p>
      <w:pPr>
        <w:pStyle w:val="Style2"/>
        <w:keepNext w:val="0"/>
        <w:keepLines w:val="0"/>
        <w:widowControl w:val="0"/>
        <w:numPr>
          <w:ilvl w:val="0"/>
          <w:numId w:val="3"/>
        </w:numPr>
        <w:shd w:val="clear" w:color="auto" w:fill="auto"/>
        <w:tabs>
          <w:tab w:pos="1093" w:val="left"/>
        </w:tabs>
        <w:bidi w:val="0"/>
        <w:spacing w:before="0" w:after="120" w:line="240" w:lineRule="auto"/>
        <w:ind w:left="1080" w:right="0" w:hanging="40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2"/>
        <w:keepNext w:val="0"/>
        <w:keepLines w:val="0"/>
        <w:widowControl w:val="0"/>
        <w:numPr>
          <w:ilvl w:val="0"/>
          <w:numId w:val="3"/>
        </w:numPr>
        <w:shd w:val="clear" w:color="auto" w:fill="auto"/>
        <w:tabs>
          <w:tab w:pos="1093" w:val="left"/>
        </w:tabs>
        <w:bidi w:val="0"/>
        <w:spacing w:before="0" w:after="120" w:line="254" w:lineRule="auto"/>
        <w:ind w:left="0" w:right="0" w:firstLine="680"/>
        <w:jc w:val="both"/>
      </w:pPr>
      <w:r>
        <w:rPr>
          <w:color w:val="000000"/>
          <w:spacing w:val="0"/>
          <w:w w:val="100"/>
          <w:position w:val="0"/>
          <w:shd w:val="clear" w:color="auto" w:fill="auto"/>
          <w:lang w:val="cs-CZ" w:eastAsia="cs-CZ" w:bidi="cs-CZ"/>
        </w:rPr>
        <w:t>kontrola vyklizení staveniště zhotovitelem</w:t>
      </w:r>
    </w:p>
    <w:p>
      <w:pPr>
        <w:pStyle w:val="Style2"/>
        <w:keepNext w:val="0"/>
        <w:keepLines w:val="0"/>
        <w:widowControl w:val="0"/>
        <w:numPr>
          <w:ilvl w:val="0"/>
          <w:numId w:val="3"/>
        </w:numPr>
        <w:shd w:val="clear" w:color="auto" w:fill="auto"/>
        <w:tabs>
          <w:tab w:pos="1093" w:val="left"/>
        </w:tabs>
        <w:bidi w:val="0"/>
        <w:spacing w:before="0" w:after="120" w:line="254" w:lineRule="auto"/>
        <w:ind w:left="0" w:right="0" w:firstLine="680"/>
        <w:jc w:val="both"/>
      </w:pPr>
      <w:r>
        <w:rPr>
          <w:color w:val="000000"/>
          <w:spacing w:val="0"/>
          <w:w w:val="100"/>
          <w:position w:val="0"/>
          <w:shd w:val="clear" w:color="auto" w:fill="auto"/>
          <w:lang w:val="cs-CZ" w:eastAsia="cs-CZ" w:bidi="cs-CZ"/>
        </w:rPr>
        <w:t>uplatňování požadavků na zhotovitele vyplývající z předání a převzetí díla</w:t>
      </w:r>
    </w:p>
    <w:p>
      <w:pPr>
        <w:pStyle w:val="Style2"/>
        <w:keepNext w:val="0"/>
        <w:keepLines w:val="0"/>
        <w:widowControl w:val="0"/>
        <w:numPr>
          <w:ilvl w:val="0"/>
          <w:numId w:val="3"/>
        </w:numPr>
        <w:shd w:val="clear" w:color="auto" w:fill="auto"/>
        <w:tabs>
          <w:tab w:pos="1093" w:val="left"/>
        </w:tabs>
        <w:bidi w:val="0"/>
        <w:spacing w:before="0" w:after="120" w:line="257" w:lineRule="auto"/>
        <w:ind w:left="1080" w:right="0" w:hanging="400"/>
        <w:jc w:val="both"/>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5"/>
        <w:keepNext/>
        <w:keepLines/>
        <w:widowControl w:val="0"/>
        <w:numPr>
          <w:ilvl w:val="1"/>
          <w:numId w:val="1"/>
        </w:numPr>
        <w:shd w:val="clear" w:color="auto" w:fill="auto"/>
        <w:tabs>
          <w:tab w:pos="589" w:val="left"/>
        </w:tabs>
        <w:bidi w:val="0"/>
        <w:spacing w:before="0" w:after="120" w:line="240" w:lineRule="auto"/>
        <w:ind w:left="0" w:right="0" w:firstLine="0"/>
        <w:jc w:val="both"/>
      </w:pPr>
      <w:bookmarkStart w:id="18" w:name="bookmark18"/>
      <w:bookmarkStart w:id="19" w:name="bookmark19"/>
      <w:r>
        <w:rPr>
          <w:color w:val="000000"/>
          <w:spacing w:val="0"/>
          <w:w w:val="100"/>
          <w:position w:val="0"/>
          <w:shd w:val="clear" w:color="auto" w:fill="auto"/>
          <w:lang w:val="cs-CZ" w:eastAsia="cs-CZ" w:bidi="cs-CZ"/>
        </w:rPr>
        <w:t>Práce po dokončení stavby spočívající zejména v činnostech:</w:t>
      </w:r>
      <w:bookmarkEnd w:id="18"/>
      <w:bookmarkEnd w:id="19"/>
    </w:p>
    <w:p>
      <w:pPr>
        <w:pStyle w:val="Style2"/>
        <w:keepNext w:val="0"/>
        <w:keepLines w:val="0"/>
        <w:widowControl w:val="0"/>
        <w:numPr>
          <w:ilvl w:val="0"/>
          <w:numId w:val="3"/>
        </w:numPr>
        <w:shd w:val="clear" w:color="auto" w:fill="auto"/>
        <w:tabs>
          <w:tab w:pos="1148" w:val="left"/>
        </w:tabs>
        <w:bidi w:val="0"/>
        <w:spacing w:before="0" w:after="120"/>
        <w:ind w:left="1140" w:right="0" w:hanging="400"/>
        <w:jc w:val="both"/>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2"/>
        <w:keepNext w:val="0"/>
        <w:keepLines w:val="0"/>
        <w:widowControl w:val="0"/>
        <w:numPr>
          <w:ilvl w:val="0"/>
          <w:numId w:val="3"/>
        </w:numPr>
        <w:shd w:val="clear" w:color="auto" w:fill="auto"/>
        <w:tabs>
          <w:tab w:pos="1148" w:val="left"/>
        </w:tabs>
        <w:bidi w:val="0"/>
        <w:spacing w:before="0" w:after="120" w:line="240" w:lineRule="auto"/>
        <w:ind w:left="1140" w:right="0" w:hanging="400"/>
        <w:jc w:val="both"/>
      </w:pPr>
      <w:r>
        <w:rPr>
          <w:color w:val="000000"/>
          <w:spacing w:val="0"/>
          <w:w w:val="100"/>
          <w:position w:val="0"/>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2"/>
        <w:keepNext w:val="0"/>
        <w:keepLines w:val="0"/>
        <w:widowControl w:val="0"/>
        <w:numPr>
          <w:ilvl w:val="0"/>
          <w:numId w:val="3"/>
        </w:numPr>
        <w:shd w:val="clear" w:color="auto" w:fill="auto"/>
        <w:tabs>
          <w:tab w:pos="1148" w:val="left"/>
        </w:tabs>
        <w:bidi w:val="0"/>
        <w:spacing w:before="0" w:after="500" w:line="240" w:lineRule="auto"/>
        <w:ind w:left="1140" w:right="0" w:hanging="400"/>
        <w:jc w:val="both"/>
      </w:pPr>
      <w:r>
        <w:rPr>
          <w:color w:val="000000"/>
          <w:spacing w:val="0"/>
          <w:w w:val="100"/>
          <w:position w:val="0"/>
          <w:shd w:val="clear" w:color="auto" w:fill="auto"/>
          <w:lang w:val="cs-CZ" w:eastAsia="cs-CZ" w:bidi="cs-CZ"/>
        </w:rPr>
        <w:t>zpracování podkladů pro závěrečné vyúčtování stavby po odstranění event. kolaudačních závad.</w:t>
      </w:r>
    </w:p>
    <w:p>
      <w:pPr>
        <w:pStyle w:val="Style5"/>
        <w:keepNext/>
        <w:keepLines/>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4</w:t>
      </w:r>
      <w:bookmarkEnd w:id="20"/>
      <w:bookmarkEnd w:id="21"/>
    </w:p>
    <w:p>
      <w:pPr>
        <w:pStyle w:val="Style7"/>
        <w:keepNext w:val="0"/>
        <w:keepLines w:val="0"/>
        <w:widowControl w:val="0"/>
        <w:shd w:val="clear" w:color="auto" w:fill="auto"/>
        <w:bidi w:val="0"/>
        <w:spacing w:before="0" w:after="0" w:line="194" w:lineRule="auto"/>
        <w:ind w:left="4400" w:right="0" w:firstLine="0"/>
        <w:jc w:val="both"/>
        <w:rPr>
          <w:sz w:val="10"/>
          <w:szCs w:val="10"/>
        </w:rPr>
      </w:pPr>
      <w:r>
        <w:rPr>
          <w:color w:val="000000"/>
          <w:spacing w:val="0"/>
          <w:w w:val="100"/>
          <w:position w:val="0"/>
          <w:sz w:val="10"/>
          <w:szCs w:val="10"/>
          <w:shd w:val="clear" w:color="auto" w:fill="auto"/>
          <w:lang w:val="cs-CZ" w:eastAsia="cs-CZ" w:bidi="cs-CZ"/>
        </w:rPr>
        <w:t>v</w:t>
      </w:r>
    </w:p>
    <w:p>
      <w:pPr>
        <w:pStyle w:val="Style5"/>
        <w:keepNext/>
        <w:keepLines/>
        <w:widowControl w:val="0"/>
        <w:shd w:val="clear" w:color="auto" w:fill="auto"/>
        <w:bidi w:val="0"/>
        <w:spacing w:before="0" w:after="120" w:line="18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Cas plnění</w:t>
      </w:r>
      <w:bookmarkEnd w:id="22"/>
      <w:bookmarkEnd w:id="23"/>
    </w:p>
    <w:p>
      <w:pPr>
        <w:pStyle w:val="Style2"/>
        <w:keepNext w:val="0"/>
        <w:keepLines w:val="0"/>
        <w:widowControl w:val="0"/>
        <w:numPr>
          <w:ilvl w:val="0"/>
          <w:numId w:val="5"/>
        </w:numPr>
        <w:shd w:val="clear" w:color="auto" w:fill="auto"/>
        <w:tabs>
          <w:tab w:pos="589" w:val="left"/>
        </w:tabs>
        <w:bidi w:val="0"/>
        <w:spacing w:before="0" w:after="120"/>
        <w:ind w:left="0" w:right="0" w:firstLine="0"/>
        <w:jc w:val="left"/>
      </w:pPr>
      <w:r>
        <w:rPr>
          <w:color w:val="000000"/>
          <w:spacing w:val="0"/>
          <w:w w:val="100"/>
          <w:position w:val="0"/>
          <w:shd w:val="clear" w:color="auto" w:fill="auto"/>
          <w:lang w:val="cs-CZ" w:eastAsia="cs-CZ" w:bidi="cs-CZ"/>
        </w:rPr>
        <w:t>TDS zahájí svoji činnost dnem prvního zápisu ve stavebním deníku.</w:t>
      </w:r>
    </w:p>
    <w:p>
      <w:pPr>
        <w:pStyle w:val="Style2"/>
        <w:keepNext w:val="0"/>
        <w:keepLines w:val="0"/>
        <w:widowControl w:val="0"/>
        <w:numPr>
          <w:ilvl w:val="0"/>
          <w:numId w:val="5"/>
        </w:numPr>
        <w:shd w:val="clear" w:color="auto" w:fill="auto"/>
        <w:tabs>
          <w:tab w:pos="589" w:val="left"/>
        </w:tabs>
        <w:bidi w:val="0"/>
        <w:spacing w:before="0" w:after="500"/>
        <w:ind w:left="0" w:right="0" w:firstLine="0"/>
        <w:jc w:val="both"/>
      </w:pPr>
      <w:r>
        <w:rPr>
          <w:color w:val="000000"/>
          <w:spacing w:val="0"/>
          <w:w w:val="100"/>
          <w:position w:val="0"/>
          <w:shd w:val="clear" w:color="auto" w:fill="auto"/>
          <w:lang w:val="cs-CZ" w:eastAsia="cs-CZ" w:bidi="cs-CZ"/>
        </w:rPr>
        <w:t>TDS ukončí činnost předáním a převzetím dokončené stavby mezi zhotovitelem a objednatelem na základě předávacího protokolu.</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5</w:t>
      </w:r>
    </w:p>
    <w:p>
      <w:pPr>
        <w:pStyle w:val="Style5"/>
        <w:keepNext/>
        <w:keepLines/>
        <w:widowControl w:val="0"/>
        <w:shd w:val="clear" w:color="auto" w:fill="auto"/>
        <w:bidi w:val="0"/>
        <w:spacing w:before="0" w:after="120"/>
        <w:ind w:left="0" w:right="0" w:firstLine="0"/>
        <w:jc w:val="center"/>
      </w:pPr>
      <w:bookmarkStart w:id="24" w:name="bookmark24"/>
      <w:bookmarkStart w:id="25" w:name="bookmark25"/>
      <w:r>
        <w:rPr>
          <w:color w:val="000000"/>
          <w:spacing w:val="0"/>
          <w:w w:val="100"/>
          <w:position w:val="0"/>
          <w:shd w:val="clear" w:color="auto" w:fill="auto"/>
          <w:lang w:val="cs-CZ" w:eastAsia="cs-CZ" w:bidi="cs-CZ"/>
        </w:rPr>
        <w:t>Odměna TDS, platební podmínky</w:t>
      </w:r>
      <w:bookmarkEnd w:id="24"/>
      <w:bookmarkEnd w:id="25"/>
    </w:p>
    <w:p>
      <w:pPr>
        <w:pStyle w:val="Style2"/>
        <w:keepNext w:val="0"/>
        <w:keepLines w:val="0"/>
        <w:widowControl w:val="0"/>
        <w:numPr>
          <w:ilvl w:val="0"/>
          <w:numId w:val="7"/>
        </w:numPr>
        <w:shd w:val="clear" w:color="auto" w:fill="auto"/>
        <w:tabs>
          <w:tab w:pos="589" w:val="left"/>
        </w:tabs>
        <w:bidi w:val="0"/>
        <w:spacing w:before="0" w:after="380"/>
        <w:ind w:left="0" w:right="0" w:firstLine="0"/>
        <w:jc w:val="both"/>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2"/>
        <w:keepNext w:val="0"/>
        <w:keepLines w:val="0"/>
        <w:widowControl w:val="0"/>
        <w:shd w:val="clear" w:color="auto" w:fill="auto"/>
        <w:bidi w:val="0"/>
        <w:spacing w:before="0" w:after="380"/>
        <w:ind w:left="0" w:right="0" w:firstLine="60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288"/>
        <w:gridCol w:w="3740"/>
      </w:tblGrid>
      <w:tr>
        <w:trPr>
          <w:trHeight w:val="49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15.000,- Kč bez DPH</w:t>
            </w:r>
          </w:p>
        </w:tc>
      </w:tr>
      <w:tr>
        <w:trPr>
          <w:trHeight w:val="49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15.000,- Kč bez DPH</w:t>
            </w:r>
          </w:p>
        </w:tc>
      </w:tr>
      <w:tr>
        <w:trPr>
          <w:trHeight w:val="41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30.000,- Kč</w:t>
            </w:r>
          </w:p>
        </w:tc>
      </w:tr>
      <w:tr>
        <w:trPr>
          <w:trHeight w:val="421"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6.300,- Kč</w:t>
            </w:r>
          </w:p>
        </w:tc>
      </w:tr>
      <w:tr>
        <w:trPr>
          <w:trHeight w:val="428"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36.300,- Kč</w:t>
            </w:r>
          </w:p>
        </w:tc>
      </w:tr>
    </w:tbl>
    <w:p>
      <w:pPr>
        <w:widowControl w:val="0"/>
        <w:spacing w:after="379" w:line="1" w:lineRule="exact"/>
      </w:pPr>
    </w:p>
    <w:p>
      <w:pPr>
        <w:pStyle w:val="Style2"/>
        <w:keepNext w:val="0"/>
        <w:keepLines w:val="0"/>
        <w:widowControl w:val="0"/>
        <w:shd w:val="clear" w:color="auto" w:fill="auto"/>
        <w:bidi w:val="0"/>
        <w:spacing w:before="0" w:after="200" w:line="240" w:lineRule="auto"/>
        <w:ind w:left="0" w:right="0" w:firstLine="740"/>
        <w:jc w:val="both"/>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Výkon TDS - práce spojené s prováděním stavby</w:t>
      </w:r>
    </w:p>
    <w:tbl>
      <w:tblPr>
        <w:tblOverlap w:val="never"/>
        <w:jc w:val="center"/>
        <w:tblLayout w:type="fixed"/>
      </w:tblPr>
      <w:tblGrid>
        <w:gridCol w:w="4288"/>
        <w:gridCol w:w="3737"/>
      </w:tblGrid>
      <w:tr>
        <w:trPr>
          <w:trHeight w:val="67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720,- Kč bez DPH</w:t>
            </w:r>
          </w:p>
        </w:tc>
      </w:tr>
      <w:tr>
        <w:trPr>
          <w:trHeight w:val="677"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770,- Kč bez DPH</w:t>
            </w:r>
          </w:p>
        </w:tc>
      </w:tr>
    </w:tbl>
    <w:p>
      <w:pPr>
        <w:pStyle w:val="Style2"/>
        <w:keepNext w:val="0"/>
        <w:keepLines w:val="0"/>
        <w:widowControl w:val="0"/>
        <w:numPr>
          <w:ilvl w:val="0"/>
          <w:numId w:val="7"/>
        </w:numPr>
        <w:shd w:val="clear" w:color="auto" w:fill="auto"/>
        <w:tabs>
          <w:tab w:pos="561" w:val="left"/>
        </w:tabs>
        <w:bidi w:val="0"/>
        <w:spacing w:before="0" w:line="259"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čl. 3 této smlouvy a v rozsahu Přílohy č. 3 (Kalkulace odměny TDS), která je součástí této smlouvy, vČ. cestovného na místo výkonu TDS a konzultačních dnů.</w:t>
      </w:r>
    </w:p>
    <w:p>
      <w:pPr>
        <w:pStyle w:val="Style2"/>
        <w:keepNext w:val="0"/>
        <w:keepLines w:val="0"/>
        <w:widowControl w:val="0"/>
        <w:numPr>
          <w:ilvl w:val="0"/>
          <w:numId w:val="7"/>
        </w:numPr>
        <w:shd w:val="clear" w:color="auto" w:fill="auto"/>
        <w:tabs>
          <w:tab w:pos="561" w:val="left"/>
        </w:tabs>
        <w:bidi w:val="0"/>
        <w:spacing w:before="0" w:line="264"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
        <w:keepNext w:val="0"/>
        <w:keepLines w:val="0"/>
        <w:widowControl w:val="0"/>
        <w:numPr>
          <w:ilvl w:val="0"/>
          <w:numId w:val="7"/>
        </w:numPr>
        <w:shd w:val="clear" w:color="auto" w:fill="auto"/>
        <w:tabs>
          <w:tab w:pos="561" w:val="left"/>
        </w:tabs>
        <w:bidi w:val="0"/>
        <w:spacing w:before="0"/>
        <w:ind w:left="0" w:right="0" w:firstLine="0"/>
        <w:jc w:val="both"/>
      </w:pPr>
      <w:r>
        <w:rPr>
          <w:color w:val="000000"/>
          <w:spacing w:val="0"/>
          <w:w w:val="100"/>
          <w:position w:val="0"/>
          <w:shd w:val="clear" w:color="auto" w:fill="auto"/>
          <w:lang w:val="cs-CZ" w:eastAsia="cs-CZ" w:bidi="cs-CZ"/>
        </w:rPr>
        <w:t>Ke sjednané ceně bez DPH za zajištění TDS bude účtována daň z přidané hodnoty v zákonné výši.</w:t>
      </w:r>
    </w:p>
    <w:p>
      <w:pPr>
        <w:pStyle w:val="Style2"/>
        <w:keepNext w:val="0"/>
        <w:keepLines w:val="0"/>
        <w:widowControl w:val="0"/>
        <w:numPr>
          <w:ilvl w:val="0"/>
          <w:numId w:val="7"/>
        </w:numPr>
        <w:shd w:val="clear" w:color="auto" w:fill="auto"/>
        <w:tabs>
          <w:tab w:pos="561"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rozumí cena vč. DPH.</w:t>
      </w:r>
    </w:p>
    <w:p>
      <w:pPr>
        <w:pStyle w:val="Style2"/>
        <w:keepNext w:val="0"/>
        <w:keepLines w:val="0"/>
        <w:widowControl w:val="0"/>
        <w:numPr>
          <w:ilvl w:val="0"/>
          <w:numId w:val="7"/>
        </w:numPr>
        <w:shd w:val="clear" w:color="auto" w:fill="auto"/>
        <w:tabs>
          <w:tab w:pos="561" w:val="left"/>
        </w:tabs>
        <w:bidi w:val="0"/>
        <w:spacing w:before="0" w:line="240"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2"/>
        <w:keepNext w:val="0"/>
        <w:keepLines w:val="0"/>
        <w:widowControl w:val="0"/>
        <w:numPr>
          <w:ilvl w:val="0"/>
          <w:numId w:val="7"/>
        </w:numPr>
        <w:shd w:val="clear" w:color="auto" w:fill="auto"/>
        <w:tabs>
          <w:tab w:pos="561" w:val="left"/>
        </w:tabs>
        <w:bidi w:val="0"/>
        <w:spacing w:before="0"/>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2"/>
        <w:keepNext w:val="0"/>
        <w:keepLines w:val="0"/>
        <w:widowControl w:val="0"/>
        <w:numPr>
          <w:ilvl w:val="0"/>
          <w:numId w:val="7"/>
        </w:numPr>
        <w:shd w:val="clear" w:color="auto" w:fill="auto"/>
        <w:tabs>
          <w:tab w:pos="561"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
        <w:keepNext w:val="0"/>
        <w:keepLines w:val="0"/>
        <w:widowControl w:val="0"/>
        <w:numPr>
          <w:ilvl w:val="0"/>
          <w:numId w:val="7"/>
        </w:numPr>
        <w:shd w:val="clear" w:color="auto" w:fill="auto"/>
        <w:tabs>
          <w:tab w:pos="561"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2"/>
        <w:keepNext w:val="0"/>
        <w:keepLines w:val="0"/>
        <w:widowControl w:val="0"/>
        <w:numPr>
          <w:ilvl w:val="0"/>
          <w:numId w:val="7"/>
        </w:numPr>
        <w:shd w:val="clear" w:color="auto" w:fill="auto"/>
        <w:tabs>
          <w:tab w:pos="642" w:val="left"/>
        </w:tabs>
        <w:bidi w:val="0"/>
        <w:spacing w:before="0"/>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613" w:val="left"/>
        </w:tabs>
        <w:bidi w:val="0"/>
        <w:spacing w:before="0" w:line="254" w:lineRule="auto"/>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
        <w:keepNext w:val="0"/>
        <w:keepLines w:val="0"/>
        <w:widowControl w:val="0"/>
        <w:numPr>
          <w:ilvl w:val="0"/>
          <w:numId w:val="7"/>
        </w:numPr>
        <w:shd w:val="clear" w:color="auto" w:fill="auto"/>
        <w:tabs>
          <w:tab w:pos="616" w:val="left"/>
        </w:tabs>
        <w:bidi w:val="0"/>
        <w:spacing w:before="0"/>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2"/>
        <w:keepNext w:val="0"/>
        <w:keepLines w:val="0"/>
        <w:widowControl w:val="0"/>
        <w:numPr>
          <w:ilvl w:val="0"/>
          <w:numId w:val="7"/>
        </w:numPr>
        <w:shd w:val="clear" w:color="auto" w:fill="auto"/>
        <w:tabs>
          <w:tab w:pos="616" w:val="left"/>
        </w:tabs>
        <w:bidi w:val="0"/>
        <w:spacing w:before="0" w:line="240"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2"/>
        <w:keepNext w:val="0"/>
        <w:keepLines w:val="0"/>
        <w:widowControl w:val="0"/>
        <w:numPr>
          <w:ilvl w:val="0"/>
          <w:numId w:val="7"/>
        </w:numPr>
        <w:shd w:val="clear" w:color="auto" w:fill="auto"/>
        <w:tabs>
          <w:tab w:pos="620" w:val="left"/>
        </w:tabs>
        <w:bidi w:val="0"/>
        <w:spacing w:before="0" w:after="540" w:line="240"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6</w:t>
      </w:r>
    </w:p>
    <w:p>
      <w:pPr>
        <w:pStyle w:val="Style5"/>
        <w:keepNext/>
        <w:keepLines/>
        <w:widowControl w:val="0"/>
        <w:shd w:val="clear" w:color="auto" w:fill="auto"/>
        <w:bidi w:val="0"/>
        <w:spacing w:before="0"/>
        <w:ind w:left="0" w:right="0" w:firstLine="0"/>
        <w:jc w:val="center"/>
      </w:pPr>
      <w:bookmarkStart w:id="26" w:name="bookmark26"/>
      <w:bookmarkStart w:id="27" w:name="bookmark27"/>
      <w:r>
        <w:rPr>
          <w:color w:val="000000"/>
          <w:spacing w:val="0"/>
          <w:w w:val="100"/>
          <w:position w:val="0"/>
          <w:shd w:val="clear" w:color="auto" w:fill="auto"/>
          <w:lang w:val="cs-CZ" w:eastAsia="cs-CZ" w:bidi="cs-CZ"/>
        </w:rPr>
        <w:t>Práva a povinnosti smluvních stran</w:t>
      </w:r>
      <w:bookmarkEnd w:id="26"/>
      <w:bookmarkEnd w:id="27"/>
    </w:p>
    <w:p>
      <w:pPr>
        <w:pStyle w:val="Style2"/>
        <w:keepNext w:val="0"/>
        <w:keepLines w:val="0"/>
        <w:widowControl w:val="0"/>
        <w:numPr>
          <w:ilvl w:val="0"/>
          <w:numId w:val="9"/>
        </w:numPr>
        <w:shd w:val="clear" w:color="auto" w:fill="auto"/>
        <w:tabs>
          <w:tab w:pos="561" w:val="left"/>
        </w:tabs>
        <w:bidi w:val="0"/>
        <w:spacing w:before="0" w:line="264"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61" w:val="left"/>
        </w:tabs>
        <w:bidi w:val="0"/>
        <w:spacing w:before="0" w:line="259"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podlimítním řízení na uzavření této smlouvy.</w:t>
      </w:r>
    </w:p>
    <w:p>
      <w:pPr>
        <w:pStyle w:val="Style2"/>
        <w:keepNext w:val="0"/>
        <w:keepLines w:val="0"/>
        <w:widowControl w:val="0"/>
        <w:numPr>
          <w:ilvl w:val="0"/>
          <w:numId w:val="9"/>
        </w:numPr>
        <w:shd w:val="clear" w:color="auto" w:fill="auto"/>
        <w:tabs>
          <w:tab w:pos="557" w:val="left"/>
        </w:tabs>
        <w:bidi w:val="0"/>
        <w:spacing w:before="0" w:after="240" w:line="240"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2"/>
        <w:keepNext w:val="0"/>
        <w:keepLines w:val="0"/>
        <w:widowControl w:val="0"/>
        <w:shd w:val="clear" w:color="auto" w:fill="auto"/>
        <w:bidi w:val="0"/>
        <w:spacing w:before="0" w:after="740" w:line="240" w:lineRule="auto"/>
        <w:ind w:left="1300" w:right="0" w:firstLine="0"/>
        <w:jc w:val="left"/>
      </w:pPr>
      <w:r>
        <w:rPr>
          <w:b/>
          <w:bCs/>
          <w:color w:val="000000"/>
          <w:spacing w:val="0"/>
          <w:w w:val="100"/>
          <w:position w:val="0"/>
          <w:shd w:val="clear" w:color="auto" w:fill="auto"/>
          <w:lang w:val="cs-CZ" w:eastAsia="cs-CZ" w:bidi="cs-CZ"/>
        </w:rPr>
        <w:t>Odpovědný TDS - Mosty a inženýrské konstrukce</w:t>
      </w:r>
    </w:p>
    <w:p>
      <w:pPr>
        <w:pStyle w:val="Style2"/>
        <w:keepNext w:val="0"/>
        <w:keepLines w:val="0"/>
        <w:widowControl w:val="0"/>
        <w:numPr>
          <w:ilvl w:val="0"/>
          <w:numId w:val="9"/>
        </w:numPr>
        <w:shd w:val="clear" w:color="auto" w:fill="auto"/>
        <w:tabs>
          <w:tab w:pos="557" w:val="left"/>
        </w:tabs>
        <w:bidi w:val="0"/>
        <w:spacing w:before="0"/>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2"/>
        <w:keepNext w:val="0"/>
        <w:keepLines w:val="0"/>
        <w:widowControl w:val="0"/>
        <w:numPr>
          <w:ilvl w:val="0"/>
          <w:numId w:val="9"/>
        </w:numPr>
        <w:shd w:val="clear" w:color="auto" w:fill="auto"/>
        <w:tabs>
          <w:tab w:pos="557" w:val="left"/>
        </w:tabs>
        <w:bidi w:val="0"/>
        <w:spacing w:before="0" w:line="240"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
        <w:keepNext w:val="0"/>
        <w:keepLines w:val="0"/>
        <w:widowControl w:val="0"/>
        <w:numPr>
          <w:ilvl w:val="0"/>
          <w:numId w:val="9"/>
        </w:numPr>
        <w:shd w:val="clear" w:color="auto" w:fill="auto"/>
        <w:tabs>
          <w:tab w:pos="557"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57" w:val="left"/>
        </w:tabs>
        <w:bidi w:val="0"/>
        <w:spacing w:before="0"/>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2"/>
        <w:keepNext w:val="0"/>
        <w:keepLines w:val="0"/>
        <w:widowControl w:val="0"/>
        <w:numPr>
          <w:ilvl w:val="0"/>
          <w:numId w:val="9"/>
        </w:numPr>
        <w:shd w:val="clear" w:color="auto" w:fill="auto"/>
        <w:tabs>
          <w:tab w:pos="557" w:val="left"/>
        </w:tabs>
        <w:bidi w:val="0"/>
        <w:spacing w:before="0"/>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2"/>
        <w:keepNext w:val="0"/>
        <w:keepLines w:val="0"/>
        <w:widowControl w:val="0"/>
        <w:numPr>
          <w:ilvl w:val="0"/>
          <w:numId w:val="9"/>
        </w:numPr>
        <w:shd w:val="clear" w:color="auto" w:fill="auto"/>
        <w:tabs>
          <w:tab w:pos="557" w:val="left"/>
        </w:tabs>
        <w:bidi w:val="0"/>
        <w:spacing w:before="0" w:after="500" w:line="240" w:lineRule="auto"/>
        <w:ind w:left="0" w:right="0" w:firstLine="0"/>
        <w:jc w:val="both"/>
      </w:pPr>
      <w:r>
        <w:rPr>
          <w:color w:val="000000"/>
          <w:spacing w:val="0"/>
          <w:w w:val="100"/>
          <w:position w:val="0"/>
          <w:shd w:val="clear" w:color="auto" w:fill="auto"/>
          <w:lang w:val="cs-CZ" w:eastAsia="cs-CZ" w:bidi="cs-CZ"/>
        </w:rPr>
        <w:t>Dle § 2e) zákona č. 320/2001 Sb., o finanční kontrole, je TDS osobou povinnou spolupůsobit při výkonu finanční kontroly.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7</w:t>
      </w:r>
    </w:p>
    <w:p>
      <w:pPr>
        <w:pStyle w:val="Style5"/>
        <w:keepNext/>
        <w:keepLines/>
        <w:widowControl w:val="0"/>
        <w:shd w:val="clear" w:color="auto" w:fill="auto"/>
        <w:bidi w:val="0"/>
        <w:spacing w:before="0"/>
        <w:ind w:left="0" w:right="0" w:firstLine="0"/>
        <w:jc w:val="center"/>
      </w:pPr>
      <w:bookmarkStart w:id="28" w:name="bookmark28"/>
      <w:bookmarkStart w:id="29" w:name="bookmark29"/>
      <w:r>
        <w:rPr>
          <w:color w:val="000000"/>
          <w:spacing w:val="0"/>
          <w:w w:val="100"/>
          <w:position w:val="0"/>
          <w:shd w:val="clear" w:color="auto" w:fill="auto"/>
          <w:lang w:val="cs-CZ" w:eastAsia="cs-CZ" w:bidi="cs-CZ"/>
        </w:rPr>
        <w:t>Změna závazku</w:t>
      </w:r>
      <w:bookmarkEnd w:id="28"/>
      <w:bookmarkEnd w:id="29"/>
    </w:p>
    <w:p>
      <w:pPr>
        <w:pStyle w:val="Style2"/>
        <w:keepNext w:val="0"/>
        <w:keepLines w:val="0"/>
        <w:widowControl w:val="0"/>
        <w:numPr>
          <w:ilvl w:val="0"/>
          <w:numId w:val="11"/>
        </w:numPr>
        <w:shd w:val="clear" w:color="auto" w:fill="auto"/>
        <w:tabs>
          <w:tab w:pos="557" w:val="left"/>
        </w:tabs>
        <w:bidi w:val="0"/>
        <w:spacing w:before="0" w:line="257"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57" w:val="left"/>
        </w:tabs>
        <w:bidi w:val="0"/>
        <w:spacing w:before="0" w:after="620"/>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5"/>
        <w:keepNext/>
        <w:keepLines/>
        <w:widowControl w:val="0"/>
        <w:shd w:val="clear" w:color="auto" w:fill="auto"/>
        <w:bidi w:val="0"/>
        <w:spacing w:before="0"/>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8</w:t>
        <w:br/>
        <w:t>Sankce</w:t>
      </w:r>
      <w:bookmarkEnd w:id="30"/>
      <w:bookmarkEnd w:id="31"/>
    </w:p>
    <w:p>
      <w:pPr>
        <w:pStyle w:val="Style2"/>
        <w:keepNext w:val="0"/>
        <w:keepLines w:val="0"/>
        <w:widowControl w:val="0"/>
        <w:numPr>
          <w:ilvl w:val="0"/>
          <w:numId w:val="13"/>
        </w:numPr>
        <w:shd w:val="clear" w:color="auto" w:fill="auto"/>
        <w:tabs>
          <w:tab w:pos="557" w:val="left"/>
        </w:tabs>
        <w:bidi w:val="0"/>
        <w:spacing w:before="0" w:line="257"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včl. 3. smlouvy je TDS povinen uhradit objednateli smluvní pokutu ve výši 5% z celkové ceny plnění za každé zjištění. Tuto pokutuje možné ukládat opakovaně, dokud nedojde ke zjednání nápravy.</w:t>
      </w:r>
    </w:p>
    <w:p>
      <w:pPr>
        <w:pStyle w:val="Style2"/>
        <w:keepNext w:val="0"/>
        <w:keepLines w:val="0"/>
        <w:widowControl w:val="0"/>
        <w:numPr>
          <w:ilvl w:val="0"/>
          <w:numId w:val="13"/>
        </w:numPr>
        <w:shd w:val="clear" w:color="auto" w:fill="auto"/>
        <w:tabs>
          <w:tab w:pos="557" w:val="left"/>
        </w:tabs>
        <w:bidi w:val="0"/>
        <w:spacing w:before="0" w:line="259"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2"/>
        <w:keepNext w:val="0"/>
        <w:keepLines w:val="0"/>
        <w:widowControl w:val="0"/>
        <w:numPr>
          <w:ilvl w:val="0"/>
          <w:numId w:val="13"/>
        </w:numPr>
        <w:shd w:val="clear" w:color="auto" w:fill="auto"/>
        <w:tabs>
          <w:tab w:pos="557" w:val="left"/>
        </w:tabs>
        <w:bidi w:val="0"/>
        <w:spacing w:before="0" w:line="259"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ve výši 0,2 % z dlužné částky za každý den prodlení.</w:t>
      </w:r>
    </w:p>
    <w:p>
      <w:pPr>
        <w:pStyle w:val="Style2"/>
        <w:keepNext w:val="0"/>
        <w:keepLines w:val="0"/>
        <w:widowControl w:val="0"/>
        <w:numPr>
          <w:ilvl w:val="0"/>
          <w:numId w:val="13"/>
        </w:numPr>
        <w:shd w:val="clear" w:color="auto" w:fill="auto"/>
        <w:tabs>
          <w:tab w:pos="557" w:val="left"/>
        </w:tabs>
        <w:bidi w:val="0"/>
        <w:spacing w:before="0" w:line="259"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5"/>
        <w:keepNext/>
        <w:keepLines/>
        <w:widowControl w:val="0"/>
        <w:shd w:val="clear" w:color="auto" w:fill="auto"/>
        <w:bidi w:val="0"/>
        <w:spacing w:before="0"/>
        <w:ind w:left="0" w:right="0" w:firstLine="0"/>
        <w:jc w:val="center"/>
      </w:pPr>
      <w:bookmarkStart w:id="32" w:name="bookmark32"/>
      <w:bookmarkStart w:id="33" w:name="bookmark33"/>
      <w:r>
        <w:rPr>
          <w:color w:val="000000"/>
          <w:spacing w:val="0"/>
          <w:w w:val="100"/>
          <w:position w:val="0"/>
          <w:shd w:val="clear" w:color="auto" w:fill="auto"/>
          <w:lang w:val="cs-CZ" w:eastAsia="cs-CZ" w:bidi="cs-CZ"/>
        </w:rPr>
        <w:t>Článek 9</w:t>
        <w:br/>
        <w:t>Odpovědnost za škodu</w:t>
      </w:r>
      <w:bookmarkEnd w:id="32"/>
      <w:bookmarkEnd w:id="33"/>
    </w:p>
    <w:p>
      <w:pPr>
        <w:pStyle w:val="Style2"/>
        <w:keepNext w:val="0"/>
        <w:keepLines w:val="0"/>
        <w:widowControl w:val="0"/>
        <w:numPr>
          <w:ilvl w:val="0"/>
          <w:numId w:val="15"/>
        </w:numPr>
        <w:shd w:val="clear" w:color="auto" w:fill="auto"/>
        <w:tabs>
          <w:tab w:pos="552" w:val="left"/>
        </w:tabs>
        <w:bidi w:val="0"/>
        <w:spacing w:before="0" w:line="264" w:lineRule="auto"/>
        <w:ind w:left="0" w:right="0" w:firstLine="0"/>
        <w:jc w:val="both"/>
      </w:pPr>
      <w:r>
        <w:rPr>
          <w:b/>
          <w:bCs/>
          <w:color w:val="000000"/>
          <w:spacing w:val="0"/>
          <w:w w:val="100"/>
          <w:position w:val="0"/>
          <w:shd w:val="clear" w:color="auto" w:fill="auto"/>
          <w:lang w:val="cs-CZ" w:eastAsia="cs-CZ" w:bidi="cs-CZ"/>
        </w:rPr>
        <w:t xml:space="preserve">TDS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2"/>
        <w:keepNext w:val="0"/>
        <w:keepLines w:val="0"/>
        <w:widowControl w:val="0"/>
        <w:numPr>
          <w:ilvl w:val="0"/>
          <w:numId w:val="15"/>
        </w:numPr>
        <w:shd w:val="clear" w:color="auto" w:fill="auto"/>
        <w:tabs>
          <w:tab w:pos="552"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p>
    <w:p>
      <w:pPr>
        <w:pStyle w:val="Style2"/>
        <w:keepNext w:val="0"/>
        <w:keepLines w:val="0"/>
        <w:widowControl w:val="0"/>
        <w:numPr>
          <w:ilvl w:val="0"/>
          <w:numId w:val="15"/>
        </w:numPr>
        <w:shd w:val="clear" w:color="auto" w:fill="auto"/>
        <w:tabs>
          <w:tab w:pos="552" w:val="left"/>
        </w:tabs>
        <w:bidi w:val="0"/>
        <w:spacing w:before="0" w:after="600" w:line="266"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10</w:t>
      </w:r>
    </w:p>
    <w:p>
      <w:pPr>
        <w:pStyle w:val="Style5"/>
        <w:keepNext/>
        <w:keepLines/>
        <w:widowControl w:val="0"/>
        <w:shd w:val="clear" w:color="auto" w:fill="auto"/>
        <w:bidi w:val="0"/>
        <w:spacing w:before="0" w:line="257"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Ostatní ujednání, závěrečná ustanovení</w:t>
      </w:r>
      <w:bookmarkEnd w:id="34"/>
      <w:bookmarkEnd w:id="35"/>
    </w:p>
    <w:p>
      <w:pPr>
        <w:pStyle w:val="Style2"/>
        <w:keepNext w:val="0"/>
        <w:keepLines w:val="0"/>
        <w:widowControl w:val="0"/>
        <w:numPr>
          <w:ilvl w:val="0"/>
          <w:numId w:val="17"/>
        </w:numPr>
        <w:shd w:val="clear" w:color="auto" w:fill="auto"/>
        <w:tabs>
          <w:tab w:pos="590" w:val="left"/>
        </w:tabs>
        <w:bidi w:val="0"/>
        <w:spacing w:before="0" w:line="257" w:lineRule="auto"/>
        <w:ind w:left="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2"/>
        <w:keepNext w:val="0"/>
        <w:keepLines w:val="0"/>
        <w:widowControl w:val="0"/>
        <w:numPr>
          <w:ilvl w:val="0"/>
          <w:numId w:val="17"/>
        </w:numPr>
        <w:shd w:val="clear" w:color="auto" w:fill="auto"/>
        <w:tabs>
          <w:tab w:pos="598" w:val="left"/>
        </w:tabs>
        <w:bidi w:val="0"/>
        <w:spacing w:before="0"/>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nevyplýváni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612" w:val="left"/>
        </w:tabs>
        <w:bidi w:val="0"/>
        <w:spacing w:before="0" w:line="257"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605" w:val="left"/>
        </w:tabs>
        <w:bidi w:val="0"/>
        <w:spacing w:before="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
        <w:keepNext w:val="0"/>
        <w:keepLines w:val="0"/>
        <w:widowControl w:val="0"/>
        <w:numPr>
          <w:ilvl w:val="0"/>
          <w:numId w:val="17"/>
        </w:numPr>
        <w:shd w:val="clear" w:color="auto" w:fill="auto"/>
        <w:tabs>
          <w:tab w:pos="608" w:val="left"/>
        </w:tabs>
        <w:bidi w:val="0"/>
        <w:spacing w:before="0" w:line="257"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
        <w:keepNext w:val="0"/>
        <w:keepLines w:val="0"/>
        <w:widowControl w:val="0"/>
        <w:numPr>
          <w:ilvl w:val="0"/>
          <w:numId w:val="17"/>
        </w:numPr>
        <w:shd w:val="clear" w:color="auto" w:fill="auto"/>
        <w:tabs>
          <w:tab w:pos="605" w:val="left"/>
        </w:tabs>
        <w:bidi w:val="0"/>
        <w:spacing w:before="0"/>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605" w:val="left"/>
        </w:tabs>
        <w:bidi w:val="0"/>
        <w:spacing w:before="0"/>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590"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2"/>
        <w:keepNext w:val="0"/>
        <w:keepLines w:val="0"/>
        <w:widowControl w:val="0"/>
        <w:numPr>
          <w:ilvl w:val="0"/>
          <w:numId w:val="17"/>
        </w:numPr>
        <w:shd w:val="clear" w:color="auto" w:fill="auto"/>
        <w:tabs>
          <w:tab w:pos="601" w:val="left"/>
        </w:tabs>
        <w:bidi w:val="0"/>
        <w:spacing w:before="0" w:line="264" w:lineRule="auto"/>
        <w:ind w:left="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r>
        <w:br w:type="page"/>
      </w:r>
    </w:p>
    <w:p>
      <w:pPr>
        <w:pStyle w:val="Style2"/>
        <w:keepNext w:val="0"/>
        <w:keepLines w:val="0"/>
        <w:widowControl w:val="0"/>
        <w:numPr>
          <w:ilvl w:val="0"/>
          <w:numId w:val="17"/>
        </w:numPr>
        <w:shd w:val="clear" w:color="auto" w:fill="auto"/>
        <w:tabs>
          <w:tab w:pos="769" w:val="left"/>
        </w:tabs>
        <w:bidi w:val="0"/>
        <w:spacing w:before="0" w:after="480"/>
        <w:ind w:left="0" w:right="0" w:firstLine="0"/>
        <w:jc w:val="both"/>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TDS</w:t>
      </w:r>
    </w:p>
    <w:p>
      <w:pPr>
        <w:pStyle w:val="Style2"/>
        <w:keepNext w:val="0"/>
        <w:keepLines w:val="0"/>
        <w:widowControl w:val="0"/>
        <w:shd w:val="clear" w:color="auto" w:fill="auto"/>
        <w:bidi w:val="0"/>
        <w:spacing w:before="0" w:after="480" w:line="240" w:lineRule="auto"/>
        <w:ind w:left="0" w:right="0" w:firstLine="0"/>
        <w:jc w:val="center"/>
      </w:pPr>
      <w:r>
        <mc:AlternateContent>
          <mc:Choice Requires="wps">
            <w:drawing>
              <wp:anchor distT="0" distB="0" distL="114300" distR="114300" simplePos="0" relativeHeight="125829392" behindDoc="0" locked="0" layoutInCell="1" allowOverlap="1">
                <wp:simplePos x="0" y="0"/>
                <wp:positionH relativeFrom="page">
                  <wp:posOffset>741680</wp:posOffset>
                </wp:positionH>
                <wp:positionV relativeFrom="paragraph">
                  <wp:posOffset>12700</wp:posOffset>
                </wp:positionV>
                <wp:extent cx="1609090" cy="671830"/>
                <wp:wrapSquare wrapText="right"/>
                <wp:docPr id="15" name="Shape 15"/>
                <a:graphic xmlns:a="http://schemas.openxmlformats.org/drawingml/2006/main">
                  <a:graphicData uri="http://schemas.microsoft.com/office/word/2010/wordprocessingShape">
                    <wps:wsp>
                      <wps:cNvSpPr txBox="1"/>
                      <wps:spPr>
                        <a:xfrm>
                          <a:ext cx="1609090" cy="671830"/>
                        </a:xfrm>
                        <a:prstGeom prst="rect"/>
                        <a:noFill/>
                      </wps:spPr>
                      <wps:txbx>
                        <w:txbxContent>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Liberci dne: 21.3.2019</w:t>
                            </w:r>
                          </w:p>
                        </w:txbxContent>
                      </wps:txbx>
                      <wps:bodyPr lIns="0" tIns="0" rIns="0" bIns="0">
                        <a:noAutoFit/>
                      </wps:bodyPr>
                    </wps:wsp>
                  </a:graphicData>
                </a:graphic>
              </wp:anchor>
            </w:drawing>
          </mc:Choice>
          <mc:Fallback>
            <w:pict>
              <v:shape id="_x0000_s1041" type="#_x0000_t202" style="position:absolute;margin-left:58.399999999999999pt;margin-top:1.pt;width:126.7pt;height:52.899999999999999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Liberci dne: 21.3.2019</w:t>
                      </w:r>
                    </w:p>
                  </w:txbxContent>
                </v:textbox>
                <w10:wrap type="square" side="right" anchorx="page"/>
              </v:shape>
            </w:pict>
          </mc:Fallback>
        </mc:AlternateContent>
      </w: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tabs>
          <w:tab w:leader="dot" w:pos="3661" w:val="left"/>
        </w:tabs>
        <w:bidi w:val="0"/>
        <w:spacing w:before="0" w:after="1660" w:line="240" w:lineRule="auto"/>
        <w:ind w:left="1980" w:right="0" w:firstLine="0"/>
        <w:jc w:val="left"/>
      </w:pPr>
      <w:r>
        <w:rPr>
          <w:color w:val="000000"/>
          <w:spacing w:val="0"/>
          <w:w w:val="100"/>
          <w:position w:val="0"/>
          <w:shd w:val="clear" w:color="auto" w:fill="auto"/>
          <w:lang w:val="cs-CZ" w:eastAsia="cs-CZ" w:bidi="cs-CZ"/>
        </w:rPr>
        <w:t>V Jihlavě dne:</w:t>
        <w:tab/>
        <w:t>.2. B...03... 2019...</w:t>
      </w:r>
    </w:p>
    <w:p>
      <w:pPr>
        <w:pStyle w:val="Style2"/>
        <w:keepNext w:val="0"/>
        <w:keepLines w:val="0"/>
        <w:widowControl w:val="0"/>
        <w:shd w:val="clear" w:color="auto" w:fill="auto"/>
        <w:bidi w:val="0"/>
        <w:spacing w:before="0" w:after="0" w:line="240" w:lineRule="auto"/>
        <w:ind w:left="0" w:right="0" w:firstLine="0"/>
        <w:jc w:val="center"/>
        <w:sectPr>
          <w:footerReference w:type="default" r:id="rId5"/>
          <w:footnotePr>
            <w:pos w:val="pageBottom"/>
            <w:numFmt w:val="decimal"/>
            <w:numRestart w:val="continuous"/>
          </w:footnotePr>
          <w:pgSz w:w="11900" w:h="16840"/>
          <w:pgMar w:top="1559" w:left="1114" w:right="890" w:bottom="2071" w:header="1131" w:footer="3" w:gutter="0"/>
          <w:pgNumType w:start="1"/>
          <w:cols w:space="720"/>
          <w:noEndnote/>
          <w:rtlGutter w:val="0"/>
          <w:docGrid w:linePitch="360"/>
        </w:sectPr>
      </w:pPr>
      <w:r>
        <w:rPr>
          <w:color w:val="000000"/>
          <w:spacing w:val="0"/>
          <w:w w:val="100"/>
          <w:position w:val="0"/>
          <w:shd w:val="clear" w:color="auto" w:fill="auto"/>
          <w:lang w:val="cs-CZ" w:eastAsia="cs-CZ" w:bidi="cs-CZ"/>
        </w:rPr>
        <w:t>Ing. Jan Mika, MBA</w:t>
        <w:br/>
        <w:t>ředitel</w:t>
      </w:r>
    </w:p>
    <w:tbl>
      <w:tblPr>
        <w:tblOverlap w:val="never"/>
        <w:jc w:val="center"/>
        <w:tblLayout w:type="fixed"/>
      </w:tblPr>
      <w:tblGrid>
        <w:gridCol w:w="547"/>
        <w:gridCol w:w="5612"/>
        <w:gridCol w:w="1613"/>
        <w:gridCol w:w="1703"/>
      </w:tblGrid>
      <w:tr>
        <w:trPr>
          <w:trHeight w:val="500" w:hRule="exact"/>
        </w:trPr>
        <w:tc>
          <w:tcPr>
            <w:gridSpan w:val="4"/>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Příloha č. 1 - 59/2019 TDS'D2/POP ZIVsl</w:t>
            </w:r>
          </w:p>
        </w:tc>
      </w:tr>
      <w:tr>
        <w:trPr>
          <w:trHeight w:val="508" w:hRule="exact"/>
        </w:trPr>
        <w:tc>
          <w:tcPr>
            <w:gridSpan w:val="4"/>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odměny TDS</w:t>
            </w:r>
          </w:p>
        </w:tc>
      </w:tr>
      <w:tr>
        <w:trPr>
          <w:trHeight w:val="356" w:hRule="exact"/>
        </w:trPr>
        <w:tc>
          <w:tcPr>
            <w:gridSpan w:val="4"/>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akce: "11/354 Miiovy - most ev. č. 354-011"</w:t>
            </w:r>
          </w:p>
        </w:tc>
      </w:tr>
      <w:tr>
        <w:trPr>
          <w:trHeight w:val="320"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Cena v Kč bez DPH</w:t>
            </w:r>
          </w:p>
        </w:tc>
      </w:tr>
      <w:tr>
        <w:trPr>
          <w:trHeight w:val="34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60"/>
              <w:jc w:val="left"/>
              <w:rPr>
                <w:sz w:val="14"/>
                <w:szCs w:val="14"/>
              </w:rPr>
            </w:pPr>
            <w:r>
              <w:rPr>
                <w:rFonts w:ascii="Arial" w:eastAsia="Arial" w:hAnsi="Arial" w:cs="Arial"/>
                <w:b/>
                <w:bCs/>
                <w:i/>
                <w:iCs/>
                <w:color w:val="000000"/>
                <w:spacing w:val="0"/>
                <w:w w:val="100"/>
                <w:position w:val="0"/>
                <w:sz w:val="14"/>
                <w:szCs w:val="14"/>
                <w:shd w:val="clear" w:color="auto" w:fill="auto"/>
                <w:lang w:val="cs-CZ" w:eastAsia="cs-CZ" w:bidi="cs-CZ"/>
              </w:rPr>
              <w:t>celkem</w:t>
            </w:r>
          </w:p>
        </w:tc>
      </w:tr>
      <w:tr>
        <w:trPr>
          <w:trHeight w:val="439" w:hRule="exact"/>
        </w:trPr>
        <w:tc>
          <w:tcPr>
            <w:gridSpan w:val="4"/>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A. Výkon TDS - práce před zahájením a po dokončení stavby</w:t>
            </w:r>
          </w:p>
        </w:tc>
      </w:tr>
      <w:tr>
        <w:trPr>
          <w:trHeight w:val="695"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322"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Cena za práci před zahájením stavby</w:t>
            </w:r>
          </w:p>
          <w:p>
            <w:pPr>
              <w:pStyle w:val="Style7"/>
              <w:keepNext w:val="0"/>
              <w:keepLines w:val="0"/>
              <w:widowControl w:val="0"/>
              <w:shd w:val="clear" w:color="auto" w:fill="auto"/>
              <w:bidi w:val="0"/>
              <w:spacing w:before="0" w:after="0" w:line="322"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se zahájením stavby, dle specifikace</w:t>
            </w:r>
            <w:r>
              <w:rPr>
                <w:rFonts w:ascii="Arial" w:eastAsia="Arial" w:hAnsi="Arial" w:cs="Arial"/>
                <w:b/>
                <w:bCs/>
                <w:color w:val="000000"/>
                <w:spacing w:val="0"/>
                <w:w w:val="100"/>
                <w:position w:val="0"/>
                <w:sz w:val="14"/>
                <w:szCs w:val="14"/>
                <w:shd w:val="clear" w:color="auto" w:fill="auto"/>
                <w:lang w:val="cs-CZ" w:eastAsia="cs-CZ" w:bidi="cs-CZ"/>
              </w:rPr>
              <w:t xml:space="preserve"> v </w:t>
            </w:r>
            <w:r>
              <w:rPr>
                <w:i/>
                <w:iCs/>
                <w:color w:val="000000"/>
                <w:spacing w:val="0"/>
                <w:w w:val="100"/>
                <w:position w:val="0"/>
                <w:sz w:val="14"/>
                <w:szCs w:val="14"/>
                <w:shd w:val="clear" w:color="auto" w:fill="auto"/>
                <w:lang w:val="cs-CZ" w:eastAsia="cs-CZ" w:bidi="cs-CZ"/>
              </w:rPr>
              <w:t>čl. 3.1 Smlouvy</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15 000,00 KČ</w:t>
            </w:r>
          </w:p>
        </w:tc>
      </w:tr>
      <w:tr>
        <w:trPr>
          <w:trHeight w:val="716"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329"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Cena za práci po dokončení stavby</w:t>
            </w:r>
          </w:p>
          <w:p>
            <w:pPr>
              <w:pStyle w:val="Style7"/>
              <w:keepNext w:val="0"/>
              <w:keepLines w:val="0"/>
              <w:widowControl w:val="0"/>
              <w:shd w:val="clear" w:color="auto" w:fill="auto"/>
              <w:bidi w:val="0"/>
              <w:spacing w:before="0" w:after="0" w:line="326"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 xml:space="preserve">í </w:t>
            </w:r>
            <w:r>
              <w:rPr>
                <w:i/>
                <w:iCs/>
                <w:color w:val="000000"/>
                <w:spacing w:val="0"/>
                <w:w w:val="100"/>
                <w:position w:val="0"/>
                <w:sz w:val="14"/>
                <w:szCs w:val="14"/>
                <w:shd w:val="clear" w:color="auto" w:fill="auto"/>
                <w:lang w:val="cs-CZ" w:eastAsia="cs-CZ" w:bidi="cs-CZ"/>
              </w:rPr>
              <w:t>'častník uvede nabídkovou cenu TDS za práce spojené s dokončením stavby, dle specifikace</w:t>
            </w:r>
            <w:r>
              <w:rPr>
                <w:rFonts w:ascii="Arial" w:eastAsia="Arial" w:hAnsi="Arial" w:cs="Arial"/>
                <w:b/>
                <w:bCs/>
                <w:color w:val="000000"/>
                <w:spacing w:val="0"/>
                <w:w w:val="100"/>
                <w:position w:val="0"/>
                <w:sz w:val="14"/>
                <w:szCs w:val="14"/>
                <w:shd w:val="clear" w:color="auto" w:fill="auto"/>
                <w:lang w:val="cs-CZ" w:eastAsia="cs-CZ" w:bidi="cs-CZ"/>
              </w:rPr>
              <w:t xml:space="preserve"> v </w:t>
            </w:r>
            <w:r>
              <w:rPr>
                <w:i/>
                <w:iCs/>
                <w:color w:val="000000"/>
                <w:spacing w:val="0"/>
                <w:w w:val="100"/>
                <w:position w:val="0"/>
                <w:sz w:val="14"/>
                <w:szCs w:val="14"/>
                <w:shd w:val="clear" w:color="auto" w:fill="auto"/>
                <w:lang w:val="cs-CZ" w:eastAsia="cs-CZ" w:bidi="cs-CZ"/>
              </w:rPr>
              <w:t>čl. 3 3. Smlouvy.</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b/>
                <w:bCs/>
                <w:color w:val="000000"/>
                <w:spacing w:val="0"/>
                <w:w w:val="100"/>
                <w:position w:val="0"/>
                <w:sz w:val="14"/>
                <w:szCs w:val="14"/>
                <w:shd w:val="clear" w:color="auto" w:fill="auto"/>
                <w:lang w:val="cs-CZ" w:eastAsia="cs-CZ" w:bidi="cs-CZ"/>
              </w:rPr>
              <w:t>15 000.00 KČ</w:t>
            </w:r>
          </w:p>
        </w:tc>
      </w:tr>
      <w:tr>
        <w:trPr>
          <w:trHeight w:val="490" w:hRule="exact"/>
        </w:trPr>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4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A. Cena za výkon TDS před zahájením a po dokončení stavby celkem</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b/>
                <w:bCs/>
                <w:color w:val="000000"/>
                <w:spacing w:val="0"/>
                <w:w w:val="100"/>
                <w:position w:val="0"/>
                <w:sz w:val="15"/>
                <w:szCs w:val="15"/>
                <w:shd w:val="clear" w:color="auto" w:fill="auto"/>
                <w:lang w:val="cs-CZ" w:eastAsia="cs-CZ" w:bidi="cs-CZ"/>
              </w:rPr>
              <w:t>30 000,00 Kč</w:t>
            </w:r>
          </w:p>
        </w:tc>
      </w:tr>
      <w:tr>
        <w:trPr>
          <w:trHeight w:val="724"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307"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B. Výkon TDS - práce spojená s prováděním stavby</w:t>
            </w:r>
          </w:p>
          <w:p>
            <w:pPr>
              <w:pStyle w:val="Style7"/>
              <w:keepNext w:val="0"/>
              <w:keepLines w:val="0"/>
              <w:widowControl w:val="0"/>
              <w:shd w:val="clear" w:color="auto" w:fill="auto"/>
              <w:bidi w:val="0"/>
              <w:spacing w:before="0" w:after="0" w:line="329" w:lineRule="auto"/>
              <w:ind w:left="0" w:right="0" w:firstLine="0"/>
              <w:jc w:val="left"/>
              <w:rPr>
                <w:sz w:val="14"/>
                <w:szCs w:val="14"/>
              </w:rPr>
            </w:pPr>
            <w:r>
              <w:rPr>
                <w:rFonts w:ascii="Arial" w:eastAsia="Arial" w:hAnsi="Arial" w:cs="Arial"/>
                <w:b/>
                <w:bCs/>
                <w:i/>
                <w:iCs/>
                <w:color w:val="000000"/>
                <w:spacing w:val="0"/>
                <w:w w:val="100"/>
                <w:position w:val="0"/>
                <w:sz w:val="14"/>
                <w:szCs w:val="14"/>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322" w:lineRule="auto"/>
              <w:ind w:left="0" w:right="0" w:firstLine="0"/>
              <w:jc w:val="center"/>
              <w:rPr>
                <w:sz w:val="14"/>
                <w:szCs w:val="14"/>
              </w:rPr>
            </w:pPr>
            <w:r>
              <w:rPr>
                <w:rFonts w:ascii="Arial" w:eastAsia="Arial" w:hAnsi="Arial" w:cs="Arial"/>
                <w:b/>
                <w:bCs/>
                <w:i/>
                <w:iCs/>
                <w:color w:val="000000"/>
                <w:spacing w:val="0"/>
                <w:w w:val="100"/>
                <w:position w:val="0"/>
                <w:sz w:val="14"/>
                <w:szCs w:val="14"/>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i/>
                <w:iCs/>
                <w:color w:val="000000"/>
                <w:spacing w:val="0"/>
                <w:w w:val="100"/>
                <w:position w:val="0"/>
                <w:sz w:val="14"/>
                <w:szCs w:val="14"/>
                <w:shd w:val="clear" w:color="auto" w:fill="auto"/>
                <w:lang w:val="cs-CZ" w:eastAsia="cs-CZ" w:bidi="cs-CZ"/>
              </w:rPr>
              <w:t>celkem za 10 hodin *</w:t>
            </w:r>
          </w:p>
        </w:tc>
      </w:tr>
      <w:tr>
        <w:trPr>
          <w:trHeight w:val="81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both"/>
              <w:rPr>
                <w:sz w:val="16"/>
                <w:szCs w:val="16"/>
              </w:rPr>
            </w:pPr>
            <w:r>
              <w:rPr>
                <w:b/>
                <w:bCs/>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Práce spojené s výkonem TDS v kanceláři</w:t>
            </w:r>
          </w:p>
          <w:p>
            <w:pPr>
              <w:pStyle w:val="Style7"/>
              <w:keepNext w:val="0"/>
              <w:keepLines w:val="0"/>
              <w:widowControl w:val="0"/>
              <w:numPr>
                <w:ilvl w:val="0"/>
                <w:numId w:val="19"/>
              </w:numPr>
              <w:shd w:val="clear" w:color="auto" w:fill="auto"/>
              <w:tabs>
                <w:tab w:pos="101" w:val="left"/>
              </w:tabs>
              <w:bidi w:val="0"/>
              <w:spacing w:before="0" w:after="4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předpokládané náklady bez nároku na cestové</w:t>
            </w:r>
          </w:p>
          <w:p>
            <w:pPr>
              <w:pStyle w:val="Style7"/>
              <w:keepNext w:val="0"/>
              <w:keepLines w:val="0"/>
              <w:widowControl w:val="0"/>
              <w:numPr>
                <w:ilvl w:val="0"/>
                <w:numId w:val="19"/>
              </w:numPr>
              <w:shd w:val="clear" w:color="auto" w:fill="auto"/>
              <w:tabs>
                <w:tab w:pos="108" w:val="left"/>
              </w:tabs>
              <w:bidi w:val="0"/>
              <w:spacing w:before="0" w:after="4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 předpokládaném rozsahu 10 hodin</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720,00 Kč</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7 200.00 Kč</w:t>
            </w:r>
          </w:p>
        </w:tc>
      </w:tr>
      <w:tr>
        <w:trPr>
          <w:trHeight w:val="511"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4.</w:t>
            </w:r>
          </w:p>
        </w:tc>
        <w:tc>
          <w:tcPr>
            <w:vMerge w:val="restart"/>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322"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Práce spojené s výkonem TDS na staveništi</w:t>
            </w:r>
          </w:p>
          <w:p>
            <w:pPr>
              <w:pStyle w:val="Style7"/>
              <w:keepNext w:val="0"/>
              <w:keepLines w:val="0"/>
              <w:widowControl w:val="0"/>
              <w:numPr>
                <w:ilvl w:val="0"/>
                <w:numId w:val="21"/>
              </w:numPr>
              <w:shd w:val="clear" w:color="auto" w:fill="auto"/>
              <w:tabs>
                <w:tab w:pos="108" w:val="left"/>
              </w:tabs>
              <w:bidi w:val="0"/>
              <w:spacing w:before="0" w:after="0" w:line="322"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předpokládané náklady včetně cestovného</w:t>
            </w:r>
          </w:p>
          <w:p>
            <w:pPr>
              <w:pStyle w:val="Style7"/>
              <w:keepNext w:val="0"/>
              <w:keepLines w:val="0"/>
              <w:widowControl w:val="0"/>
              <w:numPr>
                <w:ilvl w:val="0"/>
                <w:numId w:val="21"/>
              </w:numPr>
              <w:shd w:val="clear" w:color="auto" w:fill="auto"/>
              <w:tabs>
                <w:tab w:pos="108" w:val="left"/>
              </w:tabs>
              <w:bidi w:val="0"/>
              <w:spacing w:before="0" w:after="0" w:line="322"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 xml:space="preserve">v předpokládaném rozsahu 2 návštěvy/týden á 3 hodiny, celkem 16 týdnů </w:t>
            </w:r>
            <w:r>
              <w:rPr>
                <w:rFonts w:ascii="Arial" w:eastAsia="Arial" w:hAnsi="Arial" w:cs="Arial"/>
                <w:b/>
                <w:bCs/>
                <w:i/>
                <w:iCs/>
                <w:color w:val="000000"/>
                <w:spacing w:val="0"/>
                <w:w w:val="100"/>
                <w:position w:val="0"/>
                <w:sz w:val="14"/>
                <w:szCs w:val="14"/>
                <w:shd w:val="clear" w:color="auto" w:fill="auto"/>
                <w:lang w:val="cs-CZ" w:eastAsia="cs-CZ" w:bidi="cs-CZ"/>
              </w:rPr>
              <w:t>f vzorec pro výpočet hodin: 2 návštěw x 3 hod. výkonu TDSx 16 týdnu</w:t>
            </w:r>
          </w:p>
          <w:p>
            <w:pPr>
              <w:pStyle w:val="Style7"/>
              <w:keepNext w:val="0"/>
              <w:keepLines w:val="0"/>
              <w:widowControl w:val="0"/>
              <w:shd w:val="clear" w:color="auto" w:fill="auto"/>
              <w:bidi w:val="0"/>
              <w:spacing w:before="0" w:after="0" w:line="322" w:lineRule="auto"/>
              <w:ind w:left="0" w:right="0" w:firstLine="0"/>
              <w:jc w:val="left"/>
              <w:rPr>
                <w:sz w:val="14"/>
                <w:szCs w:val="14"/>
              </w:rPr>
            </w:pPr>
            <w:r>
              <w:rPr>
                <w:rFonts w:ascii="Arial" w:eastAsia="Arial" w:hAnsi="Arial" w:cs="Arial"/>
                <w:b/>
                <w:bCs/>
                <w:i/>
                <w:iCs/>
                <w:color w:val="000000"/>
                <w:spacing w:val="0"/>
                <w:w w:val="100"/>
                <w:position w:val="0"/>
                <w:sz w:val="14"/>
                <w:szCs w:val="14"/>
                <w:shd w:val="clear" w:color="auto" w:fill="auto"/>
                <w:lang w:val="cs-CZ" w:eastAsia="cs-CZ" w:bidi="cs-CZ"/>
              </w:rPr>
              <w:t>96 hodin výkonu TDS celkem)</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770,00 Kč</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i/>
                <w:iCs/>
                <w:color w:val="000000"/>
                <w:spacing w:val="0"/>
                <w:w w:val="100"/>
                <w:position w:val="0"/>
                <w:sz w:val="14"/>
                <w:szCs w:val="14"/>
                <w:shd w:val="clear" w:color="auto" w:fill="auto"/>
                <w:lang w:val="cs-CZ" w:eastAsia="cs-CZ" w:bidi="cs-CZ"/>
              </w:rPr>
              <w:t>celkem za 96 hodin *</w:t>
            </w:r>
          </w:p>
        </w:tc>
      </w:tr>
      <w:tr>
        <w:trPr>
          <w:trHeight w:val="842"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73 920.00 Kč</w:t>
            </w:r>
          </w:p>
        </w:tc>
      </w:tr>
      <w:tr>
        <w:trPr>
          <w:trHeight w:val="479" w:hRule="exact"/>
        </w:trPr>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4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 Cena za výkon TDS při provádění stavby celkem</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b/>
                <w:bCs/>
                <w:color w:val="000000"/>
                <w:spacing w:val="0"/>
                <w:w w:val="100"/>
                <w:position w:val="0"/>
                <w:sz w:val="15"/>
                <w:szCs w:val="15"/>
                <w:shd w:val="clear" w:color="auto" w:fill="auto"/>
                <w:lang w:val="cs-CZ" w:eastAsia="cs-CZ" w:bidi="cs-CZ"/>
              </w:rPr>
              <w:t>81 120,00 Kč</w:t>
            </w:r>
          </w:p>
        </w:tc>
      </w:tr>
      <w:tr>
        <w:trPr>
          <w:trHeight w:val="482" w:hRule="exact"/>
        </w:trPr>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4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b/>
                <w:bCs/>
                <w:color w:val="000000"/>
                <w:spacing w:val="0"/>
                <w:w w:val="100"/>
                <w:position w:val="0"/>
                <w:sz w:val="15"/>
                <w:szCs w:val="15"/>
                <w:shd w:val="clear" w:color="auto" w:fill="auto"/>
                <w:lang w:val="cs-CZ" w:eastAsia="cs-CZ" w:bidi="cs-CZ"/>
              </w:rPr>
              <w:t>111 1201,00 Kč</w:t>
            </w:r>
          </w:p>
        </w:tc>
      </w:tr>
      <w:tr>
        <w:trPr>
          <w:trHeight w:val="443" w:hRule="exact"/>
        </w:trPr>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4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DPH 21 %</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b/>
                <w:bCs/>
                <w:color w:val="000000"/>
                <w:spacing w:val="0"/>
                <w:w w:val="100"/>
                <w:position w:val="0"/>
                <w:sz w:val="15"/>
                <w:szCs w:val="15"/>
                <w:shd w:val="clear" w:color="auto" w:fill="auto"/>
                <w:lang w:val="cs-CZ" w:eastAsia="cs-CZ" w:bidi="cs-CZ"/>
              </w:rPr>
              <w:t>23 335,20 Kč</w:t>
            </w:r>
          </w:p>
        </w:tc>
      </w:tr>
      <w:tr>
        <w:trPr>
          <w:trHeight w:val="475" w:hRule="exact"/>
        </w:trPr>
        <w:tc>
          <w:tcPr>
            <w:gridSpan w:val="2"/>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4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CENA CELKEM VČETNĚ DPH</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b/>
                <w:bCs/>
                <w:color w:val="000000"/>
                <w:spacing w:val="0"/>
                <w:w w:val="100"/>
                <w:position w:val="0"/>
                <w:sz w:val="15"/>
                <w:szCs w:val="15"/>
                <w:shd w:val="clear" w:color="auto" w:fill="auto"/>
                <w:lang w:val="cs-CZ" w:eastAsia="cs-CZ" w:bidi="cs-CZ"/>
              </w:rPr>
              <w:t>134 45^20 KČ</w:t>
            </w:r>
          </w:p>
        </w:tc>
      </w:tr>
    </w:tbl>
    <w:p>
      <w:pPr>
        <w:pStyle w:val="Style26"/>
        <w:keepNext w:val="0"/>
        <w:keepLines w:val="0"/>
        <w:widowControl w:val="0"/>
        <w:shd w:val="clear" w:color="auto" w:fill="auto"/>
        <w:bidi w:val="0"/>
        <w:spacing w:before="0" w:after="0" w:line="240" w:lineRule="auto"/>
        <w:ind w:left="778" w:right="0" w:firstLine="0"/>
        <w:jc w:val="left"/>
        <w:rPr>
          <w:sz w:val="15"/>
          <w:szCs w:val="15"/>
        </w:rPr>
      </w:pPr>
      <w:r>
        <w:rPr>
          <w:b/>
          <w:bCs/>
          <w:i/>
          <w:iCs/>
          <w:color w:val="000000"/>
          <w:spacing w:val="0"/>
          <w:w w:val="100"/>
          <w:position w:val="0"/>
          <w:sz w:val="15"/>
          <w:szCs w:val="15"/>
          <w:shd w:val="clear" w:color="auto" w:fill="auto"/>
          <w:lang w:val="cs-CZ" w:eastAsia="cs-CZ" w:bidi="cs-CZ"/>
        </w:rPr>
        <w:t>Tabulka pro zpracování ceny plnění bude jako příloha nedílnou součástí Smlouvy o zajištění výkonu TDS na staveništi.</w:t>
      </w:r>
    </w:p>
    <w:p>
      <w:pPr>
        <w:widowControl w:val="0"/>
        <w:spacing w:after="319" w:line="1" w:lineRule="exact"/>
      </w:pPr>
    </w:p>
    <w:p>
      <w:pPr>
        <w:pStyle w:val="Style43"/>
        <w:keepNext w:val="0"/>
        <w:keepLines w:val="0"/>
        <w:widowControl w:val="0"/>
        <w:shd w:val="clear" w:color="auto" w:fill="auto"/>
        <w:bidi w:val="0"/>
        <w:spacing w:before="0" w:after="0"/>
        <w:ind w:left="0" w:right="0" w:firstLine="0"/>
        <w:jc w:val="left"/>
      </w:pPr>
      <w:r>
        <w:rPr>
          <w:b w:val="0"/>
          <w:bCs w:val="0"/>
          <w:color w:val="000000"/>
          <w:spacing w:val="0"/>
          <w:w w:val="100"/>
          <w:position w:val="0"/>
          <w:sz w:val="14"/>
          <w:szCs w:val="14"/>
          <w:shd w:val="clear" w:color="auto" w:fill="auto"/>
          <w:lang w:val="cs-CZ" w:eastAsia="cs-CZ" w:bidi="cs-CZ"/>
        </w:rPr>
        <w:t xml:space="preserve">Položka č. I - </w:t>
      </w:r>
      <w:r>
        <w:rPr>
          <w:b w:val="0"/>
          <w:bCs w:val="0"/>
          <w:color w:val="000000"/>
          <w:spacing w:val="0"/>
          <w:w w:val="100"/>
          <w:position w:val="0"/>
          <w:sz w:val="14"/>
          <w:szCs w:val="14"/>
          <w:u w:val="single"/>
          <w:shd w:val="clear" w:color="auto" w:fill="auto"/>
          <w:lang w:val="cs-CZ" w:eastAsia="cs-CZ" w:bidi="cs-CZ"/>
        </w:rPr>
        <w:t>Cenu za práv t před zahájením stavby</w:t>
      </w:r>
      <w:r>
        <w:rPr>
          <w:b w:val="0"/>
          <w:bCs w:val="0"/>
          <w:color w:val="000000"/>
          <w:spacing w:val="0"/>
          <w:w w:val="100"/>
          <w:position w:val="0"/>
          <w:sz w:val="14"/>
          <w:szCs w:val="14"/>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3"/>
        <w:keepNext w:val="0"/>
        <w:keepLines w:val="0"/>
        <w:widowControl w:val="0"/>
        <w:shd w:val="clear" w:color="auto" w:fill="auto"/>
        <w:bidi w:val="0"/>
        <w:spacing w:before="0" w:after="0"/>
        <w:ind w:left="0" w:right="0" w:firstLine="0"/>
        <w:jc w:val="left"/>
      </w:pPr>
      <w:r>
        <w:rPr>
          <w:b w:val="0"/>
          <w:bCs w:val="0"/>
          <w:color w:val="000000"/>
          <w:spacing w:val="0"/>
          <w:w w:val="100"/>
          <w:position w:val="0"/>
          <w:sz w:val="14"/>
          <w:szCs w:val="14"/>
          <w:shd w:val="clear" w:color="auto" w:fill="auto"/>
          <w:lang w:val="cs-CZ" w:eastAsia="cs-CZ" w:bidi="cs-CZ"/>
        </w:rPr>
        <w:t xml:space="preserve">Položka č. 2 - </w:t>
      </w:r>
      <w:r>
        <w:rPr>
          <w:b w:val="0"/>
          <w:bCs w:val="0"/>
          <w:color w:val="000000"/>
          <w:spacing w:val="0"/>
          <w:w w:val="100"/>
          <w:position w:val="0"/>
          <w:sz w:val="14"/>
          <w:szCs w:val="14"/>
          <w:u w:val="single"/>
          <w:shd w:val="clear" w:color="auto" w:fill="auto"/>
          <w:lang w:val="cs-CZ" w:eastAsia="cs-CZ" w:bidi="cs-CZ"/>
        </w:rPr>
        <w:t>('ena za práci po dokončeni stavby</w:t>
      </w:r>
      <w:r>
        <w:rPr>
          <w:b w:val="0"/>
          <w:bCs w:val="0"/>
          <w:color w:val="000000"/>
          <w:spacing w:val="0"/>
          <w:w w:val="100"/>
          <w:position w:val="0"/>
          <w:sz w:val="14"/>
          <w:szCs w:val="14"/>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Smlouvč o zajištění výkonu TDS.</w:t>
      </w:r>
    </w:p>
    <w:p>
      <w:pPr>
        <w:pStyle w:val="Style43"/>
        <w:keepNext w:val="0"/>
        <w:keepLines w:val="0"/>
        <w:widowControl w:val="0"/>
        <w:shd w:val="clear" w:color="auto" w:fill="auto"/>
        <w:bidi w:val="0"/>
        <w:spacing w:before="0" w:after="0"/>
        <w:ind w:left="0" w:right="0"/>
        <w:jc w:val="left"/>
        <w:rPr>
          <w:sz w:val="14"/>
          <w:szCs w:val="14"/>
        </w:rPr>
      </w:pPr>
      <w:r>
        <w:rPr>
          <w:b w:val="0"/>
          <w:bCs w:val="0"/>
          <w:color w:val="000000"/>
          <w:spacing w:val="0"/>
          <w:w w:val="100"/>
          <w:position w:val="0"/>
          <w:sz w:val="14"/>
          <w:szCs w:val="14"/>
          <w:shd w:val="clear" w:color="auto" w:fill="auto"/>
          <w:lang w:val="cs-CZ" w:eastAsia="cs-CZ" w:bidi="cs-CZ"/>
        </w:rPr>
        <w:t xml:space="preserve">Položka č. 3 - </w:t>
      </w:r>
      <w:r>
        <w:rPr>
          <w:b w:val="0"/>
          <w:bCs w:val="0"/>
          <w:color w:val="000000"/>
          <w:spacing w:val="0"/>
          <w:w w:val="100"/>
          <w:position w:val="0"/>
          <w:sz w:val="14"/>
          <w:szCs w:val="14"/>
          <w:u w:val="single"/>
          <w:shd w:val="clear" w:color="auto" w:fill="auto"/>
          <w:lang w:val="cs-CZ" w:eastAsia="cs-CZ" w:bidi="cs-CZ"/>
        </w:rPr>
        <w:t>Cena za práci</w:t>
      </w:r>
      <w:r>
        <w:rPr>
          <w:b w:val="0"/>
          <w:bCs w:val="0"/>
          <w:i w:val="0"/>
          <w:iCs w:val="0"/>
          <w:color w:val="000000"/>
          <w:spacing w:val="0"/>
          <w:w w:val="100"/>
          <w:position w:val="0"/>
          <w:sz w:val="15"/>
          <w:szCs w:val="15"/>
          <w:u w:val="single"/>
          <w:shd w:val="clear" w:color="auto" w:fill="auto"/>
          <w:lang w:val="cs-CZ" w:eastAsia="cs-CZ" w:bidi="cs-CZ"/>
        </w:rPr>
        <w:t xml:space="preserve"> v </w:t>
      </w:r>
      <w:r>
        <w:rPr>
          <w:b w:val="0"/>
          <w:bCs w:val="0"/>
          <w:color w:val="000000"/>
          <w:spacing w:val="0"/>
          <w:w w:val="100"/>
          <w:position w:val="0"/>
          <w:sz w:val="14"/>
          <w:szCs w:val="14"/>
          <w:u w:val="single"/>
          <w:shd w:val="clear" w:color="auto" w:fill="auto"/>
          <w:lang w:val="cs-CZ" w:eastAsia="cs-CZ" w:bidi="cs-CZ"/>
        </w:rPr>
        <w:t>kanceláři při prováděni stavby</w:t>
      </w:r>
      <w:r>
        <w:rPr>
          <w:b w:val="0"/>
          <w:bCs w:val="0"/>
          <w:i w:val="0"/>
          <w:iCs w:val="0"/>
          <w:color w:val="000000"/>
          <w:spacing w:val="0"/>
          <w:w w:val="100"/>
          <w:position w:val="0"/>
          <w:sz w:val="15"/>
          <w:szCs w:val="15"/>
          <w:u w:val="single"/>
          <w:shd w:val="clear" w:color="auto" w:fill="auto"/>
          <w:lang w:val="cs-CZ" w:eastAsia="cs-CZ" w:bidi="cs-CZ"/>
        </w:rPr>
        <w:t xml:space="preserve"> v </w:t>
      </w:r>
      <w:r>
        <w:rPr>
          <w:b w:val="0"/>
          <w:bCs w:val="0"/>
          <w:color w:val="000000"/>
          <w:spacing w:val="0"/>
          <w:w w:val="100"/>
          <w:position w:val="0"/>
          <w:sz w:val="14"/>
          <w:szCs w:val="14"/>
          <w:u w:val="single"/>
          <w:shd w:val="clear" w:color="auto" w:fill="auto"/>
          <w:lang w:val="cs-CZ" w:eastAsia="cs-CZ" w:bidi="cs-CZ"/>
        </w:rPr>
        <w:t>roz</w:t>
      </w:r>
      <w:r>
        <w:rPr>
          <w:b w:val="0"/>
          <w:bCs w:val="0"/>
          <w:color w:val="000000"/>
          <w:spacing w:val="0"/>
          <w:w w:val="100"/>
          <w:position w:val="0"/>
          <w:sz w:val="14"/>
          <w:szCs w:val="14"/>
          <w:shd w:val="clear" w:color="auto" w:fill="auto"/>
          <w:lang w:val="cs-CZ" w:eastAsia="cs-CZ" w:bidi="cs-CZ"/>
        </w:rPr>
        <w:t xml:space="preserve">sahu i hodiny </w:t>
      </w:r>
      <w:r>
        <w:rPr>
          <w:color w:val="000000"/>
          <w:spacing w:val="0"/>
          <w:w w:val="100"/>
          <w:position w:val="0"/>
          <w:sz w:val="15"/>
          <w:szCs w:val="15"/>
          <w:shd w:val="clear" w:color="auto" w:fill="auto"/>
          <w:lang w:val="cs-CZ" w:eastAsia="cs-CZ" w:bidi="cs-CZ"/>
        </w:rPr>
        <w:t xml:space="preserve">bude uvedena ve Smlouvě o zajištěni výkonu TDS a bude sloužit pro fakturaci výkonu TDS </w:t>
      </w:r>
      <w:r>
        <w:rPr>
          <w:b w:val="0"/>
          <w:bCs w:val="0"/>
          <w:color w:val="000000"/>
          <w:spacing w:val="0"/>
          <w:w w:val="100"/>
          <w:position w:val="0"/>
          <w:sz w:val="14"/>
          <w:szCs w:val="14"/>
          <w:shd w:val="clear" w:color="auto" w:fill="auto"/>
          <w:lang w:val="cs-CZ" w:eastAsia="cs-CZ" w:bidi="cs-CZ"/>
        </w:rPr>
        <w:t>dle skutečnosti</w:t>
      </w:r>
    </w:p>
    <w:p>
      <w:pPr>
        <w:pStyle w:val="Style43"/>
        <w:keepNext w:val="0"/>
        <w:keepLines w:val="0"/>
        <w:widowControl w:val="0"/>
        <w:shd w:val="clear" w:color="auto" w:fill="auto"/>
        <w:bidi w:val="0"/>
        <w:spacing w:before="0"/>
        <w:ind w:left="0" w:right="0"/>
        <w:jc w:val="left"/>
      </w:pPr>
      <w:r>
        <w:rPr>
          <w:b w:val="0"/>
          <w:bCs w:val="0"/>
          <w:color w:val="000000"/>
          <w:spacing w:val="0"/>
          <w:w w:val="100"/>
          <w:position w:val="0"/>
          <w:sz w:val="14"/>
          <w:szCs w:val="14"/>
          <w:shd w:val="clear" w:color="auto" w:fill="auto"/>
          <w:lang w:val="cs-CZ" w:eastAsia="cs-CZ" w:bidi="cs-CZ"/>
        </w:rPr>
        <w:t xml:space="preserve">Položku č 4 - </w:t>
      </w:r>
      <w:r>
        <w:rPr>
          <w:b w:val="0"/>
          <w:bCs w:val="0"/>
          <w:color w:val="000000"/>
          <w:spacing w:val="0"/>
          <w:w w:val="100"/>
          <w:position w:val="0"/>
          <w:sz w:val="14"/>
          <w:szCs w:val="14"/>
          <w:u w:val="single"/>
          <w:shd w:val="clear" w:color="auto" w:fill="auto"/>
          <w:lang w:val="cs-CZ" w:eastAsia="cs-CZ" w:bidi="cs-CZ"/>
        </w:rPr>
        <w:t>Cena zapřán na staveništi při prováděni stavby</w:t>
      </w:r>
      <w:r>
        <w:rPr>
          <w:b w:val="0"/>
          <w:bCs w:val="0"/>
          <w:i w:val="0"/>
          <w:iCs w:val="0"/>
          <w:color w:val="000000"/>
          <w:spacing w:val="0"/>
          <w:w w:val="100"/>
          <w:position w:val="0"/>
          <w:u w:val="single"/>
          <w:shd w:val="clear" w:color="auto" w:fill="auto"/>
          <w:lang w:val="cs-CZ" w:eastAsia="cs-CZ" w:bidi="cs-CZ"/>
        </w:rPr>
        <w:t xml:space="preserve"> v </w:t>
      </w:r>
      <w:r>
        <w:rPr>
          <w:b w:val="0"/>
          <w:bCs w:val="0"/>
          <w:color w:val="000000"/>
          <w:spacing w:val="0"/>
          <w:w w:val="100"/>
          <w:position w:val="0"/>
          <w:sz w:val="14"/>
          <w:szCs w:val="14"/>
          <w:u w:val="single"/>
          <w:shd w:val="clear" w:color="auto" w:fill="auto"/>
          <w:lang w:val="cs-CZ" w:eastAsia="cs-CZ" w:bidi="cs-CZ"/>
        </w:rPr>
        <w:t>rozsahu 1 hodmy</w:t>
      </w:r>
      <w:r>
        <w:rPr>
          <w:b w:val="0"/>
          <w:bCs w:val="0"/>
          <w:color w:val="000000"/>
          <w:spacing w:val="0"/>
          <w:w w:val="100"/>
          <w:position w:val="0"/>
          <w:sz w:val="14"/>
          <w:szCs w:val="14"/>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43"/>
        <w:keepNext w:val="0"/>
        <w:keepLines w:val="0"/>
        <w:widowControl w:val="0"/>
        <w:shd w:val="clear" w:color="auto" w:fill="auto"/>
        <w:bidi w:val="0"/>
        <w:spacing w:before="0" w:after="240" w:line="271" w:lineRule="auto"/>
        <w:ind w:left="0" w:right="0"/>
        <w:jc w:val="left"/>
      </w:pPr>
      <w:r>
        <w:rPr>
          <w:b w:val="0"/>
          <w:bCs w:val="0"/>
          <w:color w:val="000000"/>
          <w:spacing w:val="0"/>
          <w:w w:val="100"/>
          <w:position w:val="0"/>
          <w:sz w:val="14"/>
          <w:szCs w:val="14"/>
          <w:shd w:val="clear" w:color="auto" w:fill="auto"/>
          <w:lang w:val="cs-CZ" w:eastAsia="cs-CZ" w:bidi="cs-CZ"/>
        </w:rPr>
        <w:t xml:space="preserve">* ( ena za práci na staveništi při prováděni stavby tpol č 3 a č. </w:t>
      </w:r>
      <w:r>
        <w:rPr>
          <w:color w:val="000000"/>
          <w:spacing w:val="0"/>
          <w:w w:val="100"/>
          <w:position w:val="0"/>
          <w:shd w:val="clear" w:color="auto" w:fill="auto"/>
          <w:lang w:val="cs-CZ" w:eastAsia="cs-CZ" w:bidi="cs-CZ"/>
        </w:rPr>
        <w:t>4)</w:t>
      </w:r>
      <w:r>
        <w:rPr>
          <w:b w:val="0"/>
          <w:bCs w:val="0"/>
          <w:i w:val="0"/>
          <w:iCs w:val="0"/>
          <w:color w:val="000000"/>
          <w:spacing w:val="0"/>
          <w:w w:val="100"/>
          <w:position w:val="0"/>
          <w:shd w:val="clear" w:color="auto" w:fill="auto"/>
          <w:lang w:val="cs-CZ" w:eastAsia="cs-CZ" w:bidi="cs-CZ"/>
        </w:rPr>
        <w:t xml:space="preserve"> r </w:t>
      </w:r>
      <w:r>
        <w:rPr>
          <w:color w:val="000000"/>
          <w:spacing w:val="0"/>
          <w:w w:val="100"/>
          <w:position w:val="0"/>
          <w:shd w:val="clear" w:color="auto" w:fill="auto"/>
          <w:lang w:val="cs-CZ" w:eastAsia="cs-CZ" w:bidi="cs-CZ"/>
        </w:rPr>
        <w:t xml:space="preserve">celkovém předpokládaném rozsahu 10 hodin v kanceláři a 96 hodin na staveništi </w:t>
      </w:r>
      <w:r>
        <w:rPr>
          <w:b w:val="0"/>
          <w:bCs w:val="0"/>
          <w:color w:val="000000"/>
          <w:spacing w:val="0"/>
          <w:w w:val="100"/>
          <w:position w:val="0"/>
          <w:sz w:val="14"/>
          <w:szCs w:val="14"/>
          <w:shd w:val="clear" w:color="auto" w:fill="auto"/>
          <w:lang w:val="cs-CZ" w:eastAsia="cs-CZ" w:bidi="cs-CZ"/>
        </w:rPr>
        <w:t xml:space="preserve">je uvedena pouze pro rovnocenné hodnoceni podaných nabídek </w:t>
      </w:r>
      <w:r>
        <w:rPr>
          <w:color w:val="000000"/>
          <w:spacing w:val="0"/>
          <w:w w:val="100"/>
          <w:position w:val="0"/>
          <w:shd w:val="clear" w:color="auto" w:fill="auto"/>
          <w:lang w:val="cs-CZ" w:eastAsia="cs-CZ" w:bidi="cs-CZ"/>
        </w:rPr>
        <w:t>l e Smlouvě o zajištění výkonu TDS uvedena nebude.</w:t>
      </w:r>
    </w:p>
    <w:p>
      <w:pPr>
        <w:pStyle w:val="Style43"/>
        <w:keepNext w:val="0"/>
        <w:keepLines w:val="0"/>
        <w:widowControl w:val="0"/>
        <w:shd w:val="clear" w:color="auto" w:fill="auto"/>
        <w:bidi w:val="0"/>
        <w:spacing w:before="0" w:after="440" w:line="240" w:lineRule="auto"/>
        <w:ind w:left="0" w:right="0" w:firstLine="0"/>
        <w:jc w:val="left"/>
        <w:rPr>
          <w:sz w:val="14"/>
          <w:szCs w:val="14"/>
        </w:rPr>
      </w:pPr>
      <w:r>
        <w:rPr>
          <w:b w:val="0"/>
          <w:bCs w:val="0"/>
          <w:color w:val="000000"/>
          <w:spacing w:val="0"/>
          <w:w w:val="100"/>
          <w:position w:val="0"/>
          <w:sz w:val="14"/>
          <w:szCs w:val="14"/>
          <w:shd w:val="clear" w:color="auto" w:fill="auto"/>
          <w:lang w:val="cs-CZ" w:eastAsia="cs-CZ" w:bidi="cs-CZ"/>
        </w:rPr>
        <w:t xml:space="preserve">* * </w:t>
      </w:r>
      <w:r>
        <w:rPr>
          <w:b w:val="0"/>
          <w:bCs w:val="0"/>
          <w:color w:val="000000"/>
          <w:spacing w:val="0"/>
          <w:w w:val="100"/>
          <w:position w:val="0"/>
          <w:sz w:val="14"/>
          <w:szCs w:val="14"/>
          <w:u w:val="single"/>
          <w:shd w:val="clear" w:color="auto" w:fill="auto"/>
          <w:lang w:val="cs-CZ" w:eastAsia="cs-CZ" w:bidi="cs-CZ"/>
        </w:rPr>
        <w:t>Cena celkem (vč. DPH)</w:t>
      </w:r>
      <w:r>
        <w:rPr>
          <w:b w:val="0"/>
          <w:bCs w:val="0"/>
          <w:color w:val="000000"/>
          <w:spacing w:val="0"/>
          <w:w w:val="100"/>
          <w:position w:val="0"/>
          <w:sz w:val="14"/>
          <w:szCs w:val="14"/>
          <w:shd w:val="clear" w:color="auto" w:fill="auto"/>
          <w:lang w:val="cs-CZ" w:eastAsia="cs-CZ" w:bidi="cs-CZ"/>
        </w:rPr>
        <w:t xml:space="preserve"> </w:t>
      </w:r>
      <w:r>
        <w:rPr>
          <w:color w:val="000000"/>
          <w:spacing w:val="0"/>
          <w:w w:val="100"/>
          <w:position w:val="0"/>
          <w:sz w:val="15"/>
          <w:szCs w:val="15"/>
          <w:shd w:val="clear" w:color="auto" w:fill="auto"/>
          <w:lang w:val="cs-CZ" w:eastAsia="cs-CZ" w:bidi="cs-CZ"/>
        </w:rPr>
        <w:t>bude použita k hodnocení podaných nabídek,</w:t>
      </w:r>
      <w:r>
        <w:rPr>
          <w:b w:val="0"/>
          <w:bCs w:val="0"/>
          <w:i w:val="0"/>
          <w:iCs w:val="0"/>
          <w:color w:val="000000"/>
          <w:spacing w:val="0"/>
          <w:w w:val="100"/>
          <w:position w:val="0"/>
          <w:sz w:val="15"/>
          <w:szCs w:val="15"/>
          <w:shd w:val="clear" w:color="auto" w:fill="auto"/>
          <w:lang w:val="cs-CZ" w:eastAsia="cs-CZ" w:bidi="cs-CZ"/>
        </w:rPr>
        <w:t xml:space="preserve"> iv </w:t>
      </w:r>
      <w:r>
        <w:rPr>
          <w:b w:val="0"/>
          <w:bCs w:val="0"/>
          <w:color w:val="000000"/>
          <w:spacing w:val="0"/>
          <w:w w:val="100"/>
          <w:position w:val="0"/>
          <w:sz w:val="14"/>
          <w:szCs w:val="14"/>
          <w:shd w:val="clear" w:color="auto" w:fill="auto"/>
          <w:lang w:val="cs-CZ" w:eastAsia="cs-CZ" w:bidi="cs-CZ"/>
        </w:rPr>
        <w:t>Smlouvě o zajištěni výkonu TDS uvedena nebude</w:t>
      </w:r>
    </w:p>
    <w:p>
      <w:pPr>
        <w:pStyle w:val="Style43"/>
        <w:keepNext w:val="0"/>
        <w:keepLines w:val="0"/>
        <w:widowControl w:val="0"/>
        <w:shd w:val="clear" w:color="auto" w:fill="auto"/>
        <w:bidi w:val="0"/>
        <w:spacing w:before="0" w:after="200" w:line="240" w:lineRule="auto"/>
        <w:ind w:left="0" w:right="0" w:firstLine="0"/>
        <w:jc w:val="left"/>
      </w:pPr>
      <w:r>
        <w:rPr>
          <w:b w:val="0"/>
          <w:bCs w:val="0"/>
          <w:i w:val="0"/>
          <w:iCs w:val="0"/>
          <w:color w:val="000000"/>
          <w:spacing w:val="0"/>
          <w:w w:val="100"/>
          <w:position w:val="0"/>
          <w:sz w:val="15"/>
          <w:szCs w:val="15"/>
          <w:shd w:val="clear" w:color="auto" w:fill="auto"/>
          <w:lang w:val="cs-CZ" w:eastAsia="cs-CZ" w:bidi="cs-CZ"/>
        </w:rPr>
        <w:t>V Liberci dne 15.1.2019</w:t>
      </w:r>
    </w:p>
    <w:sectPr>
      <w:footerReference w:type="default" r:id="rId6"/>
      <w:footnotePr>
        <w:pos w:val="pageBottom"/>
        <w:numFmt w:val="decimal"/>
        <w:numRestart w:val="continuous"/>
      </w:footnotePr>
      <w:pgSz w:w="11900" w:h="16840"/>
      <w:pgMar w:top="1559" w:left="1114" w:right="890" w:bottom="2071" w:header="113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5744210</wp:posOffset>
              </wp:positionH>
              <wp:positionV relativeFrom="page">
                <wp:posOffset>9955530</wp:posOffset>
              </wp:positionV>
              <wp:extent cx="640080" cy="86995"/>
              <wp:wrapNone/>
              <wp:docPr id="17" name="Shape 17"/>
              <a:graphic xmlns:a="http://schemas.openxmlformats.org/drawingml/2006/main">
                <a:graphicData uri="http://schemas.microsoft.com/office/word/2010/wordprocessingShape">
                  <wps:wsp>
                    <wps:cNvSpPr txBox="1"/>
                    <wps:spPr>
                      <a:xfrm>
                        <a:ext cx="640080" cy="869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3" type="#_x0000_t202" style="position:absolute;margin-left:452.30000000000001pt;margin-top:783.89999999999998pt;width:50.399999999999999pt;height:6.8499999999999996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753745</wp:posOffset>
              </wp:positionH>
              <wp:positionV relativeFrom="page">
                <wp:posOffset>9962515</wp:posOffset>
              </wp:positionV>
              <wp:extent cx="3897630" cy="254000"/>
              <wp:wrapNone/>
              <wp:docPr id="19" name="Shape 19"/>
              <a:graphic xmlns:a="http://schemas.openxmlformats.org/drawingml/2006/main">
                <a:graphicData uri="http://schemas.microsoft.com/office/word/2010/wordprocessingShape">
                  <wps:wsp>
                    <wps:cNvSpPr txBox="1"/>
                    <wps:spPr>
                      <a:xfrm>
                        <a:ext cx="3897630" cy="2540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Smlouva o zajištění výkonu TDS na staveništi </w:t>
                          </w:r>
                          <w:r>
                            <w:rPr>
                              <w:b/>
                              <w:bCs/>
                              <w:color w:val="000000"/>
                              <w:spacing w:val="0"/>
                              <w:w w:val="100"/>
                              <w:position w:val="0"/>
                              <w:sz w:val="18"/>
                              <w:szCs w:val="18"/>
                              <w:shd w:val="clear" w:color="auto" w:fill="auto"/>
                              <w:lang w:val="cs-CZ" w:eastAsia="cs-CZ" w:bidi="cs-CZ"/>
                            </w:rPr>
                            <w:t>-■ 59/2019/TDS/D2/POP/ZR/sl</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akce: 11/354 Milovy - most ev. ř. 354-011</w:t>
                          </w:r>
                        </w:p>
                      </w:txbxContent>
                    </wps:txbx>
                    <wps:bodyPr wrap="none" lIns="0" tIns="0" rIns="0" bIns="0">
                      <a:spAutoFit/>
                    </wps:bodyPr>
                  </wps:wsp>
                </a:graphicData>
              </a:graphic>
            </wp:anchor>
          </w:drawing>
        </mc:Choice>
        <mc:Fallback>
          <w:pict>
            <v:shape id="_x0000_s1045" type="#_x0000_t202" style="position:absolute;margin-left:59.350000000000001pt;margin-top:784.45000000000005pt;width:306.89999999999998pt;height:20.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Smlouva o zajištění výkonu TDS na staveništi </w:t>
                    </w:r>
                    <w:r>
                      <w:rPr>
                        <w:b/>
                        <w:bCs/>
                        <w:color w:val="000000"/>
                        <w:spacing w:val="0"/>
                        <w:w w:val="100"/>
                        <w:position w:val="0"/>
                        <w:sz w:val="18"/>
                        <w:szCs w:val="18"/>
                        <w:shd w:val="clear" w:color="auto" w:fill="auto"/>
                        <w:lang w:val="cs-CZ" w:eastAsia="cs-CZ" w:bidi="cs-CZ"/>
                      </w:rPr>
                      <w:t>-■ 59/2019/TDS/D2/POP/ZR/sl</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akce: 11/354 Milovy - most ev. ř. 354-011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733425</wp:posOffset>
              </wp:positionH>
              <wp:positionV relativeFrom="page">
                <wp:posOffset>9855835</wp:posOffset>
              </wp:positionV>
              <wp:extent cx="6245225" cy="0"/>
              <wp:wrapNone/>
              <wp:docPr id="21" name="Shape 21"/>
              <a:graphic xmlns:a="http://schemas.openxmlformats.org/drawingml/2006/main">
                <a:graphicData uri="http://schemas.microsoft.com/office/word/2010/wordprocessingShape">
                  <wps:wsp>
                    <wps:cNvCnPr/>
                    <wps:spPr>
                      <a:xfrm>
                        <a:ext cx="6245225" cy="0"/>
                      </a:xfrm>
                      <a:prstGeom prst="straightConnector1"/>
                      <a:ln w="12700">
                        <a:solidFill/>
                      </a:ln>
                    </wps:spPr>
                    <wps:bodyPr/>
                  </wps:wsp>
                </a:graphicData>
              </a:graphic>
            </wp:anchor>
          </w:drawing>
        </mc:Choice>
        <mc:Fallback>
          <w:pict>
            <v:shape o:spt="32" o:oned="true" path="m,l21600,21600e" style="position:absolute;margin-left:57.75pt;margin-top:776.04999999999995pt;width:491.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5299710</wp:posOffset>
              </wp:positionH>
              <wp:positionV relativeFrom="page">
                <wp:posOffset>9564370</wp:posOffset>
              </wp:positionV>
              <wp:extent cx="861695" cy="75565"/>
              <wp:wrapNone/>
              <wp:docPr id="22" name="Shape 22"/>
              <a:graphic xmlns:a="http://schemas.openxmlformats.org/drawingml/2006/main">
                <a:graphicData uri="http://schemas.microsoft.com/office/word/2010/wordprocessingShape">
                  <wps:wsp>
                    <wps:cNvSpPr txBox="1"/>
                    <wps:spPr>
                      <a:xfrm>
                        <a:ext cx="861695" cy="7556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shd w:val="clear" w:color="auto" w:fill="auto"/>
                              <w:lang w:val="cs-CZ" w:eastAsia="cs-CZ" w:bidi="cs-CZ"/>
                            </w:rPr>
                            <w:t xml:space="preserve">/fl/ř </w:t>
                          </w:r>
                          <w:r>
                            <w:rPr>
                              <w:i/>
                              <w:iCs/>
                              <w:color w:val="000000"/>
                              <w:spacing w:val="0"/>
                              <w:w w:val="100"/>
                              <w:position w:val="0"/>
                              <w:sz w:val="14"/>
                              <w:szCs w:val="14"/>
                              <w:shd w:val="clear" w:color="auto" w:fill="auto"/>
                              <w:lang w:val="cs-CZ" w:eastAsia="cs-CZ" w:bidi="cs-CZ"/>
                            </w:rPr>
                            <w:t>í onsultins’. s r.o.</w:t>
                          </w:r>
                        </w:p>
                      </w:txbxContent>
                    </wps:txbx>
                    <wps:bodyPr wrap="none" lIns="0" tIns="0" rIns="0" bIns="0">
                      <a:spAutoFit/>
                    </wps:bodyPr>
                  </wps:wsp>
                </a:graphicData>
              </a:graphic>
            </wp:anchor>
          </w:drawing>
        </mc:Choice>
        <mc:Fallback>
          <w:pict>
            <v:shape id="_x0000_s1048" type="#_x0000_t202" style="position:absolute;margin-left:417.30000000000001pt;margin-top:753.10000000000002pt;width:67.849999999999994pt;height:5.9500000000000002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shd w:val="clear" w:color="auto" w:fill="auto"/>
                        <w:lang w:val="cs-CZ" w:eastAsia="cs-CZ" w:bidi="cs-CZ"/>
                      </w:rPr>
                      <w:t xml:space="preserve">/fl/ř </w:t>
                    </w:r>
                    <w:r>
                      <w:rPr>
                        <w:i/>
                        <w:iCs/>
                        <w:color w:val="000000"/>
                        <w:spacing w:val="0"/>
                        <w:w w:val="100"/>
                        <w:position w:val="0"/>
                        <w:sz w:val="14"/>
                        <w:szCs w:val="14"/>
                        <w:shd w:val="clear" w:color="auto" w:fill="auto"/>
                        <w:lang w:val="cs-CZ" w:eastAsia="cs-CZ" w:bidi="cs-CZ"/>
                      </w:rPr>
                      <w:t>í onsultins’. s r.o.</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Nadpis #3_"/>
    <w:basedOn w:val="DefaultParagraphFont"/>
    <w:link w:val="Style5"/>
    <w:rPr>
      <w:rFonts w:ascii="Times New Roman" w:eastAsia="Times New Roman" w:hAnsi="Times New Roman" w:cs="Times New Roman"/>
      <w:b/>
      <w:bCs/>
      <w:i w:val="0"/>
      <w:iCs w:val="0"/>
      <w:smallCaps w:val="0"/>
      <w:strike w:val="0"/>
      <w:sz w:val="22"/>
      <w:szCs w:val="22"/>
      <w:u w:val="none"/>
    </w:rPr>
  </w:style>
  <w:style w:type="character" w:customStyle="1" w:styleId="CharStyle8">
    <w:name w:val="Jiné_"/>
    <w:basedOn w:val="DefaultParagraphFont"/>
    <w:link w:val="Style7"/>
    <w:rPr>
      <w:rFonts w:ascii="Times New Roman" w:eastAsia="Times New Roman" w:hAnsi="Times New Roman" w:cs="Times New Roman"/>
      <w:b w:val="0"/>
      <w:bCs w:val="0"/>
      <w:i w:val="0"/>
      <w:iCs w:val="0"/>
      <w:smallCaps w:val="0"/>
      <w:strike w:val="0"/>
      <w:sz w:val="22"/>
      <w:szCs w:val="22"/>
      <w:u w:val="none"/>
    </w:rPr>
  </w:style>
  <w:style w:type="character" w:customStyle="1" w:styleId="CharStyle14">
    <w:name w:val="Nadpis #1_"/>
    <w:basedOn w:val="DefaultParagraphFont"/>
    <w:link w:val="Style13"/>
    <w:rPr>
      <w:rFonts w:ascii="Times New Roman" w:eastAsia="Times New Roman" w:hAnsi="Times New Roman" w:cs="Times New Roman"/>
      <w:b/>
      <w:bCs/>
      <w:i w:val="0"/>
      <w:iCs w:val="0"/>
      <w:smallCaps w:val="0"/>
      <w:strike w:val="0"/>
      <w:sz w:val="38"/>
      <w:szCs w:val="38"/>
      <w:u w:val="none"/>
    </w:rPr>
  </w:style>
  <w:style w:type="character" w:customStyle="1" w:styleId="CharStyle16">
    <w:name w:val="Záhlaví nebo zápatí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Nadpis #2_"/>
    <w:basedOn w:val="DefaultParagraphFont"/>
    <w:link w:val="Style19"/>
    <w:rPr>
      <w:rFonts w:ascii="Times New Roman" w:eastAsia="Times New Roman" w:hAnsi="Times New Roman" w:cs="Times New Roman"/>
      <w:b/>
      <w:bCs/>
      <w:i w:val="0"/>
      <w:iCs w:val="0"/>
      <w:smallCaps w:val="0"/>
      <w:strike w:val="0"/>
      <w:sz w:val="30"/>
      <w:szCs w:val="30"/>
      <w:u w:val="none"/>
    </w:rPr>
  </w:style>
  <w:style w:type="character" w:customStyle="1" w:styleId="CharStyle27">
    <w:name w:val="Titulek tabulky_"/>
    <w:basedOn w:val="DefaultParagraphFont"/>
    <w:link w:val="Style26"/>
    <w:rPr>
      <w:rFonts w:ascii="Times New Roman" w:eastAsia="Times New Roman" w:hAnsi="Times New Roman" w:cs="Times New Roman"/>
      <w:b w:val="0"/>
      <w:bCs w:val="0"/>
      <w:i w:val="0"/>
      <w:iCs w:val="0"/>
      <w:smallCaps w:val="0"/>
      <w:strike w:val="0"/>
      <w:sz w:val="22"/>
      <w:szCs w:val="22"/>
      <w:u w:val="none"/>
    </w:rPr>
  </w:style>
  <w:style w:type="character" w:customStyle="1" w:styleId="CharStyle44">
    <w:name w:val="Základní text (2)_"/>
    <w:basedOn w:val="DefaultParagraphFont"/>
    <w:link w:val="Style43"/>
    <w:rPr>
      <w:rFonts w:ascii="Times New Roman" w:eastAsia="Times New Roman" w:hAnsi="Times New Roman" w:cs="Times New Roman"/>
      <w:b/>
      <w:bCs/>
      <w:i/>
      <w:iCs/>
      <w:smallCaps w:val="0"/>
      <w:strike w:val="0"/>
      <w:sz w:val="15"/>
      <w:szCs w:val="15"/>
      <w:u w:val="none"/>
    </w:rPr>
  </w:style>
  <w:style w:type="paragraph" w:customStyle="1" w:styleId="Style2">
    <w:name w:val="Základní text"/>
    <w:basedOn w:val="Normal"/>
    <w:link w:val="CharStyle3"/>
    <w:pPr>
      <w:widowControl w:val="0"/>
      <w:shd w:val="clear" w:color="auto" w:fill="FFFFFF"/>
      <w:spacing w:after="10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Nadpis #3"/>
    <w:basedOn w:val="Normal"/>
    <w:link w:val="CharStyle6"/>
    <w:pPr>
      <w:widowControl w:val="0"/>
      <w:shd w:val="clear" w:color="auto" w:fill="FFFFFF"/>
      <w:spacing w:after="100" w:line="252"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7">
    <w:name w:val="Jiné"/>
    <w:basedOn w:val="Normal"/>
    <w:link w:val="CharStyle8"/>
    <w:pPr>
      <w:widowControl w:val="0"/>
      <w:shd w:val="clear" w:color="auto" w:fill="FFFFFF"/>
      <w:spacing w:after="10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3">
    <w:name w:val="Nadpis #1"/>
    <w:basedOn w:val="Normal"/>
    <w:link w:val="CharStyle14"/>
    <w:pPr>
      <w:widowControl w:val="0"/>
      <w:shd w:val="clear" w:color="auto" w:fill="FFFFFF"/>
      <w:spacing w:after="34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15">
    <w:name w:val="Záhlaví nebo zápatí (2)"/>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Nadpis #2"/>
    <w:basedOn w:val="Normal"/>
    <w:link w:val="CharStyle20"/>
    <w:pPr>
      <w:widowControl w:val="0"/>
      <w:shd w:val="clear" w:color="auto" w:fill="FFFFFF"/>
      <w:spacing w:after="240"/>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26">
    <w:name w:val="Titulek tabulky"/>
    <w:basedOn w:val="Normal"/>
    <w:link w:val="CharStyle27"/>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43">
    <w:name w:val="Základní text (2)"/>
    <w:basedOn w:val="Normal"/>
    <w:link w:val="CharStyle44"/>
    <w:pPr>
      <w:widowControl w:val="0"/>
      <w:shd w:val="clear" w:color="auto" w:fill="FFFFFF"/>
      <w:spacing w:after="140" w:line="276" w:lineRule="auto"/>
      <w:ind w:firstLine="140"/>
    </w:pPr>
    <w:rPr>
      <w:rFonts w:ascii="Times New Roman" w:eastAsia="Times New Roman" w:hAnsi="Times New Roman" w:cs="Times New Roman"/>
      <w:b/>
      <w:bCs/>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