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A" w:rsidRPr="008F629F" w:rsidRDefault="004452AE" w:rsidP="001C6B4A">
      <w:pPr>
        <w:rPr>
          <w:color w:val="A6A6A6" w:themeColor="background1" w:themeShade="A6"/>
        </w:rPr>
      </w:pP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ab/>
        <w:t xml:space="preserve">                                                   </w:t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r w:rsidR="00982E7C">
        <w:rPr>
          <w:rFonts w:eastAsia="Times New Roman" w:cs="Times New Roman"/>
          <w:bCs/>
          <w:color w:val="A6A6A6" w:themeColor="background1" w:themeShade="A6"/>
          <w:lang w:eastAsia="cs-CZ"/>
        </w:rPr>
        <w:tab/>
      </w:r>
      <w:proofErr w:type="gramStart"/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>č.j.</w:t>
      </w:r>
      <w:proofErr w:type="gramEnd"/>
      <w:r w:rsidR="001C6B4A" w:rsidRPr="008F629F">
        <w:rPr>
          <w:rFonts w:eastAsia="Times New Roman" w:cs="Times New Roman"/>
          <w:bCs/>
          <w:color w:val="A6A6A6" w:themeColor="background1" w:themeShade="A6"/>
          <w:lang w:eastAsia="cs-CZ"/>
        </w:rPr>
        <w:t xml:space="preserve">   </w:t>
      </w:r>
      <w:r w:rsidR="001C6B4A" w:rsidRPr="008F629F">
        <w:rPr>
          <w:color w:val="A6A6A6" w:themeColor="background1" w:themeShade="A6"/>
        </w:rPr>
        <w:t>VS-32</w:t>
      </w:r>
      <w:r w:rsidR="001C6B4A">
        <w:rPr>
          <w:color w:val="A6A6A6" w:themeColor="background1" w:themeShade="A6"/>
        </w:rPr>
        <w:t>020</w:t>
      </w:r>
      <w:r w:rsidR="00516003">
        <w:rPr>
          <w:color w:val="A6A6A6" w:themeColor="background1" w:themeShade="A6"/>
        </w:rPr>
        <w:t>-2</w:t>
      </w:r>
      <w:r w:rsidR="001C6B4A" w:rsidRPr="008F629F">
        <w:rPr>
          <w:color w:val="A6A6A6" w:themeColor="background1" w:themeShade="A6"/>
        </w:rPr>
        <w:t>/ČJ-201</w:t>
      </w:r>
      <w:r w:rsidR="001C6B4A">
        <w:rPr>
          <w:color w:val="A6A6A6" w:themeColor="background1" w:themeShade="A6"/>
        </w:rPr>
        <w:t>8</w:t>
      </w:r>
      <w:r w:rsidR="001C6B4A" w:rsidRPr="008F629F">
        <w:rPr>
          <w:color w:val="A6A6A6" w:themeColor="background1" w:themeShade="A6"/>
        </w:rPr>
        <w:t>-8005</w:t>
      </w:r>
      <w:r w:rsidR="001C6B4A">
        <w:rPr>
          <w:color w:val="A6A6A6" w:themeColor="background1" w:themeShade="A6"/>
        </w:rPr>
        <w:t>00</w:t>
      </w:r>
    </w:p>
    <w:p w:rsidR="001C6B4A" w:rsidRDefault="001C6B4A" w:rsidP="001C6B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4</w:t>
      </w:r>
    </w:p>
    <w:p w:rsidR="001C6B4A" w:rsidRPr="00E65CD2" w:rsidRDefault="001C6B4A" w:rsidP="001C6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ke smlouvě o nájmu prostoru sloužícího k podnikání č.  05/2016 ze dne </w:t>
      </w:r>
      <w:proofErr w:type="gramStart"/>
      <w:r w:rsidRPr="00E6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29.9.2016</w:t>
      </w:r>
      <w:proofErr w:type="gramEnd"/>
    </w:p>
    <w:p w:rsidR="001C6B4A" w:rsidRPr="003B1E65" w:rsidRDefault="001C6B4A" w:rsidP="001C6B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1C6B4A" w:rsidRPr="00F23203" w:rsidRDefault="001C6B4A" w:rsidP="001C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1C6B4A" w:rsidRPr="00F23203" w:rsidRDefault="001C6B4A" w:rsidP="001C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1C6B4A" w:rsidRPr="00347D4B" w:rsidRDefault="001C6B4A" w:rsidP="001C6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 :</w:t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18"/>
          <w:lang w:eastAsia="cs-CZ"/>
        </w:rPr>
        <w:t>Česká</w:t>
      </w:r>
      <w:proofErr w:type="gramEnd"/>
      <w:r w:rsidRPr="00E65C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18"/>
          <w:lang w:eastAsia="cs-CZ"/>
        </w:rPr>
        <w:t xml:space="preserve"> republika, Vězeňská služba ČR</w:t>
      </w:r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 xml:space="preserve"> 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1433" w:firstLine="69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1430" w:firstLine="69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níž </w:t>
      </w:r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jedná vrchní rada plk. Mgr. Miroslav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>Hadrava,  ředitel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   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212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Věznice Vinařice, a to na základě písemného pověření generálního ředitele  Vězeňské služby České republiky ze dne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>1.9. 2016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 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adresa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věznice :  273 07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Vinařice,  č.p. 245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142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r w:rsidR="008C76C1" w:rsidRPr="008C76C1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IČO:   00 21 24 23</w:t>
      </w:r>
    </w:p>
    <w:p w:rsidR="001C6B4A" w:rsidRPr="00E65CD2" w:rsidRDefault="001C6B4A" w:rsidP="001C6B4A">
      <w:pPr>
        <w:shd w:val="clear" w:color="auto" w:fill="FFFFFF"/>
        <w:spacing w:after="120" w:line="280" w:lineRule="exact"/>
        <w:ind w:left="1429" w:firstLine="692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>DIČ :  CZ</w:t>
      </w:r>
      <w:proofErr w:type="gramEnd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 xml:space="preserve"> 00212423</w:t>
      </w:r>
    </w:p>
    <w:p w:rsidR="001C6B4A" w:rsidRPr="00E65CD2" w:rsidRDefault="001C6B4A" w:rsidP="001C6B4A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18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>( dále</w:t>
      </w:r>
      <w:proofErr w:type="gramEnd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 xml:space="preserve"> jen „pronajímatel“)</w:t>
      </w:r>
    </w:p>
    <w:p w:rsidR="001C6B4A" w:rsidRPr="00E65CD2" w:rsidRDefault="001C6B4A" w:rsidP="001C6B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6B4A" w:rsidRPr="00E65CD2" w:rsidRDefault="001C6B4A" w:rsidP="001C6B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     :</w:t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Jiří</w:t>
      </w:r>
      <w:proofErr w:type="gramEnd"/>
      <w:r w:rsidRPr="00E6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LAŠTOVIČKA</w:t>
      </w: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rodné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:  530106129</w:t>
      </w:r>
      <w:proofErr w:type="gramEnd"/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bydliště : V. ulice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221,  273 07  Vinařice</w:t>
      </w: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       :  618 92 246</w:t>
      </w:r>
      <w:proofErr w:type="gramEnd"/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       :  CZ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530106129</w:t>
      </w: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bankovní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spojení  :  ČS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spořitelna Kladno</w:t>
      </w: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C76C1" w:rsidRPr="008C76C1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XXXXXXXXXXXXXXXXX</w:t>
      </w:r>
      <w:bookmarkStart w:id="0" w:name="_GoBack"/>
      <w:bookmarkEnd w:id="0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1C6B4A" w:rsidRPr="00E65CD2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Předmět podnikání:</w:t>
      </w:r>
    </w:p>
    <w:p w:rsidR="001C6B4A" w:rsidRPr="00E65CD2" w:rsidRDefault="001C6B4A" w:rsidP="001C6B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obchodní činnost- koupě zboží za účelem jeho dalšího prodeje</w:t>
      </w:r>
    </w:p>
    <w:p w:rsidR="001C6B4A" w:rsidRPr="00E65CD2" w:rsidRDefault="001C6B4A" w:rsidP="001C6B4A">
      <w:pPr>
        <w:spacing w:after="120" w:line="240" w:lineRule="auto"/>
        <w:ind w:left="213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ŽL vydaný Magistrátem Města Kladna - Obecním živnostenským úřadem pod ev.č.320301-82811-01   dne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11.11.1994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1C6B4A" w:rsidRPr="00E65CD2" w:rsidRDefault="001C6B4A" w:rsidP="001C6B4A">
      <w:pPr>
        <w:spacing w:after="0" w:line="240" w:lineRule="auto"/>
        <w:ind w:left="213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dále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jen „nájemce“)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6B4A" w:rsidRPr="00F23203" w:rsidRDefault="001C6B4A" w:rsidP="001C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C6B4A" w:rsidRPr="00E65CD2" w:rsidRDefault="001C6B4A" w:rsidP="001C6B4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proofErr w:type="gramStart"/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6.2. </w:t>
      </w:r>
      <w:r w:rsidRPr="00E65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smlouvy</w:t>
      </w:r>
      <w:proofErr w:type="gramEnd"/>
      <w:r w:rsidRPr="00E65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nájmu prostoru sloužícího k podnikání č.  05/2016 ze dne 29.9.2016</w:t>
      </w: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mlouva“)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mlouvy: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6B4A" w:rsidRPr="00CF6437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 w:rsidRPr="00F1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Výše nájemného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</w:t>
      </w:r>
      <w:proofErr w:type="gramEnd"/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B221C3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</w:t>
      </w:r>
      <w:r w:rsidRPr="00B2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4.1.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Pr="00B2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Nájemné se sjednává dohodou ve výši 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7,05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za 1m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 rok</w:t>
      </w:r>
    </w:p>
    <w:p w:rsidR="001C6B4A" w:rsidRPr="00B221C3" w:rsidRDefault="001C6B4A" w:rsidP="001C6B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celkové roční nájemné </w:t>
      </w:r>
      <w:proofErr w:type="gramStart"/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činí       </w:t>
      </w:r>
      <w:r w:rsidR="00696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(58,6m</w:t>
      </w:r>
      <w:r w:rsidR="00696DC3" w:rsidRPr="00696D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proofErr w:type="gramEnd"/>
      <w:r w:rsidR="00696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696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99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:rsidR="001C6B4A" w:rsidRPr="00B221C3" w:rsidRDefault="001C6B4A" w:rsidP="001C6B4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čtvrtletní nájemné </w:t>
      </w:r>
      <w:proofErr w:type="gramStart"/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činí                                        </w:t>
      </w:r>
      <w:r w:rsidR="00696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22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7.5</w:t>
      </w:r>
      <w:r w:rsidR="0069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74,75</w:t>
      </w:r>
      <w:proofErr w:type="gramEnd"/>
      <w:r w:rsidR="0069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22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Kč</w:t>
      </w:r>
    </w:p>
    <w:p w:rsidR="001C6B4A" w:rsidRPr="00B221C3" w:rsidRDefault="001C6B4A" w:rsidP="001C6B4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6B4A" w:rsidRPr="00B221C3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Nájemce se zavazuje na výzvu pronajímatele k uzavření dodatku k této smlouvě, kterým se upravuje nájemné o hodnotu změny v kódu zpracování 682 – pronájem vlastních nemovitostí vykázané statistickým úřadem v kalendářním roce. Dodatek bude uzavřen s účinností od </w:t>
      </w:r>
      <w:proofErr w:type="gramStart"/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1.4. příslušného</w:t>
      </w:r>
      <w:proofErr w:type="gramEnd"/>
      <w:r w:rsidRPr="00B221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CF6437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 w:rsidRPr="00F1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Výše nájemného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c)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1C6B4A" w:rsidRPr="003B1E65" w:rsidRDefault="001C6B4A" w:rsidP="001C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8B44BD" w:rsidRDefault="001C6B4A" w:rsidP="001C6B4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1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 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Množství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spotřebované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teplé užitkové vody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měřeno vodoměrem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bude účtováno paušálně ve výši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69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69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Kč/m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DPH (skutečné náklady na přípravu 1m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TUV v roce 201</w:t>
      </w:r>
      <w:r w:rsidR="00696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uvedené částce bude účtováno DPH v zákonem stanovené výši. Nájemce se zavazuje k uzavření dodatku k této smlouvě, kterým se upraví úhrada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přípravu TUV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účinností od </w:t>
      </w:r>
      <w:proofErr w:type="gramStart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1.4. následujícího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 v souladu se skutečnými náklady věznice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přípravu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TUV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předcházející rok.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6B4A" w:rsidRPr="00CF6437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F1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Výše nájemného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f)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6B4A" w:rsidRPr="008B44BD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 f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Vytápění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pronajatých prostor bude účtováno paušálně ve výši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69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69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Kč/m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 bez DPH (skutečné náklady na vytápění 1m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plochy věznice v roce 201</w:t>
      </w:r>
      <w:r w:rsidR="00696D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K 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1.4. následujícího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 v souladu se skutečnými náklady věznice na vytápění 1m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plochy věznice za předcházející rok.“</w:t>
      </w:r>
    </w:p>
    <w:p w:rsidR="001C6B4A" w:rsidRPr="003B1E65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F7038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C6B4A" w:rsidRPr="00F23203" w:rsidRDefault="001C6B4A" w:rsidP="001C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1C6B4A" w:rsidRPr="00F23203" w:rsidRDefault="001C6B4A" w:rsidP="001C6B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se nemění a zůstávají v původním znění.</w:t>
      </w:r>
    </w:p>
    <w:p w:rsidR="001C6B4A" w:rsidRPr="00F23203" w:rsidRDefault="001C6B4A" w:rsidP="001C6B4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696DC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 a nájemce jeden výtisk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C6B4A" w:rsidRPr="00F23203" w:rsidRDefault="001C6B4A" w:rsidP="001C6B4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1.4.201</w:t>
      </w:r>
      <w:r w:rsidR="00696DC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3B1E65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3B1E65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</w:t>
      </w: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3B1E65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 :</w:t>
      </w:r>
      <w:proofErr w:type="gramEnd"/>
    </w:p>
    <w:p w:rsidR="001C6B4A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3B1E65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Vrchní </w:t>
      </w:r>
      <w:proofErr w:type="gramStart"/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Laštovička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6B4A" w:rsidRPr="003B1E65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</w:p>
    <w:p w:rsidR="001C6B4A" w:rsidRPr="007803CD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věznice</w:t>
      </w:r>
    </w:p>
    <w:p w:rsidR="001C6B4A" w:rsidRPr="007803CD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7803CD" w:rsidRDefault="001C6B4A" w:rsidP="001C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B4A" w:rsidRPr="007803CD" w:rsidRDefault="001C6B4A" w:rsidP="007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C6B4A" w:rsidRPr="007803CD" w:rsidSect="001D73FD">
      <w:footerReference w:type="even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4A" w:rsidRDefault="001C6B4A">
      <w:pPr>
        <w:spacing w:after="0" w:line="240" w:lineRule="auto"/>
      </w:pPr>
      <w:r>
        <w:separator/>
      </w:r>
    </w:p>
  </w:endnote>
  <w:endnote w:type="continuationSeparator" w:id="0">
    <w:p w:rsidR="001C6B4A" w:rsidRDefault="001C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4A" w:rsidRDefault="001C6B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6B4A" w:rsidRDefault="001C6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4A" w:rsidRDefault="001C6B4A">
      <w:pPr>
        <w:spacing w:after="0" w:line="240" w:lineRule="auto"/>
      </w:pPr>
      <w:r>
        <w:separator/>
      </w:r>
    </w:p>
  </w:footnote>
  <w:footnote w:type="continuationSeparator" w:id="0">
    <w:p w:rsidR="001C6B4A" w:rsidRDefault="001C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D17"/>
    <w:multiLevelType w:val="hybridMultilevel"/>
    <w:tmpl w:val="062073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9F076A"/>
    <w:multiLevelType w:val="hybridMultilevel"/>
    <w:tmpl w:val="81FACFE0"/>
    <w:lvl w:ilvl="0" w:tplc="19B22D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B7DF6"/>
    <w:multiLevelType w:val="hybridMultilevel"/>
    <w:tmpl w:val="AE00E174"/>
    <w:lvl w:ilvl="0" w:tplc="B0EA7128">
      <w:start w:val="27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201B7266"/>
    <w:multiLevelType w:val="hybridMultilevel"/>
    <w:tmpl w:val="1AD84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17E46"/>
    <w:multiLevelType w:val="hybridMultilevel"/>
    <w:tmpl w:val="822439A8"/>
    <w:lvl w:ilvl="0" w:tplc="4986F0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3133B8D"/>
    <w:multiLevelType w:val="hybridMultilevel"/>
    <w:tmpl w:val="81B21712"/>
    <w:lvl w:ilvl="0" w:tplc="040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D460C"/>
    <w:multiLevelType w:val="hybridMultilevel"/>
    <w:tmpl w:val="EFD8EC8A"/>
    <w:lvl w:ilvl="0" w:tplc="040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26FAF"/>
    <w:multiLevelType w:val="hybridMultilevel"/>
    <w:tmpl w:val="E604A542"/>
    <w:lvl w:ilvl="0" w:tplc="3F36610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26D6B5A"/>
    <w:multiLevelType w:val="hybridMultilevel"/>
    <w:tmpl w:val="42BED67E"/>
    <w:lvl w:ilvl="0" w:tplc="07F24A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07A6476"/>
    <w:multiLevelType w:val="hybridMultilevel"/>
    <w:tmpl w:val="1AC68A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CF7C596C">
      <w:start w:val="2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7795672"/>
    <w:multiLevelType w:val="hybridMultilevel"/>
    <w:tmpl w:val="3664E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21109"/>
    <w:multiLevelType w:val="hybridMultilevel"/>
    <w:tmpl w:val="EDD48A24"/>
    <w:lvl w:ilvl="0" w:tplc="2C7270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FAF63F1"/>
    <w:multiLevelType w:val="hybridMultilevel"/>
    <w:tmpl w:val="8340CD64"/>
    <w:lvl w:ilvl="0" w:tplc="3E2A58AE">
      <w:start w:val="2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65"/>
    <w:rsid w:val="00047BBE"/>
    <w:rsid w:val="00084F42"/>
    <w:rsid w:val="00140208"/>
    <w:rsid w:val="00171D38"/>
    <w:rsid w:val="001C5FA1"/>
    <w:rsid w:val="001C6B4A"/>
    <w:rsid w:val="001D73FD"/>
    <w:rsid w:val="00225918"/>
    <w:rsid w:val="002B46B5"/>
    <w:rsid w:val="0032610F"/>
    <w:rsid w:val="00347D4B"/>
    <w:rsid w:val="003A781A"/>
    <w:rsid w:val="003B1E65"/>
    <w:rsid w:val="003C12F2"/>
    <w:rsid w:val="003C7240"/>
    <w:rsid w:val="004136C7"/>
    <w:rsid w:val="004452AE"/>
    <w:rsid w:val="00516003"/>
    <w:rsid w:val="00590063"/>
    <w:rsid w:val="005A4254"/>
    <w:rsid w:val="005B0E45"/>
    <w:rsid w:val="00696DC3"/>
    <w:rsid w:val="00700B70"/>
    <w:rsid w:val="00756958"/>
    <w:rsid w:val="00775B3A"/>
    <w:rsid w:val="007803CD"/>
    <w:rsid w:val="007F03A2"/>
    <w:rsid w:val="008A34EF"/>
    <w:rsid w:val="008C76C1"/>
    <w:rsid w:val="008E3417"/>
    <w:rsid w:val="008F2E5D"/>
    <w:rsid w:val="008F629F"/>
    <w:rsid w:val="0093289C"/>
    <w:rsid w:val="00982E7C"/>
    <w:rsid w:val="00983835"/>
    <w:rsid w:val="00991335"/>
    <w:rsid w:val="00A230BC"/>
    <w:rsid w:val="00AD3220"/>
    <w:rsid w:val="00B221C3"/>
    <w:rsid w:val="00B56B59"/>
    <w:rsid w:val="00B74999"/>
    <w:rsid w:val="00B94964"/>
    <w:rsid w:val="00C35219"/>
    <w:rsid w:val="00D119CE"/>
    <w:rsid w:val="00E018E0"/>
    <w:rsid w:val="00E65CD2"/>
    <w:rsid w:val="00ED0F24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1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B1E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1E65"/>
  </w:style>
  <w:style w:type="paragraph" w:styleId="Odstavecseseznamem">
    <w:name w:val="List Paragraph"/>
    <w:basedOn w:val="Normln"/>
    <w:uiPriority w:val="34"/>
    <w:qFormat/>
    <w:rsid w:val="003B1E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1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B1E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1E65"/>
  </w:style>
  <w:style w:type="paragraph" w:styleId="Odstavecseseznamem">
    <w:name w:val="List Paragraph"/>
    <w:basedOn w:val="Normln"/>
    <w:uiPriority w:val="34"/>
    <w:qFormat/>
    <w:rsid w:val="003B1E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Jindřich, Ing.</dc:creator>
  <cp:lastModifiedBy>Špičková Soňa</cp:lastModifiedBy>
  <cp:revision>4</cp:revision>
  <cp:lastPrinted>2017-06-01T08:00:00Z</cp:lastPrinted>
  <dcterms:created xsi:type="dcterms:W3CDTF">2019-03-26T14:04:00Z</dcterms:created>
  <dcterms:modified xsi:type="dcterms:W3CDTF">2019-03-27T07:25:00Z</dcterms:modified>
</cp:coreProperties>
</file>