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60" w:rsidRPr="00AC6B9F" w:rsidRDefault="00A74960" w:rsidP="00A7496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</w:pP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VS-52599</w:t>
      </w:r>
      <w:r w:rsidR="007B7DB3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-2</w:t>
      </w:r>
      <w:r w:rsidRPr="00AC6B9F"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18"/>
          <w:szCs w:val="18"/>
          <w:lang w:eastAsia="cs-CZ"/>
        </w:rPr>
        <w:t>/ČJ-2018-800500</w:t>
      </w:r>
    </w:p>
    <w:p w:rsidR="00A74960" w:rsidRPr="00990F4C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cs-CZ"/>
        </w:rPr>
      </w:pPr>
    </w:p>
    <w:p w:rsidR="00A74960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</w:p>
    <w:p w:rsidR="00A74960" w:rsidRPr="00FE218C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</w:pPr>
      <w:r w:rsidRPr="00841812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D O D A T E K   č.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>4</w:t>
      </w:r>
    </w:p>
    <w:p w:rsidR="00A74960" w:rsidRPr="00F23203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 Smlouvě o nájmu č.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9.2016</w:t>
      </w:r>
      <w:proofErr w:type="gramEnd"/>
    </w:p>
    <w:p w:rsidR="00A74960" w:rsidRPr="00F23203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4960" w:rsidRPr="00F23203" w:rsidRDefault="00A74960" w:rsidP="00A7496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A74960" w:rsidRPr="00F23203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cs-CZ"/>
        </w:rPr>
        <w:t>1.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    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cs-CZ"/>
        </w:rPr>
        <w:t>Česká republika, Vězeňská služba ČR</w:t>
      </w:r>
      <w:r w:rsidRPr="008E01E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cs-CZ"/>
        </w:rPr>
        <w:t xml:space="preserve"> 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 Soudní 1672/1a, 140 67 Praha 4</w:t>
      </w:r>
    </w:p>
    <w:p w:rsidR="00A74960" w:rsidRPr="008E01E2" w:rsidRDefault="00A74960" w:rsidP="00A74960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00 21 24 23</w:t>
      </w:r>
    </w:p>
    <w:p w:rsidR="00A74960" w:rsidRPr="008E01E2" w:rsidRDefault="00A74960" w:rsidP="00A74960">
      <w:pPr>
        <w:keepNext/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4"/>
        <w:outlineLvl w:val="6"/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>DIČ: CZ00212423</w:t>
      </w:r>
    </w:p>
    <w:p w:rsidR="00A74960" w:rsidRPr="008E01E2" w:rsidRDefault="00A74960" w:rsidP="00A74960">
      <w:pPr>
        <w:spacing w:before="60"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E01E2">
        <w:rPr>
          <w:rFonts w:ascii="Times New Roman" w:eastAsia="Calibri" w:hAnsi="Times New Roman" w:cs="Times New Roman"/>
          <w:sz w:val="24"/>
          <w:szCs w:val="24"/>
        </w:rPr>
        <w:t xml:space="preserve">Za stát právně jedná na  základě pověření generálního ředitele Vězeňské služby ČR  ze dne </w:t>
      </w:r>
      <w:proofErr w:type="gramStart"/>
      <w:r w:rsidRPr="008E01E2">
        <w:rPr>
          <w:rFonts w:ascii="Times New Roman" w:eastAsia="Calibri" w:hAnsi="Times New Roman" w:cs="Times New Roman"/>
          <w:sz w:val="24"/>
          <w:szCs w:val="24"/>
        </w:rPr>
        <w:t>1.9</w:t>
      </w:r>
      <w:proofErr w:type="gramEnd"/>
      <w:r w:rsidRPr="008E01E2">
        <w:rPr>
          <w:rFonts w:ascii="Times New Roman" w:eastAsia="Calibri" w:hAnsi="Times New Roman" w:cs="Times New Roman"/>
          <w:sz w:val="24"/>
          <w:szCs w:val="24"/>
        </w:rPr>
        <w:t>. 2016  Vrchní rada plk. Mgr. Miroslav Hadrava, ředitel věznice Vinařice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adresa věznice Vinařice:  273 07 Vinařice,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>č.p.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245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60" w:after="120" w:line="240" w:lineRule="auto"/>
        <w:ind w:left="1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8E01E2">
        <w:rPr>
          <w:rFonts w:ascii="Times New Roman" w:eastAsia="Times New Roman" w:hAnsi="Times New Roman" w:cs="Times New Roman"/>
          <w:color w:val="000000"/>
          <w:sz w:val="24"/>
          <w:szCs w:val="19"/>
          <w:lang w:eastAsia="cs-CZ"/>
        </w:rPr>
        <w:t xml:space="preserve">bankovní spojení: ČNB pobočka 701 </w:t>
      </w:r>
      <w:r w:rsidR="00527EE1" w:rsidRPr="00527EE1">
        <w:rPr>
          <w:rFonts w:ascii="Times New Roman" w:eastAsia="Times New Roman" w:hAnsi="Times New Roman" w:cs="Times New Roman"/>
          <w:color w:val="000000"/>
          <w:sz w:val="24"/>
          <w:szCs w:val="19"/>
          <w:highlight w:val="black"/>
          <w:lang w:eastAsia="cs-CZ"/>
        </w:rPr>
        <w:t>XXXXXXXXXXXXXXXX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pronajímatel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cs-CZ"/>
        </w:rPr>
        <w:t>2.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    „ŠANCE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cs-CZ"/>
        </w:rPr>
        <w:t xml:space="preserve"> P.R.O.“</w:t>
      </w:r>
    </w:p>
    <w:p w:rsidR="00A74960" w:rsidRPr="008E01E2" w:rsidRDefault="00A74960" w:rsidP="00A74960">
      <w:pPr>
        <w:keepNext/>
        <w:keepLines/>
        <w:widowControl w:val="0"/>
        <w:autoSpaceDE w:val="0"/>
        <w:autoSpaceDN w:val="0"/>
        <w:adjustRightInd w:val="0"/>
        <w:spacing w:before="60" w:after="0" w:line="240" w:lineRule="auto"/>
        <w:outlineLvl w:val="4"/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</w:pPr>
      <w:r w:rsidRPr="008E01E2">
        <w:rPr>
          <w:rFonts w:ascii="Times New Roman" w:eastAsiaTheme="majorEastAsia" w:hAnsi="Times New Roman" w:cs="Times New Roman"/>
          <w:color w:val="000000"/>
          <w:sz w:val="24"/>
          <w:szCs w:val="24"/>
          <w:lang w:eastAsia="cs-CZ"/>
        </w:rPr>
        <w:t xml:space="preserve">se sídlem Ibsenova 1213/5, Vinohrady, 120 00 Praha 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zastoupená Ing. Věrou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Babišovou</w:t>
      </w:r>
      <w:proofErr w:type="spell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předsedkyní spolku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 228 77 479         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CZ  22877479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zapsaná ve spolkovém rejstříku, vedeném Městským soudem v Praze, oddíl L, vložka 23298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ČSOB, </w:t>
      </w:r>
      <w:r w:rsidR="00527EE1" w:rsidRPr="00527EE1">
        <w:rPr>
          <w:rFonts w:ascii="Times New Roman" w:eastAsia="Times New Roman" w:hAnsi="Times New Roman" w:cs="Times New Roman"/>
          <w:sz w:val="24"/>
          <w:szCs w:val="24"/>
          <w:highlight w:val="black"/>
          <w:lang w:eastAsia="cs-CZ"/>
        </w:rPr>
        <w:t>XXXXXXXXXXXXX</w:t>
      </w:r>
      <w:bookmarkStart w:id="0" w:name="_GoBack"/>
      <w:bookmarkEnd w:id="0"/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before="199" w:after="0" w:line="214" w:lineRule="exact"/>
        <w:ind w:left="1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(dále jen "</w:t>
      </w:r>
      <w:r w:rsidRPr="008E01E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cs-CZ"/>
        </w:rPr>
        <w:t>nájemce</w:t>
      </w:r>
      <w:r w:rsidRPr="008E01E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cs-CZ"/>
        </w:rPr>
        <w:t>")</w:t>
      </w:r>
    </w:p>
    <w:p w:rsidR="00A74960" w:rsidRPr="00F23203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4960" w:rsidRPr="00F23203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A74960" w:rsidRDefault="00A74960" w:rsidP="00A749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.2. Smlouvy o nájmu č.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uzavřené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„Smlouva“), se smluvní strany dohodly na dále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Smlouvy:</w:t>
      </w:r>
    </w:p>
    <w:p w:rsidR="00A74960" w:rsidRDefault="00A74960" w:rsidP="00A749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A74960" w:rsidRDefault="00A74960" w:rsidP="00A74960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 </w:t>
      </w:r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5. Nájemné a platební podmínky, odst. </w:t>
      </w:r>
      <w:proofErr w:type="gramStart"/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A7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74960" w:rsidRP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 </w:t>
      </w:r>
      <w:proofErr w:type="gramStart"/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5.1</w:t>
      </w:r>
      <w:proofErr w:type="gramEnd"/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A7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Za užívání předmětu nájmu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specifikovaného v čl. 1. této S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mlouvy se nájemce zavazuje platit pronajímateli nájemné, jehož výše byla stanovena dohodou, a to 180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>90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Kč za 1 m</w:t>
      </w:r>
      <w:r w:rsidRPr="00A74960">
        <w:rPr>
          <w:rFonts w:ascii="Times New Roman" w:eastAsia="Times New Roman" w:hAnsi="Times New Roman" w:cs="Times New Roman"/>
          <w:spacing w:val="-12"/>
          <w:sz w:val="24"/>
          <w:szCs w:val="24"/>
          <w:vertAlign w:val="superscript"/>
          <w:lang w:eastAsia="cs-CZ"/>
        </w:rPr>
        <w:t>2</w:t>
      </w:r>
      <w:r w:rsidRPr="00A749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cs-CZ"/>
        </w:rPr>
        <w:t xml:space="preserve"> ročně. Uvedená cena nájmu, je cenou v čase a místě obvyklou.</w:t>
      </w:r>
    </w:p>
    <w:p w:rsidR="00A74960" w:rsidRPr="00A74960" w:rsidRDefault="00A74960" w:rsidP="00A7496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roční nájemné činí 4.6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49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z toho čtvrtletní nájemné činí 1.1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62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:rsidR="00A74960" w:rsidRPr="00A74960" w:rsidRDefault="00A74960" w:rsidP="00A7496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nájemném není zahrnuto vytápění nebytového </w:t>
      </w:r>
      <w:proofErr w:type="gramStart"/>
      <w:r w:rsidRPr="00A749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prostoru.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gramEnd"/>
    </w:p>
    <w:p w:rsidR="00A74960" w:rsidRPr="00933F88" w:rsidRDefault="00A74960" w:rsidP="00A749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4960" w:rsidRPr="00E63A45" w:rsidRDefault="00A74960" w:rsidP="00A74960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2.   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Nájemné a platební podmínky,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odst.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se</w:t>
      </w:r>
      <w:proofErr w:type="gramEnd"/>
      <w:r w:rsidRPr="00E63A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mění tak, že původní znění se zrušuje a nahrazuje se novým zněním takto:</w:t>
      </w:r>
    </w:p>
    <w:p w:rsidR="00A74960" w:rsidRPr="00990F4C" w:rsidRDefault="00A74960" w:rsidP="00A74960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A74960" w:rsidRPr="008E01E2" w:rsidRDefault="00A74960" w:rsidP="00A749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„ </w:t>
      </w:r>
      <w:proofErr w:type="gramStart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5.3</w:t>
      </w:r>
      <w:proofErr w:type="gramEnd"/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ab/>
        <w:t xml:space="preserve">Vytápění pronajatého prostoru bude účtováno paušálně ve výši 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68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>77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 Kč/m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cs-CZ"/>
        </w:rPr>
        <w:t xml:space="preserve">/rok bez DPH 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(skutečné náklady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v roce 201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8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). K výše uvedené částce bude účtováno DPH v zákonem stanovené výši. Nájemce se zavazuje k uzavření dodatku k této smlouvě, kterým se upraví úhrada za vytápění pronajatého prostoru s účinností od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1.4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.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br/>
        <w:t>následujícího roku v souladu se skutečnými náklady věznice na vytápění 1m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vertAlign w:val="superscript"/>
          <w:lang w:eastAsia="cs-CZ"/>
        </w:rPr>
        <w:t>2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plochy věznice za předcházející rok. Vytápění bude nájemcem hrazeno na 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účet  pronajímatele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na základě vystavené faktury se splatností 14 dnů.  Dnem zaplacení je den, kdy byla platba připsána na účet pronajímatele. Vyúčtování bude prováděno vždy k </w:t>
      </w:r>
      <w:proofErr w:type="gramStart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30.6., 31.10</w:t>
      </w:r>
      <w:proofErr w:type="gramEnd"/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a 31.12. každého roku.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>“</w:t>
      </w:r>
      <w:r w:rsidRPr="008E01E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cs-CZ"/>
        </w:rPr>
        <w:t xml:space="preserve"> </w:t>
      </w:r>
    </w:p>
    <w:p w:rsidR="00A74960" w:rsidRDefault="00A74960" w:rsidP="00A74960">
      <w:pPr>
        <w:pStyle w:val="Seznam"/>
        <w:ind w:left="0" w:firstLine="0"/>
        <w:jc w:val="both"/>
        <w:rPr>
          <w:sz w:val="24"/>
          <w:szCs w:val="24"/>
        </w:rPr>
      </w:pPr>
    </w:p>
    <w:p w:rsidR="00A74960" w:rsidRDefault="00A74960" w:rsidP="00A74960">
      <w:pPr>
        <w:pStyle w:val="Seznam"/>
        <w:ind w:left="0" w:firstLine="0"/>
        <w:jc w:val="both"/>
        <w:rPr>
          <w:sz w:val="24"/>
          <w:szCs w:val="24"/>
        </w:rPr>
      </w:pPr>
    </w:p>
    <w:p w:rsidR="00A74960" w:rsidRDefault="00A74960" w:rsidP="00A74960">
      <w:pPr>
        <w:pStyle w:val="Seznam"/>
        <w:ind w:left="0" w:firstLine="0"/>
        <w:jc w:val="both"/>
        <w:rPr>
          <w:sz w:val="24"/>
          <w:szCs w:val="24"/>
        </w:rPr>
      </w:pPr>
    </w:p>
    <w:p w:rsidR="00A74960" w:rsidRDefault="00A74960" w:rsidP="00A74960">
      <w:pPr>
        <w:pStyle w:val="Seznam"/>
        <w:ind w:left="0" w:firstLine="0"/>
        <w:jc w:val="both"/>
        <w:rPr>
          <w:sz w:val="24"/>
          <w:szCs w:val="24"/>
        </w:rPr>
      </w:pPr>
    </w:p>
    <w:p w:rsidR="00A74960" w:rsidRPr="00933F88" w:rsidRDefault="00A74960" w:rsidP="00A7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933F88" w:rsidRDefault="00A74960" w:rsidP="00A7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p w:rsidR="00A74960" w:rsidRPr="00933F88" w:rsidRDefault="00A74960" w:rsidP="00A749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ustanovení Smlouvy se nemění a zůstávají v původním znění.</w:t>
      </w:r>
    </w:p>
    <w:p w:rsidR="00A74960" w:rsidRPr="00933F88" w:rsidRDefault="00A74960" w:rsidP="00A7496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vyhotoven ve čtyřech stejnopisech, přičemž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 obdrží tři výtisky, nájemce jeden výtisk.</w:t>
      </w:r>
    </w:p>
    <w:p w:rsidR="00A74960" w:rsidRPr="00933F88" w:rsidRDefault="00A74960" w:rsidP="00A74960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F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Tento dodatek nabývá platnosti dnem podpisu smluvních stran s účinností ke dni </w:t>
      </w:r>
      <w:proofErr w:type="gramStart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4.2019</w:t>
      </w:r>
      <w:proofErr w:type="gramEnd"/>
      <w:r w:rsidRPr="00933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74960" w:rsidRPr="00933F88" w:rsidRDefault="00A74960" w:rsidP="00A749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F23203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F23203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Vinařicích dne:                                                                 </w:t>
      </w:r>
    </w:p>
    <w:p w:rsidR="00A74960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F23203" w:rsidRDefault="00A74960" w:rsidP="00A7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Za pronajímatele :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nájemce :</w:t>
      </w:r>
      <w:proofErr w:type="gramEnd"/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Vrchní rada</w:t>
      </w: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plk.  Mgr.</w:t>
      </w:r>
      <w:proofErr w:type="gramEnd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Miroslav Hadrava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Věra </w:t>
      </w:r>
      <w:proofErr w:type="spellStart"/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Babišová</w:t>
      </w:r>
      <w:proofErr w:type="spellEnd"/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ředitel věznice Vinařice</w:t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E01E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předsedkyně spolku</w:t>
      </w: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A74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960" w:rsidRPr="008E01E2" w:rsidRDefault="00A74960" w:rsidP="006A1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74960" w:rsidRPr="008E01E2" w:rsidSect="00824F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72" w:rsidRDefault="00052472" w:rsidP="00052472">
      <w:pPr>
        <w:spacing w:after="0" w:line="240" w:lineRule="auto"/>
      </w:pPr>
      <w:r>
        <w:separator/>
      </w:r>
    </w:p>
  </w:endnote>
  <w:endnote w:type="continuationSeparator" w:id="0">
    <w:p w:rsidR="00052472" w:rsidRDefault="00052472" w:rsidP="0005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72" w:rsidRDefault="00052472" w:rsidP="00052472">
      <w:pPr>
        <w:spacing w:after="0" w:line="240" w:lineRule="auto"/>
      </w:pPr>
      <w:r>
        <w:separator/>
      </w:r>
    </w:p>
  </w:footnote>
  <w:footnote w:type="continuationSeparator" w:id="0">
    <w:p w:rsidR="00052472" w:rsidRDefault="00052472" w:rsidP="0005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441"/>
    <w:multiLevelType w:val="hybridMultilevel"/>
    <w:tmpl w:val="3CACE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175D9"/>
    <w:multiLevelType w:val="hybridMultilevel"/>
    <w:tmpl w:val="9C362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78A4"/>
    <w:multiLevelType w:val="hybridMultilevel"/>
    <w:tmpl w:val="A8704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7959"/>
    <w:multiLevelType w:val="hybridMultilevel"/>
    <w:tmpl w:val="6EA0528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4042"/>
    <w:multiLevelType w:val="hybridMultilevel"/>
    <w:tmpl w:val="4A527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7781"/>
    <w:multiLevelType w:val="hybridMultilevel"/>
    <w:tmpl w:val="A0A42546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60735972"/>
    <w:multiLevelType w:val="multilevel"/>
    <w:tmpl w:val="5E0C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>
    <w:nsid w:val="6FB306CB"/>
    <w:multiLevelType w:val="hybridMultilevel"/>
    <w:tmpl w:val="AF32B2EE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714A7821"/>
    <w:multiLevelType w:val="hybridMultilevel"/>
    <w:tmpl w:val="853E14C4"/>
    <w:lvl w:ilvl="0" w:tplc="2A80B630">
      <w:start w:val="1"/>
      <w:numFmt w:val="decimal"/>
      <w:lvlText w:val="%1."/>
      <w:lvlJc w:val="left"/>
      <w:pPr>
        <w:ind w:left="388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791E4676"/>
    <w:multiLevelType w:val="hybridMultilevel"/>
    <w:tmpl w:val="1FE02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6E18"/>
    <w:multiLevelType w:val="multilevel"/>
    <w:tmpl w:val="A03CA0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4"/>
    <w:rsid w:val="000034D8"/>
    <w:rsid w:val="00052472"/>
    <w:rsid w:val="00130043"/>
    <w:rsid w:val="00146442"/>
    <w:rsid w:val="00294C57"/>
    <w:rsid w:val="002C39BC"/>
    <w:rsid w:val="002E172A"/>
    <w:rsid w:val="003672DA"/>
    <w:rsid w:val="003E3CDB"/>
    <w:rsid w:val="004A4621"/>
    <w:rsid w:val="004B3CCD"/>
    <w:rsid w:val="004E41F3"/>
    <w:rsid w:val="00517DBC"/>
    <w:rsid w:val="00527EE1"/>
    <w:rsid w:val="005742A4"/>
    <w:rsid w:val="005B4AE0"/>
    <w:rsid w:val="006A1B87"/>
    <w:rsid w:val="006D6E9A"/>
    <w:rsid w:val="0071235A"/>
    <w:rsid w:val="0076186B"/>
    <w:rsid w:val="007A6BD9"/>
    <w:rsid w:val="007B7DB3"/>
    <w:rsid w:val="007C0E49"/>
    <w:rsid w:val="00824FCC"/>
    <w:rsid w:val="00892C25"/>
    <w:rsid w:val="008E01E2"/>
    <w:rsid w:val="00944FF9"/>
    <w:rsid w:val="00984817"/>
    <w:rsid w:val="00990F4C"/>
    <w:rsid w:val="009E0043"/>
    <w:rsid w:val="00A25168"/>
    <w:rsid w:val="00A74960"/>
    <w:rsid w:val="00A848ED"/>
    <w:rsid w:val="00AC6B9F"/>
    <w:rsid w:val="00BF6023"/>
    <w:rsid w:val="00CB4484"/>
    <w:rsid w:val="00CD105A"/>
    <w:rsid w:val="00D55359"/>
    <w:rsid w:val="00D71F78"/>
    <w:rsid w:val="00E63A45"/>
    <w:rsid w:val="00F3322A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123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23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472"/>
  </w:style>
  <w:style w:type="paragraph" w:styleId="Zpat">
    <w:name w:val="footer"/>
    <w:basedOn w:val="Normln"/>
    <w:link w:val="Zpat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84"/>
    <w:pPr>
      <w:ind w:left="720"/>
      <w:contextualSpacing/>
    </w:pPr>
  </w:style>
  <w:style w:type="paragraph" w:styleId="Seznam">
    <w:name w:val="List"/>
    <w:basedOn w:val="Normln"/>
    <w:unhideWhenUsed/>
    <w:rsid w:val="00146442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123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23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9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472"/>
  </w:style>
  <w:style w:type="paragraph" w:styleId="Zpat">
    <w:name w:val="footer"/>
    <w:basedOn w:val="Normln"/>
    <w:link w:val="ZpatChar"/>
    <w:uiPriority w:val="99"/>
    <w:unhideWhenUsed/>
    <w:rsid w:val="0005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62E5-3AE4-4E00-A600-2F5376E6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Škripko Jindřich Ing.</dc:creator>
  <cp:lastModifiedBy>Špičková Soňa</cp:lastModifiedBy>
  <cp:revision>4</cp:revision>
  <cp:lastPrinted>2019-03-15T10:20:00Z</cp:lastPrinted>
  <dcterms:created xsi:type="dcterms:W3CDTF">2019-03-27T07:11:00Z</dcterms:created>
  <dcterms:modified xsi:type="dcterms:W3CDTF">2019-03-27T07:18:00Z</dcterms:modified>
</cp:coreProperties>
</file>