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38" w:rsidRPr="00530B29" w:rsidRDefault="00363938" w:rsidP="00A02CCA">
      <w:pPr>
        <w:jc w:val="center"/>
        <w:rPr>
          <w:b/>
        </w:rPr>
      </w:pPr>
      <w:bookmarkStart w:id="0" w:name="_Toc196810167"/>
      <w:r w:rsidRPr="00530B29">
        <w:rPr>
          <w:b/>
        </w:rPr>
        <w:t>Smlouva o spolupráci</w:t>
      </w:r>
      <w:bookmarkEnd w:id="0"/>
    </w:p>
    <w:p w:rsidR="00363938" w:rsidRPr="00530B29" w:rsidRDefault="00363938" w:rsidP="00A02CCA">
      <w:pPr>
        <w:pStyle w:val="WW-Zkladntext2"/>
        <w:jc w:val="left"/>
        <w:rPr>
          <w:rFonts w:ascii="Calibri" w:hAnsi="Calibri"/>
          <w:b w:val="0"/>
          <w:bCs/>
          <w:sz w:val="22"/>
          <w:szCs w:val="22"/>
        </w:rPr>
      </w:pPr>
      <w:r w:rsidRPr="00530B29">
        <w:rPr>
          <w:rFonts w:ascii="Calibri" w:hAnsi="Calibri"/>
          <w:b w:val="0"/>
          <w:bCs/>
          <w:sz w:val="22"/>
          <w:szCs w:val="22"/>
        </w:rPr>
        <w:t>podle § 1746</w:t>
      </w:r>
      <w:r w:rsidR="00CD4B2C">
        <w:rPr>
          <w:rFonts w:ascii="Calibri" w:hAnsi="Calibri"/>
          <w:b w:val="0"/>
          <w:bCs/>
          <w:sz w:val="22"/>
          <w:szCs w:val="22"/>
        </w:rPr>
        <w:t xml:space="preserve"> </w:t>
      </w:r>
      <w:r w:rsidRPr="00530B29">
        <w:rPr>
          <w:rFonts w:ascii="Calibri" w:hAnsi="Calibri"/>
          <w:b w:val="0"/>
          <w:bCs/>
          <w:sz w:val="22"/>
          <w:szCs w:val="22"/>
        </w:rPr>
        <w:t>odst. 2 zákona č. 89/2012 Sb., občanský zákoník, ve znění pozdějších předpisů.</w:t>
      </w:r>
    </w:p>
    <w:p w:rsidR="00363938" w:rsidRPr="00530B29" w:rsidRDefault="00363938" w:rsidP="00A02CCA"/>
    <w:p w:rsidR="00363938" w:rsidRPr="00530B29" w:rsidRDefault="00363938" w:rsidP="00A02CCA">
      <w:pPr>
        <w:jc w:val="center"/>
        <w:rPr>
          <w:b/>
        </w:rPr>
      </w:pPr>
      <w:bookmarkStart w:id="1" w:name="_Toc196810168"/>
      <w:r w:rsidRPr="00530B29">
        <w:rPr>
          <w:b/>
        </w:rPr>
        <w:t>Článek I</w:t>
      </w:r>
      <w:bookmarkEnd w:id="1"/>
    </w:p>
    <w:p w:rsidR="00363938" w:rsidRPr="00530B29" w:rsidRDefault="00363938" w:rsidP="00A02CCA">
      <w:pPr>
        <w:jc w:val="center"/>
        <w:rPr>
          <w:b/>
        </w:rPr>
      </w:pPr>
      <w:bookmarkStart w:id="2" w:name="_Toc196810169"/>
      <w:r w:rsidRPr="00530B29">
        <w:rPr>
          <w:b/>
        </w:rPr>
        <w:t>Smluvní strany</w:t>
      </w:r>
      <w:bookmarkEnd w:id="2"/>
    </w:p>
    <w:p w:rsidR="00363938" w:rsidRPr="00530B29" w:rsidRDefault="00363938" w:rsidP="00A02CCA">
      <w:pPr>
        <w:jc w:val="both"/>
      </w:pPr>
    </w:p>
    <w:p w:rsidR="00363938" w:rsidRDefault="00363938" w:rsidP="00A02CCA">
      <w:pPr>
        <w:rPr>
          <w:b/>
        </w:rPr>
      </w:pPr>
      <w:r w:rsidRPr="00BA356D">
        <w:rPr>
          <w:b/>
        </w:rPr>
        <w:t xml:space="preserve">Ústav teorie informace a automatizace AV ČR, </w:t>
      </w:r>
      <w:proofErr w:type="spellStart"/>
      <w:proofErr w:type="gramStart"/>
      <w:r w:rsidRPr="00BA356D">
        <w:rPr>
          <w:b/>
        </w:rPr>
        <w:t>v.v.</w:t>
      </w:r>
      <w:proofErr w:type="gramEnd"/>
      <w:r w:rsidRPr="00BA356D">
        <w:rPr>
          <w:b/>
        </w:rPr>
        <w:t>i</w:t>
      </w:r>
      <w:proofErr w:type="spellEnd"/>
      <w:r w:rsidRPr="00BA356D">
        <w:rPr>
          <w:b/>
        </w:rPr>
        <w:t>.</w:t>
      </w:r>
    </w:p>
    <w:p w:rsidR="00363938" w:rsidRPr="00BA356D" w:rsidRDefault="00363938" w:rsidP="00564759">
      <w:pPr>
        <w:rPr>
          <w:b/>
        </w:rPr>
      </w:pPr>
      <w:r>
        <w:t>zapsaný v r</w:t>
      </w:r>
      <w:r w:rsidRPr="00DF00C8">
        <w:t>ejstřík</w:t>
      </w:r>
      <w:r>
        <w:t>u</w:t>
      </w:r>
      <w:r w:rsidRPr="00DF00C8">
        <w:t xml:space="preserve"> veřejných výzkumných institucí veden</w:t>
      </w:r>
      <w:r>
        <w:t>ém</w:t>
      </w:r>
      <w:r w:rsidRPr="00DF00C8">
        <w:t xml:space="preserve"> Ministerstvem školství, mládeže a tělovýchovy ČR, spisová značka 17113/2006-34/ÚTIA</w:t>
      </w:r>
    </w:p>
    <w:p w:rsidR="00363938" w:rsidRPr="00530B29" w:rsidRDefault="00363938" w:rsidP="00A02CCA">
      <w:r w:rsidRPr="00530B29">
        <w:t>Sídlo: Pod Vodárenskou věží 1143/4, Praha 8,  PSČ:  18208</w:t>
      </w:r>
    </w:p>
    <w:p w:rsidR="00363938" w:rsidRPr="00530B29" w:rsidRDefault="00363938" w:rsidP="00A02CCA">
      <w:r w:rsidRPr="00530B29">
        <w:t xml:space="preserve">Statutární zástupce:  </w:t>
      </w:r>
      <w:r w:rsidR="00F53ABE" w:rsidRPr="00F53ABE">
        <w:t>Doc. RNDr. Jiřina Vejnarová, CSc.</w:t>
      </w:r>
      <w:r w:rsidRPr="00530B29">
        <w:t>, ředitel ústavu</w:t>
      </w:r>
    </w:p>
    <w:p w:rsidR="00363938" w:rsidRPr="00530B29" w:rsidRDefault="00363938" w:rsidP="00A02CCA">
      <w:r w:rsidRPr="00530B29">
        <w:t>Veřejn</w:t>
      </w:r>
      <w:r>
        <w:t>á</w:t>
      </w:r>
      <w:r w:rsidRPr="00530B29">
        <w:t xml:space="preserve"> výzkumná instituce</w:t>
      </w:r>
    </w:p>
    <w:p w:rsidR="00363938" w:rsidRPr="00530B29" w:rsidRDefault="00363938" w:rsidP="00A02CCA">
      <w:r w:rsidRPr="00530B29">
        <w:t>IČ: 67985556</w:t>
      </w:r>
    </w:p>
    <w:p w:rsidR="00363938" w:rsidRPr="00530B29" w:rsidRDefault="00363938" w:rsidP="00A02CCA">
      <w:r w:rsidRPr="00530B29">
        <w:t xml:space="preserve">bankovní spojení: ČSOB, č. bankovního účtu: </w:t>
      </w:r>
    </w:p>
    <w:p w:rsidR="00F53ABE" w:rsidRPr="00530B29" w:rsidRDefault="00F53ABE" w:rsidP="00F53ABE">
      <w:r w:rsidRPr="00530B29">
        <w:t xml:space="preserve"> (dále jen</w:t>
      </w:r>
      <w:r w:rsidRPr="00530B29">
        <w:rPr>
          <w:b/>
        </w:rPr>
        <w:t xml:space="preserve"> </w:t>
      </w:r>
      <w:r w:rsidRPr="00530B29">
        <w:t>„</w:t>
      </w:r>
      <w:r w:rsidRPr="00530B29">
        <w:rPr>
          <w:b/>
        </w:rPr>
        <w:t>Hlavní příjemce</w:t>
      </w:r>
      <w:r w:rsidRPr="00530B29">
        <w:t>“)</w:t>
      </w:r>
    </w:p>
    <w:p w:rsidR="00F53ABE" w:rsidRDefault="00F53ABE" w:rsidP="00A02CCA">
      <w:pPr>
        <w:rPr>
          <w:b/>
        </w:rPr>
      </w:pPr>
      <w:r>
        <w:rPr>
          <w:b/>
        </w:rPr>
        <w:t>a</w:t>
      </w:r>
    </w:p>
    <w:p w:rsidR="00F57430" w:rsidRDefault="00F57430" w:rsidP="00F57430">
      <w:proofErr w:type="spellStart"/>
      <w:r>
        <w:rPr>
          <w:b/>
        </w:rPr>
        <w:t>Medical</w:t>
      </w:r>
      <w:proofErr w:type="spellEnd"/>
      <w:r>
        <w:rPr>
          <w:b/>
        </w:rPr>
        <w:t xml:space="preserve"> </w:t>
      </w:r>
      <w:proofErr w:type="spellStart"/>
      <w:r>
        <w:rPr>
          <w:b/>
        </w:rPr>
        <w:t>Healthcom</w:t>
      </w:r>
      <w:proofErr w:type="spellEnd"/>
      <w:r>
        <w:rPr>
          <w:b/>
        </w:rPr>
        <w:t xml:space="preserve"> spol. s r.o.</w:t>
      </w:r>
    </w:p>
    <w:p w:rsidR="00F57430" w:rsidRDefault="00F57430" w:rsidP="00F57430">
      <w:r>
        <w:t xml:space="preserve">Sídlo: </w:t>
      </w:r>
      <w:proofErr w:type="spellStart"/>
      <w:r>
        <w:t>Dunovského</w:t>
      </w:r>
      <w:proofErr w:type="spellEnd"/>
      <w:r>
        <w:t xml:space="preserve"> 330/13, Chodov, 149 00 Praha </w:t>
      </w:r>
    </w:p>
    <w:p w:rsidR="00F57430" w:rsidRDefault="00F57430" w:rsidP="00F57430">
      <w:r>
        <w:t>Statutární zástupce: MUDr. Jitka Vydrová, jednatelka</w:t>
      </w:r>
    </w:p>
    <w:p w:rsidR="00F57430" w:rsidRDefault="00F57430" w:rsidP="00F57430">
      <w:r>
        <w:t>Společnost s ručením omezeným</w:t>
      </w:r>
    </w:p>
    <w:p w:rsidR="00F57430" w:rsidRDefault="00F57430" w:rsidP="00F57430">
      <w:r>
        <w:t>IČ: 48025330</w:t>
      </w:r>
    </w:p>
    <w:p w:rsidR="00F57430" w:rsidRDefault="00F57430" w:rsidP="00F57430">
      <w:r>
        <w:t>Neplátce DPH</w:t>
      </w:r>
    </w:p>
    <w:p w:rsidR="00F57430" w:rsidRDefault="00F57430" w:rsidP="00F57430">
      <w:pPr>
        <w:autoSpaceDE w:val="0"/>
        <w:autoSpaceDN w:val="0"/>
        <w:adjustRightInd w:val="0"/>
      </w:pPr>
      <w:r>
        <w:t xml:space="preserve">Bankovní spojení: ČSOB, č. bankovního účtu: </w:t>
      </w:r>
    </w:p>
    <w:p w:rsidR="00F57430" w:rsidRDefault="00F57430" w:rsidP="00F57430">
      <w:r>
        <w:t>(dále jen „</w:t>
      </w:r>
      <w:r>
        <w:rPr>
          <w:b/>
        </w:rPr>
        <w:t>Příjemce</w:t>
      </w:r>
      <w:r>
        <w:t>“)</w:t>
      </w:r>
    </w:p>
    <w:p w:rsidR="00F53ABE" w:rsidRDefault="00F53ABE" w:rsidP="00A02CCA">
      <w:pPr>
        <w:pStyle w:val="Obsah2"/>
        <w:ind w:left="0"/>
      </w:pPr>
    </w:p>
    <w:p w:rsidR="00363938" w:rsidRPr="00530B29" w:rsidRDefault="00363938" w:rsidP="00A02CCA">
      <w:pPr>
        <w:pStyle w:val="Obsah2"/>
        <w:ind w:left="0"/>
        <w:rPr>
          <w:rFonts w:ascii="Calibri" w:hAnsi="Calibri"/>
          <w:sz w:val="22"/>
          <w:szCs w:val="22"/>
        </w:rPr>
      </w:pPr>
      <w:r w:rsidRPr="00530B29">
        <w:rPr>
          <w:rFonts w:ascii="Calibri" w:hAnsi="Calibri"/>
          <w:sz w:val="22"/>
          <w:szCs w:val="22"/>
        </w:rPr>
        <w:t>uzavřeli níže uvedeného dne, měsíce a roku tuto Smlouvu o spolupráci s finanční spoluúčastí (dále jen „</w:t>
      </w:r>
      <w:r w:rsidRPr="00530B29">
        <w:rPr>
          <w:rFonts w:ascii="Calibri" w:hAnsi="Calibri"/>
          <w:b/>
          <w:sz w:val="22"/>
          <w:szCs w:val="22"/>
        </w:rPr>
        <w:t>Smlouva“):</w:t>
      </w:r>
    </w:p>
    <w:p w:rsidR="00B33D0F" w:rsidRDefault="00B33D0F" w:rsidP="00A02CCA">
      <w:pPr>
        <w:jc w:val="center"/>
        <w:rPr>
          <w:b/>
        </w:rPr>
      </w:pPr>
      <w:bookmarkStart w:id="3" w:name="_Toc196810176"/>
    </w:p>
    <w:p w:rsidR="00F83E82" w:rsidRDefault="00F83E82" w:rsidP="00A02CCA">
      <w:pPr>
        <w:jc w:val="center"/>
        <w:rPr>
          <w:b/>
        </w:rPr>
      </w:pPr>
    </w:p>
    <w:p w:rsidR="00F83E82" w:rsidRDefault="00F83E82" w:rsidP="00A02CCA">
      <w:pPr>
        <w:jc w:val="center"/>
        <w:rPr>
          <w:b/>
        </w:rPr>
      </w:pPr>
    </w:p>
    <w:p w:rsidR="00F83E82" w:rsidRDefault="00F83E82" w:rsidP="00A02CCA">
      <w:pPr>
        <w:jc w:val="center"/>
        <w:rPr>
          <w:b/>
        </w:rPr>
      </w:pPr>
    </w:p>
    <w:p w:rsidR="00F83E82" w:rsidRDefault="00F83E82" w:rsidP="00A02CCA">
      <w:pPr>
        <w:jc w:val="center"/>
        <w:rPr>
          <w:b/>
        </w:rPr>
      </w:pPr>
    </w:p>
    <w:p w:rsidR="00363938" w:rsidRPr="00530B29" w:rsidRDefault="00363938" w:rsidP="00A02CCA">
      <w:pPr>
        <w:jc w:val="center"/>
        <w:rPr>
          <w:b/>
        </w:rPr>
      </w:pPr>
      <w:r w:rsidRPr="00530B29">
        <w:rPr>
          <w:b/>
        </w:rPr>
        <w:t>Článek II</w:t>
      </w:r>
      <w:bookmarkEnd w:id="3"/>
    </w:p>
    <w:p w:rsidR="00363938" w:rsidRPr="00530B29" w:rsidRDefault="00363938" w:rsidP="00A02CCA">
      <w:pPr>
        <w:jc w:val="center"/>
        <w:rPr>
          <w:b/>
        </w:rPr>
      </w:pPr>
      <w:r w:rsidRPr="00530B29">
        <w:rPr>
          <w:b/>
        </w:rPr>
        <w:t>Předmět a účel Smlouvy</w:t>
      </w:r>
    </w:p>
    <w:p w:rsidR="00363938" w:rsidRPr="00530B29" w:rsidRDefault="00363938" w:rsidP="00A02CCA"/>
    <w:p w:rsidR="00363938" w:rsidRPr="00530B29" w:rsidRDefault="00363938" w:rsidP="00A02CCA">
      <w:pPr>
        <w:autoSpaceDE w:val="0"/>
        <w:autoSpaceDN w:val="0"/>
        <w:adjustRightInd w:val="0"/>
        <w:jc w:val="both"/>
      </w:pPr>
      <w:r w:rsidRPr="00530B29">
        <w:t>Předmětem této Smlouvy je úprava právního postav</w:t>
      </w:r>
      <w:r w:rsidR="00F83E82">
        <w:t>ení Hlavního příjemce a Příjemce</w:t>
      </w:r>
      <w:r w:rsidRPr="00530B29">
        <w:t>, jejich úlohy a odpovědnosti, jakož i úprava jejich vzájemných práv a povinností při realizaci projektu „</w:t>
      </w:r>
      <w:r w:rsidR="00991B6D">
        <w:rPr>
          <w:rStyle w:val="value"/>
        </w:rPr>
        <w:t>VKG 3.0</w:t>
      </w:r>
      <w:r w:rsidRPr="00530B29">
        <w:t xml:space="preserve">“ (dále jen Projekt) v rámci programu TA ČR </w:t>
      </w:r>
      <w:r w:rsidR="00991B6D">
        <w:t>programu na podporu aplikovaného výzkumu a experimentálního vývoje EPSILON, vyhlášené dne 28. února 2018</w:t>
      </w:r>
      <w:r w:rsidRPr="00530B29">
        <w:t xml:space="preserve">, </w:t>
      </w:r>
      <w:r w:rsidRPr="00530B29">
        <w:rPr>
          <w:bCs/>
        </w:rPr>
        <w:t>registrační číslo projektu:</w:t>
      </w:r>
      <w:r w:rsidR="00991B6D" w:rsidRPr="00991B6D">
        <w:rPr>
          <w:rStyle w:val="Nadpis1Char"/>
        </w:rPr>
        <w:t xml:space="preserve"> </w:t>
      </w:r>
      <w:r w:rsidR="00991B6D">
        <w:rPr>
          <w:rStyle w:val="value"/>
        </w:rPr>
        <w:t>TH04010422</w:t>
      </w:r>
      <w:r w:rsidRPr="00530B29">
        <w:t xml:space="preserve">. </w:t>
      </w:r>
    </w:p>
    <w:p w:rsidR="00363938" w:rsidRPr="00530B29" w:rsidRDefault="00363938" w:rsidP="00A02CCA">
      <w:pPr>
        <w:pStyle w:val="Zkladntext"/>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r w:rsidRPr="00530B29">
        <w:rPr>
          <w:rFonts w:ascii="Calibri" w:hAnsi="Calibri"/>
          <w:sz w:val="22"/>
          <w:szCs w:val="22"/>
        </w:rPr>
        <w:t>Vztahy me</w:t>
      </w:r>
      <w:r w:rsidR="00F83E82">
        <w:rPr>
          <w:rFonts w:ascii="Calibri" w:hAnsi="Calibri"/>
          <w:sz w:val="22"/>
          <w:szCs w:val="22"/>
        </w:rPr>
        <w:t>zi Hlavním příjemcem a Příjemcem</w:t>
      </w:r>
      <w:r w:rsidRPr="00530B29">
        <w:rPr>
          <w:rFonts w:ascii="Calibri" w:hAnsi="Calibri"/>
          <w:sz w:val="22"/>
          <w:szCs w:val="22"/>
        </w:rPr>
        <w:t xml:space="preserve"> se řídí pravidly vymezenými v Zadávací dokumentac</w:t>
      </w:r>
      <w:r w:rsidR="00402DFF">
        <w:rPr>
          <w:rFonts w:ascii="Calibri" w:hAnsi="Calibri"/>
          <w:sz w:val="22"/>
          <w:szCs w:val="22"/>
        </w:rPr>
        <w:t>i</w:t>
      </w:r>
      <w:r w:rsidR="00991B6D">
        <w:rPr>
          <w:rFonts w:ascii="Calibri" w:hAnsi="Calibri"/>
          <w:sz w:val="22"/>
          <w:szCs w:val="22"/>
        </w:rPr>
        <w:t xml:space="preserve"> programu EPSILON 4</w:t>
      </w:r>
      <w:r w:rsidRPr="00530B29">
        <w:rPr>
          <w:rFonts w:ascii="Calibri" w:hAnsi="Calibri"/>
          <w:sz w:val="22"/>
          <w:szCs w:val="22"/>
        </w:rPr>
        <w:t xml:space="preserve">. </w:t>
      </w:r>
    </w:p>
    <w:p w:rsidR="00363938" w:rsidRPr="00530B29" w:rsidRDefault="00363938" w:rsidP="00991B6D">
      <w:pPr>
        <w:pStyle w:val="Zkladntext"/>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r w:rsidRPr="00530B29">
        <w:rPr>
          <w:rFonts w:ascii="Calibri" w:hAnsi="Calibri"/>
          <w:sz w:val="22"/>
          <w:szCs w:val="22"/>
        </w:rPr>
        <w:t xml:space="preserve">Hlavní příjemce a </w:t>
      </w:r>
      <w:r w:rsidR="00F83E82">
        <w:rPr>
          <w:rFonts w:ascii="Calibri" w:hAnsi="Calibri"/>
          <w:sz w:val="22"/>
          <w:szCs w:val="22"/>
        </w:rPr>
        <w:t>Příjemce</w:t>
      </w:r>
      <w:r w:rsidRPr="00530B29">
        <w:rPr>
          <w:rFonts w:ascii="Calibri" w:hAnsi="Calibri"/>
          <w:sz w:val="22"/>
          <w:szCs w:val="22"/>
        </w:rPr>
        <w:t xml:space="preserve"> jsou povinni při realizaci Projektu postupovat dle pravidel uvedených v této Smlouvě, Smlouvě o poskytnutí podpory na řešení </w:t>
      </w:r>
      <w:r>
        <w:rPr>
          <w:rFonts w:ascii="Calibri" w:hAnsi="Calibri"/>
          <w:sz w:val="22"/>
          <w:szCs w:val="22"/>
        </w:rPr>
        <w:t>P</w:t>
      </w:r>
      <w:r w:rsidRPr="00530B29">
        <w:rPr>
          <w:rFonts w:ascii="Calibri" w:hAnsi="Calibri"/>
          <w:sz w:val="22"/>
          <w:szCs w:val="22"/>
        </w:rPr>
        <w:t>rojektu č.</w:t>
      </w:r>
      <w:r w:rsidR="00991B6D" w:rsidRPr="00991B6D">
        <w:t xml:space="preserve"> </w:t>
      </w:r>
      <w:r w:rsidR="00991B6D" w:rsidRPr="00991B6D">
        <w:rPr>
          <w:rFonts w:ascii="Calibri" w:hAnsi="Calibri"/>
          <w:sz w:val="22"/>
          <w:szCs w:val="22"/>
        </w:rPr>
        <w:t>TH04010422</w:t>
      </w:r>
      <w:r w:rsidRPr="00530B29">
        <w:rPr>
          <w:rFonts w:ascii="Calibri" w:hAnsi="Calibri"/>
          <w:sz w:val="22"/>
          <w:szCs w:val="22"/>
        </w:rPr>
        <w:t>, Všeobecných podmínkách TA ČR, případně v jiném právním aktu vydaným poskytovatelem dotace TA ČR –</w:t>
      </w:r>
      <w:r w:rsidRPr="00530B29">
        <w:rPr>
          <w:rFonts w:ascii="Calibri" w:hAnsi="Calibri"/>
          <w:bCs/>
          <w:sz w:val="22"/>
          <w:szCs w:val="22"/>
        </w:rPr>
        <w:t>,,Příruč</w:t>
      </w:r>
      <w:r w:rsidR="0053053D">
        <w:rPr>
          <w:rFonts w:ascii="Calibri" w:hAnsi="Calibri"/>
          <w:bCs/>
          <w:sz w:val="22"/>
          <w:szCs w:val="22"/>
        </w:rPr>
        <w:t>ka</w:t>
      </w:r>
      <w:r w:rsidRPr="00530B29">
        <w:rPr>
          <w:rFonts w:ascii="Calibri" w:hAnsi="Calibri"/>
          <w:bCs/>
          <w:sz w:val="22"/>
          <w:szCs w:val="22"/>
        </w:rPr>
        <w:t xml:space="preserve"> pro uchazeče“ a „Zadávací dokumentaci“</w:t>
      </w:r>
      <w:r w:rsidRPr="00530B29">
        <w:rPr>
          <w:rFonts w:ascii="Calibri" w:hAnsi="Calibri"/>
          <w:sz w:val="22"/>
          <w:szCs w:val="22"/>
        </w:rPr>
        <w:t xml:space="preserve">. </w:t>
      </w:r>
    </w:p>
    <w:p w:rsidR="00363938" w:rsidRPr="00530B29" w:rsidRDefault="00363938" w:rsidP="00A02CC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p>
    <w:p w:rsidR="00363938" w:rsidRPr="00530B29" w:rsidRDefault="00363938" w:rsidP="00A02CC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p>
    <w:p w:rsidR="00363938" w:rsidRPr="00530B29" w:rsidRDefault="00363938" w:rsidP="00A02CCA">
      <w:pPr>
        <w:jc w:val="center"/>
        <w:rPr>
          <w:b/>
        </w:rPr>
      </w:pPr>
      <w:bookmarkStart w:id="4" w:name="_Toc196810177"/>
      <w:r w:rsidRPr="00530B29">
        <w:rPr>
          <w:b/>
        </w:rPr>
        <w:t>Článek III</w:t>
      </w:r>
      <w:bookmarkEnd w:id="4"/>
    </w:p>
    <w:p w:rsidR="00363938" w:rsidRPr="00530B29" w:rsidRDefault="00363938" w:rsidP="00A02CCA">
      <w:pPr>
        <w:jc w:val="center"/>
        <w:rPr>
          <w:b/>
        </w:rPr>
      </w:pPr>
      <w:r w:rsidRPr="00530B29">
        <w:rPr>
          <w:b/>
        </w:rPr>
        <w:t>Práva a povinnosti smluvních stran</w:t>
      </w:r>
    </w:p>
    <w:p w:rsidR="00363938" w:rsidRPr="00530B29" w:rsidRDefault="00363938" w:rsidP="00A02CCA">
      <w:pPr>
        <w:rPr>
          <w:b/>
        </w:rPr>
      </w:pPr>
    </w:p>
    <w:p w:rsidR="00363938" w:rsidRPr="00530B29" w:rsidRDefault="00363938" w:rsidP="0002455D">
      <w:pPr>
        <w:tabs>
          <w:tab w:val="num" w:pos="0"/>
        </w:tabs>
        <w:spacing w:after="60"/>
        <w:jc w:val="both"/>
      </w:pPr>
      <w:r w:rsidRPr="00530B29">
        <w:t>Smluvní strany se dohodly, že se budou spolupodílet na realizaci Projektu uvedeného v čl. II této Smlouvy tak, že:</w:t>
      </w:r>
    </w:p>
    <w:p w:rsidR="00363938" w:rsidRPr="0002455D" w:rsidRDefault="00F83E82" w:rsidP="00EF398F">
      <w:pPr>
        <w:pStyle w:val="Zkladntext"/>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lang w:eastAsia="en-US"/>
        </w:rPr>
      </w:pPr>
      <w:r>
        <w:rPr>
          <w:rFonts w:ascii="Calibri" w:hAnsi="Calibri"/>
          <w:sz w:val="22"/>
          <w:szCs w:val="22"/>
          <w:lang w:eastAsia="en-US"/>
        </w:rPr>
        <w:t>Hlavní příjemce a Příjemce</w:t>
      </w:r>
      <w:r w:rsidR="00363938" w:rsidRPr="0002455D">
        <w:rPr>
          <w:rFonts w:ascii="Calibri" w:hAnsi="Calibri"/>
          <w:sz w:val="22"/>
          <w:szCs w:val="22"/>
          <w:lang w:eastAsia="en-US"/>
        </w:rPr>
        <w:t xml:space="preserve"> budou provádět veškeré činnosti, které jsou podrobně rozepsány ve schváleném návrhu Projektu, který je přílohou Smlouvy o poskytnutí podpory na ř</w:t>
      </w:r>
      <w:r w:rsidR="00EF398F">
        <w:rPr>
          <w:rFonts w:ascii="Calibri" w:hAnsi="Calibri"/>
          <w:sz w:val="22"/>
          <w:szCs w:val="22"/>
          <w:lang w:eastAsia="en-US"/>
        </w:rPr>
        <w:t>ešení Projektu v rámci programu</w:t>
      </w:r>
      <w:r w:rsidR="00EF398F" w:rsidRPr="00EF398F">
        <w:rPr>
          <w:rFonts w:ascii="Calibri" w:hAnsi="Calibri"/>
          <w:sz w:val="22"/>
          <w:szCs w:val="22"/>
          <w:lang w:eastAsia="en-US"/>
        </w:rPr>
        <w:t xml:space="preserve"> na podporu aplikovaného výzkumu a experimentálního vývoje EPSILON, vyhlášené dne 28. února 2018</w:t>
      </w:r>
      <w:r w:rsidR="00EF398F">
        <w:rPr>
          <w:rFonts w:ascii="Calibri" w:hAnsi="Calibri"/>
          <w:sz w:val="22"/>
          <w:szCs w:val="22"/>
          <w:lang w:eastAsia="en-US"/>
        </w:rPr>
        <w:t xml:space="preserve">, </w:t>
      </w:r>
      <w:r w:rsidR="00363938" w:rsidRPr="0002455D">
        <w:rPr>
          <w:rFonts w:ascii="Calibri" w:hAnsi="Calibri"/>
          <w:sz w:val="22"/>
          <w:szCs w:val="22"/>
          <w:lang w:eastAsia="en-US"/>
        </w:rPr>
        <w:t>regist</w:t>
      </w:r>
      <w:r w:rsidR="002D314E">
        <w:rPr>
          <w:rFonts w:ascii="Calibri" w:hAnsi="Calibri"/>
          <w:sz w:val="22"/>
          <w:szCs w:val="22"/>
          <w:lang w:eastAsia="en-US"/>
        </w:rPr>
        <w:t xml:space="preserve">rační číslo projektu: </w:t>
      </w:r>
      <w:r w:rsidR="002D314E" w:rsidRPr="00991B6D">
        <w:rPr>
          <w:rFonts w:ascii="Calibri" w:hAnsi="Calibri"/>
          <w:sz w:val="22"/>
          <w:szCs w:val="22"/>
        </w:rPr>
        <w:t>TH04010422</w:t>
      </w:r>
      <w:r w:rsidR="00363938">
        <w:rPr>
          <w:rFonts w:ascii="Calibri" w:hAnsi="Calibri"/>
          <w:sz w:val="22"/>
          <w:szCs w:val="22"/>
          <w:lang w:eastAsia="en-US"/>
        </w:rPr>
        <w:t>.</w:t>
      </w:r>
    </w:p>
    <w:p w:rsidR="00363938" w:rsidRPr="00530B29" w:rsidRDefault="00F83E82" w:rsidP="00A02CCA">
      <w:pPr>
        <w:pStyle w:val="Zkladntext"/>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r>
        <w:rPr>
          <w:rFonts w:ascii="Calibri" w:hAnsi="Calibri"/>
          <w:sz w:val="22"/>
          <w:szCs w:val="22"/>
        </w:rPr>
        <w:t>Hlavní příjemce a Příjemce</w:t>
      </w:r>
      <w:r w:rsidR="00363938" w:rsidRPr="00530B29">
        <w:rPr>
          <w:rFonts w:ascii="Calibri" w:hAnsi="Calibri"/>
          <w:sz w:val="22"/>
          <w:szCs w:val="22"/>
        </w:rPr>
        <w:t xml:space="preserve"> se zavazují nést plnou odpovědnost za realizaci činností, které mají vykonávat dle této Smlouvy.  </w:t>
      </w:r>
    </w:p>
    <w:p w:rsidR="00363938" w:rsidRPr="00530B29" w:rsidRDefault="00F83E82" w:rsidP="00A02CCA">
      <w:pPr>
        <w:pStyle w:val="Zkladntext"/>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r>
        <w:rPr>
          <w:rFonts w:ascii="Calibri" w:hAnsi="Calibri"/>
          <w:sz w:val="22"/>
          <w:szCs w:val="22"/>
        </w:rPr>
        <w:t xml:space="preserve">Hlavní příjemce a Příjemce </w:t>
      </w:r>
      <w:r w:rsidR="00363938" w:rsidRPr="00530B29">
        <w:rPr>
          <w:rFonts w:ascii="Calibri" w:hAnsi="Calibri"/>
          <w:sz w:val="22"/>
          <w:szCs w:val="22"/>
        </w:rPr>
        <w:t>jsou povinni jednat způsobem, který neohrožuje realizaci projektu a zájmy Hlavního příjemce a Příjemce.</w:t>
      </w:r>
    </w:p>
    <w:p w:rsidR="00363938" w:rsidRPr="00530B29" w:rsidRDefault="00F83E82" w:rsidP="00A02CCA">
      <w:pPr>
        <w:pStyle w:val="Zkladntext"/>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r>
        <w:rPr>
          <w:rFonts w:ascii="Calibri" w:hAnsi="Calibri"/>
          <w:sz w:val="22"/>
          <w:szCs w:val="22"/>
        </w:rPr>
        <w:t>Hlavní příjemce a Příjemce</w:t>
      </w:r>
      <w:r w:rsidR="00363938" w:rsidRPr="00530B29">
        <w:rPr>
          <w:rFonts w:ascii="Calibri" w:hAnsi="Calibri"/>
          <w:sz w:val="22"/>
          <w:szCs w:val="22"/>
        </w:rPr>
        <w:t xml:space="preserve"> mají právo na veškeré informace týkající se projektu, zejména jeho finančního řízení, dosažených výsledků Projektu a související dokumentace.</w:t>
      </w:r>
    </w:p>
    <w:p w:rsidR="00363938" w:rsidRPr="00530B29" w:rsidRDefault="00363938" w:rsidP="00A02CCA">
      <w:pPr>
        <w:pStyle w:val="Zkladntext"/>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rPr>
      </w:pPr>
      <w:r w:rsidRPr="00530B29">
        <w:rPr>
          <w:rFonts w:ascii="Calibri" w:hAnsi="Calibri"/>
          <w:sz w:val="22"/>
          <w:szCs w:val="22"/>
        </w:rPr>
        <w:t>Hlavní příjemce a Příjemc</w:t>
      </w:r>
      <w:r w:rsidR="00F83E82">
        <w:rPr>
          <w:rFonts w:ascii="Calibri" w:hAnsi="Calibri"/>
          <w:sz w:val="22"/>
          <w:szCs w:val="22"/>
        </w:rPr>
        <w:t>e</w:t>
      </w:r>
      <w:r w:rsidRPr="00530B29">
        <w:rPr>
          <w:rFonts w:ascii="Calibri" w:hAnsi="Calibri"/>
          <w:sz w:val="22"/>
          <w:szCs w:val="22"/>
        </w:rPr>
        <w:t xml:space="preserve"> se dále zavazují:</w:t>
      </w:r>
    </w:p>
    <w:p w:rsidR="00363938" w:rsidRPr="00530B29" w:rsidRDefault="00363938" w:rsidP="00A02CCA">
      <w:pPr>
        <w:numPr>
          <w:ilvl w:val="0"/>
          <w:numId w:val="3"/>
        </w:numPr>
        <w:tabs>
          <w:tab w:val="num" w:pos="780"/>
        </w:tabs>
        <w:spacing w:after="60" w:line="240" w:lineRule="auto"/>
        <w:jc w:val="both"/>
      </w:pPr>
      <w:r w:rsidRPr="00530B29">
        <w:t xml:space="preserve">vést účetnictví v souladu se zákonem č. 563/1991 Sb., o účetnictví, ve znění pozdějších předpisů, nebo daňovou evidenci podle zákona č. 586/1992 Sb., o daních z příjmů, ve znění pozdějších předpisů. Pokud </w:t>
      </w:r>
      <w:r>
        <w:t>Příjemce</w:t>
      </w:r>
      <w:r w:rsidRPr="00530B29">
        <w:t xml:space="preserve"> povede daňovou evidenci, je povinen dodržovat, aby</w:t>
      </w:r>
      <w:r w:rsidRPr="00530B29">
        <w:rPr>
          <w:bCs/>
        </w:rPr>
        <w:t xml:space="preserve"> příslušné doklady prokazující výdaje související s projektem splňovaly předepsané náležitosti účetního dokladu dle § 11 zákona č. 563/1991 Sb., o účetnictví, ve znění pozdějších předpisů, aby tyto doklady byly správné, úplné, průkazné a srozumitelné, dále jsou povinni uchovávat je</w:t>
      </w:r>
      <w:r w:rsidRPr="00530B29">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p>
    <w:p w:rsidR="00363938" w:rsidRPr="0002455D" w:rsidRDefault="00363938" w:rsidP="00A02CCA">
      <w:pPr>
        <w:numPr>
          <w:ilvl w:val="0"/>
          <w:numId w:val="3"/>
        </w:numPr>
        <w:spacing w:after="60" w:line="240" w:lineRule="auto"/>
        <w:jc w:val="both"/>
      </w:pPr>
      <w:r w:rsidRPr="0002455D">
        <w:t>na žádost Hlavního příjemce bezodkladně písemně poskytnout podklady a požadované doplňující informace související s realizací projektu,</w:t>
      </w:r>
    </w:p>
    <w:p w:rsidR="00363938" w:rsidRPr="008A042F" w:rsidRDefault="00363938" w:rsidP="00A02CCA">
      <w:pPr>
        <w:numPr>
          <w:ilvl w:val="0"/>
          <w:numId w:val="3"/>
        </w:numPr>
        <w:tabs>
          <w:tab w:val="left" w:pos="1014"/>
        </w:tabs>
        <w:spacing w:after="60" w:line="240" w:lineRule="auto"/>
        <w:jc w:val="both"/>
      </w:pPr>
      <w:r w:rsidRPr="00530B29">
        <w:lastRenderedPageBreak/>
        <w:t xml:space="preserve">řádně uchovávat veškeré dokumenty související s realizací projektu v souladu s platnými právními předpisy České republiky, nejméně však do </w:t>
      </w:r>
      <w:r w:rsidRPr="008A042F">
        <w:t xml:space="preserve">roku </w:t>
      </w:r>
      <w:r w:rsidR="002D314E" w:rsidRPr="008A042F">
        <w:t>2031</w:t>
      </w:r>
      <w:r w:rsidRPr="008A042F">
        <w:t xml:space="preserve">, </w:t>
      </w:r>
    </w:p>
    <w:p w:rsidR="00363938" w:rsidRPr="00530B29" w:rsidRDefault="00363938" w:rsidP="00A02CCA">
      <w:pPr>
        <w:numPr>
          <w:ilvl w:val="0"/>
          <w:numId w:val="3"/>
        </w:numPr>
        <w:tabs>
          <w:tab w:val="left" w:pos="1014"/>
        </w:tabs>
        <w:spacing w:after="60" w:line="240" w:lineRule="auto"/>
        <w:jc w:val="both"/>
      </w:pPr>
      <w:r w:rsidRPr="00530B29">
        <w:t>poskytovat součinnost při předkládání výsledků implementačního plánu, min. po dobu tří let od ukončení projektu,</w:t>
      </w:r>
    </w:p>
    <w:p w:rsidR="00363938" w:rsidRPr="00530B29" w:rsidRDefault="00363938" w:rsidP="00A02CCA">
      <w:pPr>
        <w:numPr>
          <w:ilvl w:val="0"/>
          <w:numId w:val="3"/>
        </w:numPr>
        <w:tabs>
          <w:tab w:val="left" w:pos="1014"/>
        </w:tabs>
        <w:spacing w:after="60" w:line="240" w:lineRule="auto"/>
        <w:jc w:val="both"/>
      </w:pPr>
      <w:r w:rsidRPr="00530B29">
        <w:t>sdělit Hlavnímu příjemci kód, pod kterým Příjemce účetně eviduje Projekt,</w:t>
      </w:r>
    </w:p>
    <w:p w:rsidR="00363938" w:rsidRPr="00530B29" w:rsidRDefault="00363938" w:rsidP="00A02CCA">
      <w:pPr>
        <w:widowControl w:val="0"/>
        <w:numPr>
          <w:ilvl w:val="0"/>
          <w:numId w:val="3"/>
        </w:numPr>
        <w:tabs>
          <w:tab w:val="left" w:pos="936"/>
          <w:tab w:val="left" w:pos="9638"/>
        </w:tabs>
        <w:spacing w:after="60" w:line="240" w:lineRule="auto"/>
        <w:ind w:right="-34"/>
        <w:jc w:val="both"/>
      </w:pPr>
      <w:r w:rsidRPr="00530B29">
        <w:t>v případě uzavírání dodavatelsko-odběratelských vztahů dodržovat pravidla účelovosti a způsobilosti výdajů,</w:t>
      </w:r>
    </w:p>
    <w:p w:rsidR="00363938" w:rsidRPr="00530B29" w:rsidRDefault="00363938" w:rsidP="00A02CCA">
      <w:pPr>
        <w:numPr>
          <w:ilvl w:val="0"/>
          <w:numId w:val="3"/>
        </w:numPr>
        <w:tabs>
          <w:tab w:val="num" w:pos="1014"/>
        </w:tabs>
        <w:spacing w:after="60" w:line="240" w:lineRule="auto"/>
        <w:jc w:val="both"/>
      </w:pPr>
      <w:r w:rsidRPr="00530B29">
        <w:t xml:space="preserve">po celou dobu realizace a udržitelnosti Projektu dodržovat právní předpisy ČR, zejména pak pravidla hospodářské soutěže, platné předpisy upravující veřejnou podporu, principy ochrany životního prostředí a prosazování rovných příležitostí, </w:t>
      </w:r>
    </w:p>
    <w:p w:rsidR="00363938" w:rsidRPr="00530B29" w:rsidRDefault="00363938" w:rsidP="00A02CCA">
      <w:pPr>
        <w:numPr>
          <w:ilvl w:val="0"/>
          <w:numId w:val="3"/>
        </w:numPr>
        <w:tabs>
          <w:tab w:val="num" w:pos="1014"/>
        </w:tabs>
        <w:spacing w:after="60" w:line="240" w:lineRule="auto"/>
        <w:jc w:val="both"/>
      </w:pPr>
      <w:r w:rsidRPr="00530B29">
        <w:t xml:space="preserve">s finančními prostředky poskytnutými na základě Smlouvy o poskytnutí podpory na řešení programového projektu č. </w:t>
      </w:r>
      <w:r w:rsidR="002D314E" w:rsidRPr="00991B6D">
        <w:t>TH04010422</w:t>
      </w:r>
      <w:r w:rsidR="002D314E">
        <w:t xml:space="preserve"> </w:t>
      </w:r>
      <w:r w:rsidRPr="00530B29">
        <w:t>nakládat správně, hospodárně, efektivně a účelně,</w:t>
      </w:r>
    </w:p>
    <w:p w:rsidR="00363938" w:rsidRPr="00530B29" w:rsidRDefault="00363938" w:rsidP="00A02CCA">
      <w:pPr>
        <w:numPr>
          <w:ilvl w:val="0"/>
          <w:numId w:val="3"/>
        </w:numPr>
        <w:tabs>
          <w:tab w:val="num" w:pos="1092"/>
        </w:tabs>
        <w:spacing w:after="60" w:line="240" w:lineRule="auto"/>
        <w:jc w:val="both"/>
      </w:pPr>
      <w:r w:rsidRPr="00530B29">
        <w:t xml:space="preserve">po celou dobu realizace a udržitelnosti Projektu nakládat s veškerým majetkem, získaným byť i jen částečně z finanční podpory, s péčí řádného hospodáře, zejména jej zabezpečit proti poškození, ztrátě nebo odcizení. </w:t>
      </w:r>
      <w:r w:rsidR="002D314E">
        <w:t xml:space="preserve">Žádný </w:t>
      </w:r>
      <w:r w:rsidRPr="00530B29">
        <w:t xml:space="preserve">Příjemce není oprávněn majetek spolufinancovaný z finanční podpory zatěžovat žádnými věcnými právy třetích osob, včetně práva zástavního, majetek prodat ani jinak zcizit, </w:t>
      </w:r>
      <w:r w:rsidR="002D314E">
        <w:t xml:space="preserve">žádný </w:t>
      </w:r>
      <w:r w:rsidRPr="00530B29">
        <w:t>Příjemce je povinen v případě zničení, poškození, ztráty, odcizení nebo jiné škodné události na majetkových hodnotách spolufinancovaných z finanční podpory opětovně pořídit nebo uvést tyto majetkové hodnoty do původního stavu, a to v nejbližším možném termínu, nejpozději však k datu ukončení realizace Projektu,</w:t>
      </w:r>
    </w:p>
    <w:p w:rsidR="00363938" w:rsidRPr="00530B29" w:rsidRDefault="00363938" w:rsidP="00A02CCA">
      <w:pPr>
        <w:numPr>
          <w:ilvl w:val="0"/>
          <w:numId w:val="3"/>
        </w:numPr>
        <w:tabs>
          <w:tab w:val="num" w:pos="1092"/>
        </w:tabs>
        <w:spacing w:after="60" w:line="240" w:lineRule="auto"/>
        <w:jc w:val="both"/>
      </w:pPr>
      <w:r w:rsidRPr="00530B29">
        <w:t>při realizaci činností dle této Smlouvy uskutečňovat propagaci Projektu v souladu s pokyny Hlavního Příjemce a s pravidly stanovenými v Příručce pro uchazeče,</w:t>
      </w:r>
    </w:p>
    <w:p w:rsidR="00363938" w:rsidRPr="00530B29" w:rsidRDefault="00363938" w:rsidP="00A02CCA">
      <w:pPr>
        <w:numPr>
          <w:ilvl w:val="0"/>
          <w:numId w:val="3"/>
        </w:numPr>
        <w:tabs>
          <w:tab w:val="num" w:pos="1092"/>
        </w:tabs>
        <w:spacing w:after="60" w:line="240" w:lineRule="auto"/>
        <w:jc w:val="both"/>
      </w:pPr>
      <w:r w:rsidRPr="00530B29">
        <w:rPr>
          <w:iCs/>
        </w:rPr>
        <w:t xml:space="preserve">předkládat Hlavnímu příjemci </w:t>
      </w:r>
      <w:r w:rsidRPr="00530B29">
        <w:t xml:space="preserve">v pravidelných šestiměsíčních intervalech nebo vždy, kdy o to Hlavní příjemce požádá, podklady pro </w:t>
      </w:r>
      <w:r>
        <w:t xml:space="preserve">Průběžné zprávy </w:t>
      </w:r>
      <w:r w:rsidRPr="00530B29">
        <w:t>o realizaci Projektu</w:t>
      </w:r>
      <w:r w:rsidRPr="00530B29">
        <w:rPr>
          <w:iCs/>
        </w:rPr>
        <w:t xml:space="preserve"> a dále pro </w:t>
      </w:r>
      <w:r>
        <w:rPr>
          <w:iCs/>
        </w:rPr>
        <w:t>Z</w:t>
      </w:r>
      <w:r w:rsidRPr="00530B29">
        <w:rPr>
          <w:iCs/>
        </w:rPr>
        <w:t xml:space="preserve">ávěrečnou zprávu dle </w:t>
      </w:r>
      <w:r>
        <w:rPr>
          <w:iCs/>
        </w:rPr>
        <w:t>instrukcí Hlavního příjemce</w:t>
      </w:r>
      <w:r w:rsidRPr="00530B29">
        <w:rPr>
          <w:iCs/>
        </w:rPr>
        <w:t xml:space="preserve">, </w:t>
      </w:r>
    </w:p>
    <w:p w:rsidR="00363938" w:rsidRPr="00530B29" w:rsidRDefault="00363938" w:rsidP="00A02CCA">
      <w:pPr>
        <w:numPr>
          <w:ilvl w:val="0"/>
          <w:numId w:val="3"/>
        </w:numPr>
        <w:tabs>
          <w:tab w:val="num" w:pos="1092"/>
        </w:tabs>
        <w:spacing w:after="60" w:line="240" w:lineRule="auto"/>
        <w:jc w:val="both"/>
      </w:pPr>
      <w:r w:rsidRPr="00530B29">
        <w:rPr>
          <w:bCs/>
        </w:rPr>
        <w:t xml:space="preserve">umožnit </w:t>
      </w:r>
      <w:r w:rsidRPr="00530B29">
        <w:rPr>
          <w:iCs/>
        </w:rPr>
        <w:t xml:space="preserve">Hlavnímu příjemci </w:t>
      </w:r>
      <w:r w:rsidRPr="00530B29">
        <w:t>provedení kontroly všech dokladů vztahujících se k činnostem, které realizuje v rámci Projektu, umožnit průběžné ověřování provádění činností, k nimž se zavázal dle této Smlouvy a poskytnout součinnost všem osobám oprávněným k provádění kontroly, příp. jejich zmocněncům. Těmito oprávněnými osobami jsou pracovníci Technologické agentury ČR, územní finanční orgány, Ministerstvo financí, Nejvyšší kontrolní úřad, případně další orgány nebo osoby oprávněné k výkonu kontroly,</w:t>
      </w:r>
    </w:p>
    <w:p w:rsidR="00363938" w:rsidRPr="00530B29" w:rsidRDefault="00363938" w:rsidP="00A02CCA">
      <w:pPr>
        <w:numPr>
          <w:ilvl w:val="0"/>
          <w:numId w:val="2"/>
        </w:numPr>
        <w:tabs>
          <w:tab w:val="num" w:pos="1092"/>
        </w:tabs>
        <w:spacing w:after="60" w:line="240" w:lineRule="auto"/>
        <w:jc w:val="both"/>
      </w:pPr>
      <w:r w:rsidRPr="00530B29">
        <w:t>bezodkladně informovat Hlavního příjemce o všech provedených kontrolách vyplývajících z účasti na projektu dle článku II. Smlouvy a o všech případných navržených nápravných opatřeních, která budou výsledkem těchto kontrol a o jejich splnění,</w:t>
      </w:r>
    </w:p>
    <w:p w:rsidR="00363938" w:rsidRPr="00530B29" w:rsidRDefault="00363938" w:rsidP="00A02CCA">
      <w:pPr>
        <w:numPr>
          <w:ilvl w:val="0"/>
          <w:numId w:val="2"/>
        </w:numPr>
        <w:tabs>
          <w:tab w:val="num" w:pos="1092"/>
        </w:tabs>
        <w:spacing w:after="60" w:line="240" w:lineRule="auto"/>
        <w:jc w:val="both"/>
      </w:pPr>
      <w:r w:rsidRPr="00530B29">
        <w:t>neprodleně Hlavního příjemce informovat o veškerých změnách, které u něho nastaly ve vztahu k  Projektu nebo změnách souvisejících s činnostmi, které realizuje dle této Smlouvy.</w:t>
      </w:r>
    </w:p>
    <w:p w:rsidR="00363938" w:rsidRPr="00530B29" w:rsidRDefault="00363938" w:rsidP="00A02CCA">
      <w:pPr>
        <w:pStyle w:val="Zkladntext"/>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napToGrid w:val="0"/>
          <w:sz w:val="22"/>
          <w:szCs w:val="22"/>
        </w:rPr>
      </w:pPr>
      <w:r w:rsidRPr="00530B29">
        <w:rPr>
          <w:rFonts w:ascii="Calibri" w:hAnsi="Calibri"/>
          <w:sz w:val="22"/>
          <w:szCs w:val="22"/>
        </w:rPr>
        <w:t>Příjemce</w:t>
      </w:r>
      <w:r w:rsidRPr="00530B29">
        <w:rPr>
          <w:rFonts w:ascii="Calibri" w:hAnsi="Calibri"/>
          <w:snapToGrid w:val="0"/>
          <w:sz w:val="22"/>
          <w:szCs w:val="22"/>
        </w:rPr>
        <w:t xml:space="preserve"> není oprávněn žádnou z aktivit, kterou provádí dle této Smlouvy, financovat z jiných prostředků  rozpočtové kapitoly </w:t>
      </w:r>
      <w:r w:rsidRPr="00530B29">
        <w:rPr>
          <w:rFonts w:ascii="Calibri" w:hAnsi="Calibri"/>
          <w:sz w:val="22"/>
          <w:szCs w:val="22"/>
        </w:rPr>
        <w:t>Technologické agentury ČR</w:t>
      </w:r>
      <w:r w:rsidRPr="00530B29">
        <w:rPr>
          <w:rFonts w:ascii="Calibri" w:hAnsi="Calibri"/>
          <w:snapToGrid w:val="0"/>
          <w:sz w:val="22"/>
          <w:szCs w:val="22"/>
        </w:rPr>
        <w:t xml:space="preserve">, jiné rozpočtové kapitoly státního rozpočtu, státních fondů, ani z jiných veřejných zdrojů. </w:t>
      </w:r>
    </w:p>
    <w:p w:rsidR="00363938" w:rsidRPr="00530B29" w:rsidRDefault="00363938" w:rsidP="00A02CCA">
      <w:pPr>
        <w:jc w:val="center"/>
        <w:rPr>
          <w:b/>
        </w:rPr>
      </w:pPr>
    </w:p>
    <w:p w:rsidR="00F83E82" w:rsidRDefault="00F83E82" w:rsidP="00A02CCA">
      <w:pPr>
        <w:jc w:val="center"/>
        <w:rPr>
          <w:b/>
        </w:rPr>
      </w:pPr>
    </w:p>
    <w:p w:rsidR="00F83E82" w:rsidRDefault="00F83E82" w:rsidP="00A02CCA">
      <w:pPr>
        <w:jc w:val="center"/>
        <w:rPr>
          <w:b/>
        </w:rPr>
      </w:pPr>
    </w:p>
    <w:p w:rsidR="00F83E82" w:rsidRDefault="00F83E82" w:rsidP="00A02CCA">
      <w:pPr>
        <w:jc w:val="center"/>
        <w:rPr>
          <w:b/>
        </w:rPr>
      </w:pPr>
    </w:p>
    <w:p w:rsidR="00363938" w:rsidRPr="00530B29" w:rsidRDefault="00363938" w:rsidP="00A02CCA">
      <w:pPr>
        <w:jc w:val="center"/>
        <w:rPr>
          <w:b/>
        </w:rPr>
      </w:pPr>
      <w:r w:rsidRPr="00530B29">
        <w:rPr>
          <w:b/>
        </w:rPr>
        <w:lastRenderedPageBreak/>
        <w:t>Článek IV</w:t>
      </w:r>
    </w:p>
    <w:p w:rsidR="00363938" w:rsidRPr="00530B29" w:rsidRDefault="00363938" w:rsidP="00A02CCA">
      <w:pPr>
        <w:jc w:val="center"/>
        <w:rPr>
          <w:b/>
        </w:rPr>
      </w:pPr>
      <w:r w:rsidRPr="00530B29">
        <w:rPr>
          <w:b/>
        </w:rPr>
        <w:t>Financování projektu</w:t>
      </w:r>
    </w:p>
    <w:p w:rsidR="00363938" w:rsidRPr="00530B29" w:rsidRDefault="00363938" w:rsidP="00A02CCA"/>
    <w:p w:rsidR="00363938" w:rsidRPr="0002455D" w:rsidRDefault="00363938" w:rsidP="002D314E">
      <w:pPr>
        <w:pStyle w:val="Zkladntext"/>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sz w:val="22"/>
          <w:szCs w:val="22"/>
          <w:lang w:eastAsia="en-US"/>
        </w:rPr>
      </w:pPr>
      <w:r w:rsidRPr="0002455D">
        <w:rPr>
          <w:rFonts w:ascii="Calibri" w:hAnsi="Calibri"/>
          <w:sz w:val="22"/>
          <w:szCs w:val="22"/>
          <w:lang w:eastAsia="en-US"/>
        </w:rPr>
        <w:t xml:space="preserve">Projekt dle článku II. Smlouvy bude financován z prostředků, které budou poskytnuty Hlavnímu příjemci ze státního rozpočtu ČR formou finanční podpory na základě Smlouvy o poskytnutí podpory na řešení Projektu </w:t>
      </w:r>
      <w:r w:rsidR="002D314E" w:rsidRPr="002D314E">
        <w:rPr>
          <w:rFonts w:ascii="Calibri" w:hAnsi="Calibri"/>
          <w:sz w:val="22"/>
          <w:szCs w:val="22"/>
          <w:lang w:eastAsia="en-US"/>
        </w:rPr>
        <w:t>v rámci TA ČR programu na podporu aplikovaného výzkumu a experimentálního vývoje EPSILON, vyhlášené dne 28. února 2018, registrační číslo projektu: TH04010422.</w:t>
      </w:r>
    </w:p>
    <w:p w:rsidR="00B33D0F" w:rsidRPr="00B33D0F" w:rsidRDefault="00363938" w:rsidP="00B33D0F">
      <w:pPr>
        <w:pStyle w:val="Odstavecseseznamem"/>
        <w:numPr>
          <w:ilvl w:val="0"/>
          <w:numId w:val="4"/>
        </w:numPr>
        <w:jc w:val="both"/>
      </w:pPr>
      <w:r w:rsidRPr="0002455D">
        <w:t>Výdaje na činnosti, jim</w:t>
      </w:r>
      <w:r w:rsidR="00F83E82">
        <w:t>iž se Hlavní příjemce a Příjemce</w:t>
      </w:r>
      <w:r w:rsidRPr="0002455D">
        <w:t xml:space="preserve"> podílejí na Projektu, jsou podrobně rozepsány ve schváleném návrhu projektu, který je přílohou Smlouvy o poskytnutí podpory na řešení Projektu</w:t>
      </w:r>
      <w:r w:rsidR="00B33D0F" w:rsidRPr="00B33D0F">
        <w:t xml:space="preserve"> v rámci TA ČR programu na podporu aplikovaného výzkumu a experimentálního vývoje EPSILON, vyhlášené dne 28. února 2018, registrační číslo projektu: TH04010422.</w:t>
      </w:r>
    </w:p>
    <w:p w:rsidR="00363938" w:rsidRPr="0002455D" w:rsidRDefault="00363938" w:rsidP="00B33D0F">
      <w:pPr>
        <w:numPr>
          <w:ilvl w:val="0"/>
          <w:numId w:val="4"/>
        </w:numPr>
        <w:tabs>
          <w:tab w:val="num" w:pos="468"/>
        </w:tabs>
        <w:spacing w:after="60" w:line="240" w:lineRule="auto"/>
      </w:pPr>
      <w:r w:rsidRPr="0002455D">
        <w:t>Celkový finanční podíl Příjemc</w:t>
      </w:r>
      <w:r w:rsidR="00F83E82">
        <w:t>e</w:t>
      </w:r>
      <w:r w:rsidRPr="0002455D">
        <w:t xml:space="preserve"> je v příloze č. 1 Smlouvy. </w:t>
      </w:r>
    </w:p>
    <w:p w:rsidR="00363938" w:rsidRPr="00530B29" w:rsidRDefault="00363938" w:rsidP="009976A2">
      <w:pPr>
        <w:pStyle w:val="Odstavecseseznamem"/>
        <w:numPr>
          <w:ilvl w:val="0"/>
          <w:numId w:val="4"/>
        </w:numPr>
        <w:tabs>
          <w:tab w:val="num" w:pos="468"/>
        </w:tabs>
        <w:spacing w:after="60" w:line="240" w:lineRule="auto"/>
        <w:jc w:val="both"/>
      </w:pPr>
      <w:r w:rsidRPr="00530B29">
        <w:t xml:space="preserve">Prostředky získané na realizaci činností dle článku III. Smlouvy jsou </w:t>
      </w:r>
      <w:r>
        <w:t>Hlavní p</w:t>
      </w:r>
      <w:r w:rsidRPr="00530B29">
        <w:t xml:space="preserve">říjemce a </w:t>
      </w:r>
      <w:r w:rsidR="00F83E82">
        <w:t>Příjemce</w:t>
      </w:r>
      <w:r w:rsidRPr="00530B29">
        <w:t xml:space="preserve"> oprávněni použít pouze na úhradu nejnutnějších výdajů a současně takových výdajů, které jsou považovány za způsobilé ve smyslu Příručky pro uchazeče, a </w:t>
      </w:r>
      <w:r w:rsidRPr="0002455D">
        <w:t>Smlouvy o poskytnutí podpory na řešení</w:t>
      </w:r>
      <w:r w:rsidR="00B33D0F" w:rsidRPr="00B33D0F">
        <w:t xml:space="preserve"> v rámci TA ČR programu na podporu aplikovaného výzkumu a experimentálního vývoje EPSILON, vyhlášené dne 28. února 2018, registr</w:t>
      </w:r>
      <w:r w:rsidR="00B33D0F">
        <w:t>ační číslo projektu: TH04010422</w:t>
      </w:r>
      <w:r w:rsidRPr="00530B29">
        <w:t>, nejdříve dnem zahá</w:t>
      </w:r>
      <w:r>
        <w:t>jení</w:t>
      </w:r>
      <w:r w:rsidRPr="00530B29">
        <w:t xml:space="preserve"> </w:t>
      </w:r>
      <w:r>
        <w:t>P</w:t>
      </w:r>
      <w:r w:rsidRPr="00530B29">
        <w:t xml:space="preserve">rojektu a nejpozději dnem ukončení </w:t>
      </w:r>
      <w:r>
        <w:t>P</w:t>
      </w:r>
      <w:r w:rsidRPr="00530B29">
        <w:t xml:space="preserve">rojektu dle schváleného návrhu </w:t>
      </w:r>
      <w:r>
        <w:t>P</w:t>
      </w:r>
      <w:r w:rsidRPr="00530B29">
        <w:t>rojektu.</w:t>
      </w:r>
    </w:p>
    <w:p w:rsidR="00363938" w:rsidRPr="00530B29" w:rsidRDefault="00363938" w:rsidP="00A02CCA">
      <w:pPr>
        <w:numPr>
          <w:ilvl w:val="0"/>
          <w:numId w:val="4"/>
        </w:numPr>
        <w:tabs>
          <w:tab w:val="num" w:pos="468"/>
        </w:tabs>
        <w:spacing w:after="60" w:line="240" w:lineRule="auto"/>
        <w:jc w:val="both"/>
        <w:rPr>
          <w:iCs/>
        </w:rPr>
      </w:pPr>
      <w:r w:rsidRPr="00530B29">
        <w:rPr>
          <w:iCs/>
        </w:rPr>
        <w:t xml:space="preserve">Způsobilé výdaje vzniklé při realizaci projektu budou hrazeny </w:t>
      </w:r>
      <w:r w:rsidR="00F83E82">
        <w:rPr>
          <w:iCs/>
        </w:rPr>
        <w:t>Příjemci</w:t>
      </w:r>
      <w:r w:rsidRPr="00530B29">
        <w:rPr>
          <w:iCs/>
        </w:rPr>
        <w:t xml:space="preserve"> takto:  </w:t>
      </w:r>
    </w:p>
    <w:p w:rsidR="00363938" w:rsidRPr="00530B29" w:rsidRDefault="00363938" w:rsidP="00A02CCA">
      <w:pPr>
        <w:numPr>
          <w:ilvl w:val="0"/>
          <w:numId w:val="8"/>
        </w:numPr>
        <w:tabs>
          <w:tab w:val="num" w:pos="1080"/>
        </w:tabs>
        <w:spacing w:after="0" w:line="240" w:lineRule="auto"/>
        <w:jc w:val="both"/>
        <w:rPr>
          <w:iCs/>
        </w:rPr>
      </w:pPr>
      <w:r w:rsidRPr="00530B29">
        <w:rPr>
          <w:iCs/>
        </w:rPr>
        <w:t xml:space="preserve">v případě, že </w:t>
      </w:r>
      <w:r>
        <w:rPr>
          <w:iCs/>
        </w:rPr>
        <w:t>Hlavní p</w:t>
      </w:r>
      <w:r w:rsidRPr="00530B29">
        <w:rPr>
          <w:iCs/>
        </w:rPr>
        <w:t xml:space="preserve">říjemce poskytne </w:t>
      </w:r>
      <w:r>
        <w:rPr>
          <w:iCs/>
        </w:rPr>
        <w:t>Příjemci</w:t>
      </w:r>
      <w:r w:rsidRPr="00530B29">
        <w:rPr>
          <w:iCs/>
        </w:rPr>
        <w:t xml:space="preserve"> zálohu, bude </w:t>
      </w:r>
      <w:r>
        <w:rPr>
          <w:iCs/>
        </w:rPr>
        <w:t>Příjemce</w:t>
      </w:r>
      <w:r w:rsidRPr="00530B29">
        <w:rPr>
          <w:iCs/>
        </w:rPr>
        <w:t xml:space="preserve"> povinen využívat ji k úhradě svých způsobilých výdajů včetně </w:t>
      </w:r>
      <w:r>
        <w:rPr>
          <w:iCs/>
        </w:rPr>
        <w:t xml:space="preserve">zálohových </w:t>
      </w:r>
      <w:r w:rsidRPr="00530B29">
        <w:rPr>
          <w:iCs/>
        </w:rPr>
        <w:t xml:space="preserve">plateb dodavatelům </w:t>
      </w:r>
      <w:r>
        <w:rPr>
          <w:iCs/>
        </w:rPr>
        <w:t>Projektu</w:t>
      </w:r>
      <w:r w:rsidRPr="00530B29">
        <w:rPr>
          <w:iCs/>
        </w:rPr>
        <w:t xml:space="preserve">. </w:t>
      </w:r>
      <w:r w:rsidRPr="00530B29">
        <w:t xml:space="preserve">Zálohu je </w:t>
      </w:r>
      <w:r>
        <w:rPr>
          <w:iCs/>
        </w:rPr>
        <w:t>Hlavní p</w:t>
      </w:r>
      <w:r w:rsidRPr="00530B29">
        <w:rPr>
          <w:iCs/>
        </w:rPr>
        <w:t>říjemce</w:t>
      </w:r>
      <w:r w:rsidRPr="00530B29">
        <w:t xml:space="preserve"> povinen poskytnout </w:t>
      </w:r>
      <w:r w:rsidR="00B33D0F">
        <w:t xml:space="preserve">Příjemcům </w:t>
      </w:r>
      <w:r w:rsidRPr="00530B29">
        <w:t>nejpozději do</w:t>
      </w:r>
      <w:r>
        <w:t xml:space="preserve">         </w:t>
      </w:r>
      <w:r w:rsidRPr="00530B29">
        <w:t xml:space="preserve"> 10 pracovních dnů od připsání finanční podpory na </w:t>
      </w:r>
      <w:r>
        <w:t xml:space="preserve">bankovní </w:t>
      </w:r>
      <w:r w:rsidRPr="00530B29">
        <w:t xml:space="preserve">účet </w:t>
      </w:r>
      <w:r>
        <w:rPr>
          <w:iCs/>
        </w:rPr>
        <w:t>Hlavní p</w:t>
      </w:r>
      <w:r w:rsidRPr="00530B29">
        <w:rPr>
          <w:iCs/>
        </w:rPr>
        <w:t>říjemce</w:t>
      </w:r>
      <w:r w:rsidRPr="00530B29">
        <w:t>,</w:t>
      </w:r>
    </w:p>
    <w:p w:rsidR="00363938" w:rsidRDefault="00363938" w:rsidP="00A02CCA">
      <w:pPr>
        <w:numPr>
          <w:ilvl w:val="0"/>
          <w:numId w:val="8"/>
        </w:numPr>
        <w:shd w:val="clear" w:color="auto" w:fill="FFFFFF"/>
        <w:tabs>
          <w:tab w:val="num" w:pos="1080"/>
        </w:tabs>
        <w:spacing w:after="0" w:line="240" w:lineRule="auto"/>
        <w:jc w:val="both"/>
        <w:rPr>
          <w:iCs/>
        </w:rPr>
      </w:pPr>
      <w:r w:rsidRPr="00530B29">
        <w:rPr>
          <w:iCs/>
        </w:rPr>
        <w:t xml:space="preserve">v případě, že </w:t>
      </w:r>
      <w:r>
        <w:rPr>
          <w:iCs/>
        </w:rPr>
        <w:t>Hlavnímu p</w:t>
      </w:r>
      <w:r w:rsidRPr="00530B29">
        <w:rPr>
          <w:iCs/>
        </w:rPr>
        <w:t>říjemc</w:t>
      </w:r>
      <w:r>
        <w:rPr>
          <w:iCs/>
        </w:rPr>
        <w:t>i</w:t>
      </w:r>
      <w:r w:rsidRPr="00530B29">
        <w:rPr>
          <w:iCs/>
        </w:rPr>
        <w:t xml:space="preserve"> není poskytnuta záloha, je </w:t>
      </w:r>
      <w:r>
        <w:rPr>
          <w:iCs/>
        </w:rPr>
        <w:t xml:space="preserve">Příjemce </w:t>
      </w:r>
      <w:r w:rsidRPr="00530B29">
        <w:rPr>
          <w:iCs/>
        </w:rPr>
        <w:t xml:space="preserve">povinen uhradit své způsobilé výdaje včetně plateb dodavatelům nejprve ze svých finančních prostředků a teprve po té je oprávněn požádat </w:t>
      </w:r>
      <w:r>
        <w:rPr>
          <w:iCs/>
        </w:rPr>
        <w:t>Hlavního p</w:t>
      </w:r>
      <w:r w:rsidRPr="00530B29">
        <w:rPr>
          <w:iCs/>
        </w:rPr>
        <w:t xml:space="preserve">říjemce o proplacení výdajů z prostředků finanční podpory. </w:t>
      </w:r>
    </w:p>
    <w:p w:rsidR="00B33D0F" w:rsidRPr="00530B29" w:rsidRDefault="00B33D0F" w:rsidP="00B33D0F">
      <w:pPr>
        <w:shd w:val="clear" w:color="auto" w:fill="FFFFFF"/>
        <w:spacing w:after="0" w:line="240" w:lineRule="auto"/>
        <w:ind w:left="1440"/>
        <w:jc w:val="both"/>
        <w:rPr>
          <w:iCs/>
        </w:rPr>
      </w:pPr>
    </w:p>
    <w:p w:rsidR="00B33D0F" w:rsidRPr="00B33D0F" w:rsidRDefault="00363938" w:rsidP="00B33D0F">
      <w:pPr>
        <w:pStyle w:val="Odstavecseseznamem"/>
        <w:numPr>
          <w:ilvl w:val="0"/>
          <w:numId w:val="4"/>
        </w:numPr>
        <w:jc w:val="both"/>
      </w:pPr>
      <w:r w:rsidRPr="00530B29">
        <w:t xml:space="preserve">Do 10 pracovních dnů poté, co </w:t>
      </w:r>
      <w:r>
        <w:rPr>
          <w:iCs/>
        </w:rPr>
        <w:t>Hlavní p</w:t>
      </w:r>
      <w:r w:rsidRPr="00530B29">
        <w:rPr>
          <w:iCs/>
        </w:rPr>
        <w:t xml:space="preserve">říjemce </w:t>
      </w:r>
      <w:r w:rsidRPr="00530B29">
        <w:t xml:space="preserve">obdrží na svůj účet zálohu od poskytovatele dotace, zašle </w:t>
      </w:r>
      <w:r>
        <w:t xml:space="preserve">z těchto prostředků </w:t>
      </w:r>
      <w:r>
        <w:rPr>
          <w:iCs/>
        </w:rPr>
        <w:t>Hlavní p</w:t>
      </w:r>
      <w:r w:rsidRPr="00530B29">
        <w:rPr>
          <w:iCs/>
        </w:rPr>
        <w:t>říjemce</w:t>
      </w:r>
      <w:r w:rsidRPr="00530B29">
        <w:t xml:space="preserve"> </w:t>
      </w:r>
      <w:r>
        <w:t xml:space="preserve">bankovním převodem </w:t>
      </w:r>
      <w:r w:rsidRPr="00530B29">
        <w:t xml:space="preserve">na bankovní účet </w:t>
      </w:r>
      <w:r w:rsidR="00F83E82">
        <w:t>Příjemce</w:t>
      </w:r>
      <w:r>
        <w:t xml:space="preserve"> </w:t>
      </w:r>
      <w:r w:rsidRPr="00530B29">
        <w:t xml:space="preserve">zálohu ve výši podílu spoluúčasti </w:t>
      </w:r>
      <w:r>
        <w:t>Příjemce</w:t>
      </w:r>
      <w:r w:rsidRPr="00530B29">
        <w:t xml:space="preserve">, uvedenou pro příslušný </w:t>
      </w:r>
      <w:r>
        <w:t xml:space="preserve">kalendářní </w:t>
      </w:r>
      <w:r w:rsidRPr="00530B29">
        <w:t xml:space="preserve">rok ve </w:t>
      </w:r>
      <w:r w:rsidRPr="0002455D">
        <w:t>Smlouv</w:t>
      </w:r>
      <w:r>
        <w:t>ě</w:t>
      </w:r>
      <w:r w:rsidRPr="0002455D">
        <w:t xml:space="preserve"> o poskytnutí podpory na řešení Projektu </w:t>
      </w:r>
      <w:r w:rsidR="00B33D0F" w:rsidRPr="00B33D0F">
        <w:t>v rámci TA ČR programu na podporu aplikovaného výzkumu a experimentálního vývoje EPSILON, vyhlášené dne 28. února 2018, registrační číslo projektu: TH04010422.</w:t>
      </w:r>
    </w:p>
    <w:p w:rsidR="00363938" w:rsidRDefault="00363938" w:rsidP="00B33D0F">
      <w:pPr>
        <w:shd w:val="clear" w:color="auto" w:fill="FFFFFF"/>
        <w:spacing w:after="60"/>
        <w:ind w:left="360"/>
        <w:jc w:val="both"/>
      </w:pPr>
    </w:p>
    <w:p w:rsidR="00363938" w:rsidRPr="00530B29" w:rsidRDefault="00363938" w:rsidP="00674AE4">
      <w:pPr>
        <w:shd w:val="clear" w:color="auto" w:fill="FFFFFF"/>
        <w:spacing w:after="60"/>
        <w:jc w:val="both"/>
        <w:rPr>
          <w:highlight w:val="red"/>
        </w:rPr>
      </w:pPr>
    </w:p>
    <w:p w:rsidR="00B33D0F" w:rsidRDefault="00B33D0F" w:rsidP="00A02CCA">
      <w:pPr>
        <w:jc w:val="center"/>
        <w:rPr>
          <w:b/>
        </w:rPr>
      </w:pPr>
    </w:p>
    <w:p w:rsidR="00B33D0F" w:rsidRDefault="00B33D0F" w:rsidP="00A02CCA">
      <w:pPr>
        <w:jc w:val="center"/>
        <w:rPr>
          <w:b/>
        </w:rPr>
      </w:pPr>
    </w:p>
    <w:p w:rsidR="00F83E82" w:rsidRDefault="00F83E82" w:rsidP="00A02CCA">
      <w:pPr>
        <w:jc w:val="center"/>
        <w:rPr>
          <w:b/>
        </w:rPr>
      </w:pPr>
    </w:p>
    <w:p w:rsidR="00F83E82" w:rsidRDefault="00F83E82" w:rsidP="00A02CCA">
      <w:pPr>
        <w:jc w:val="center"/>
        <w:rPr>
          <w:b/>
        </w:rPr>
      </w:pPr>
    </w:p>
    <w:p w:rsidR="00363938" w:rsidRPr="00530B29" w:rsidRDefault="00363938" w:rsidP="00A02CCA">
      <w:pPr>
        <w:jc w:val="center"/>
        <w:rPr>
          <w:b/>
        </w:rPr>
      </w:pPr>
      <w:r w:rsidRPr="00530B29">
        <w:rPr>
          <w:b/>
        </w:rPr>
        <w:lastRenderedPageBreak/>
        <w:t>Článek V</w:t>
      </w:r>
    </w:p>
    <w:p w:rsidR="00363938" w:rsidRPr="00530B29" w:rsidRDefault="00363938" w:rsidP="00A02CCA">
      <w:pPr>
        <w:jc w:val="center"/>
        <w:rPr>
          <w:b/>
          <w:bCs/>
        </w:rPr>
      </w:pPr>
      <w:r w:rsidRPr="00530B29">
        <w:rPr>
          <w:b/>
        </w:rPr>
        <w:t>Odpovědnost za škodu</w:t>
      </w:r>
    </w:p>
    <w:p w:rsidR="00363938" w:rsidRPr="00530B29" w:rsidRDefault="00363938" w:rsidP="00A02CCA">
      <w:pPr>
        <w:pStyle w:val="Import5"/>
        <w:tabs>
          <w:tab w:val="clear" w:pos="720"/>
          <w:tab w:val="num" w:pos="1260"/>
        </w:tabs>
        <w:ind w:firstLine="0"/>
        <w:jc w:val="center"/>
        <w:rPr>
          <w:rFonts w:ascii="Calibri" w:hAnsi="Calibri"/>
          <w:b/>
          <w:bCs/>
          <w:sz w:val="22"/>
          <w:szCs w:val="22"/>
        </w:rPr>
      </w:pPr>
    </w:p>
    <w:p w:rsidR="00363938" w:rsidRPr="00530B29" w:rsidRDefault="00363938" w:rsidP="00A02CCA">
      <w:pPr>
        <w:pStyle w:val="Import5"/>
        <w:numPr>
          <w:ilvl w:val="0"/>
          <w:numId w:val="5"/>
        </w:numPr>
        <w:tabs>
          <w:tab w:val="clear" w:pos="720"/>
          <w:tab w:val="num" w:pos="1440"/>
        </w:tabs>
        <w:jc w:val="both"/>
        <w:rPr>
          <w:rFonts w:ascii="Calibri" w:hAnsi="Calibri"/>
          <w:sz w:val="22"/>
          <w:szCs w:val="22"/>
        </w:rPr>
      </w:pPr>
      <w:r w:rsidRPr="00530B29">
        <w:rPr>
          <w:rFonts w:ascii="Calibri" w:hAnsi="Calibri"/>
          <w:sz w:val="22"/>
          <w:szCs w:val="22"/>
        </w:rPr>
        <w:t xml:space="preserve">Právně a finančně odpovědný za správné a zákonné použití finanční podpory vůči poskytovateli finanční podpory, kterým je Technologická agentura České republiky, je </w:t>
      </w:r>
      <w:r>
        <w:rPr>
          <w:rFonts w:ascii="Calibri" w:hAnsi="Calibri"/>
          <w:sz w:val="22"/>
          <w:szCs w:val="22"/>
        </w:rPr>
        <w:t>Hlavní p</w:t>
      </w:r>
      <w:r w:rsidRPr="00530B29">
        <w:rPr>
          <w:rFonts w:ascii="Calibri" w:hAnsi="Calibri"/>
          <w:sz w:val="22"/>
          <w:szCs w:val="22"/>
        </w:rPr>
        <w:t>říjemce.</w:t>
      </w:r>
    </w:p>
    <w:p w:rsidR="00363938" w:rsidRPr="00530B29" w:rsidRDefault="00E858F8" w:rsidP="00A02CCA">
      <w:pPr>
        <w:pStyle w:val="Import5"/>
        <w:numPr>
          <w:ilvl w:val="0"/>
          <w:numId w:val="5"/>
        </w:numPr>
        <w:tabs>
          <w:tab w:val="clear" w:pos="720"/>
          <w:tab w:val="num" w:pos="1440"/>
        </w:tabs>
        <w:jc w:val="both"/>
        <w:rPr>
          <w:rFonts w:ascii="Calibri" w:hAnsi="Calibri"/>
          <w:sz w:val="22"/>
          <w:szCs w:val="22"/>
        </w:rPr>
      </w:pPr>
      <w:r>
        <w:rPr>
          <w:rFonts w:ascii="Calibri" w:hAnsi="Calibri"/>
          <w:sz w:val="22"/>
          <w:szCs w:val="22"/>
        </w:rPr>
        <w:t xml:space="preserve">Příjemce je </w:t>
      </w:r>
      <w:r w:rsidR="00363938" w:rsidRPr="00530B29">
        <w:rPr>
          <w:rFonts w:ascii="Calibri" w:hAnsi="Calibri"/>
          <w:sz w:val="22"/>
          <w:szCs w:val="22"/>
        </w:rPr>
        <w:t>povin</w:t>
      </w:r>
      <w:r>
        <w:rPr>
          <w:rFonts w:ascii="Calibri" w:hAnsi="Calibri"/>
          <w:sz w:val="22"/>
          <w:szCs w:val="22"/>
        </w:rPr>
        <w:t>en</w:t>
      </w:r>
      <w:r w:rsidR="00363938" w:rsidRPr="00530B29">
        <w:rPr>
          <w:rFonts w:ascii="Calibri" w:hAnsi="Calibri"/>
          <w:sz w:val="22"/>
          <w:szCs w:val="22"/>
        </w:rPr>
        <w:t xml:space="preserve"> </w:t>
      </w:r>
      <w:r w:rsidR="00363938">
        <w:rPr>
          <w:rFonts w:ascii="Calibri" w:hAnsi="Calibri"/>
          <w:iCs/>
          <w:sz w:val="22"/>
          <w:szCs w:val="22"/>
        </w:rPr>
        <w:t>Hlavnímu p</w:t>
      </w:r>
      <w:r w:rsidR="00363938" w:rsidRPr="00530B29">
        <w:rPr>
          <w:rFonts w:ascii="Calibri" w:hAnsi="Calibri"/>
          <w:iCs/>
          <w:sz w:val="22"/>
          <w:szCs w:val="22"/>
        </w:rPr>
        <w:t>říjemc</w:t>
      </w:r>
      <w:r w:rsidR="00363938">
        <w:rPr>
          <w:rFonts w:ascii="Calibri" w:hAnsi="Calibri"/>
          <w:iCs/>
          <w:sz w:val="22"/>
          <w:szCs w:val="22"/>
        </w:rPr>
        <w:t>i</w:t>
      </w:r>
      <w:r w:rsidR="00363938" w:rsidRPr="00530B29">
        <w:rPr>
          <w:rFonts w:ascii="Calibri" w:hAnsi="Calibri"/>
          <w:iCs/>
          <w:sz w:val="22"/>
          <w:szCs w:val="22"/>
        </w:rPr>
        <w:t xml:space="preserve"> </w:t>
      </w:r>
      <w:r w:rsidR="00363938" w:rsidRPr="00530B29">
        <w:rPr>
          <w:rFonts w:ascii="Calibri" w:hAnsi="Calibri"/>
          <w:sz w:val="22"/>
          <w:szCs w:val="22"/>
        </w:rPr>
        <w:t xml:space="preserve">uhradit škodu, za niž </w:t>
      </w:r>
      <w:r w:rsidR="00363938">
        <w:rPr>
          <w:rFonts w:ascii="Calibri" w:hAnsi="Calibri"/>
          <w:iCs/>
          <w:sz w:val="22"/>
          <w:szCs w:val="22"/>
        </w:rPr>
        <w:t>Hlavní p</w:t>
      </w:r>
      <w:r w:rsidR="00363938" w:rsidRPr="00530B29">
        <w:rPr>
          <w:rFonts w:ascii="Calibri" w:hAnsi="Calibri"/>
          <w:iCs/>
          <w:sz w:val="22"/>
          <w:szCs w:val="22"/>
        </w:rPr>
        <w:t xml:space="preserve">říjemce </w:t>
      </w:r>
      <w:r w:rsidR="00363938" w:rsidRPr="00530B29">
        <w:rPr>
          <w:rFonts w:ascii="Calibri" w:hAnsi="Calibri"/>
          <w:sz w:val="22"/>
          <w:szCs w:val="22"/>
        </w:rPr>
        <w:t xml:space="preserve">odpovídá dle článku V. odst. 1 Smlouvy, a která </w:t>
      </w:r>
      <w:r w:rsidR="00363938">
        <w:rPr>
          <w:rFonts w:ascii="Calibri" w:hAnsi="Calibri"/>
          <w:iCs/>
          <w:sz w:val="22"/>
          <w:szCs w:val="22"/>
        </w:rPr>
        <w:t>Hlavnímu p</w:t>
      </w:r>
      <w:r w:rsidR="00363938" w:rsidRPr="00530B29">
        <w:rPr>
          <w:rFonts w:ascii="Calibri" w:hAnsi="Calibri"/>
          <w:iCs/>
          <w:sz w:val="22"/>
          <w:szCs w:val="22"/>
        </w:rPr>
        <w:t>říjemc</w:t>
      </w:r>
      <w:r w:rsidR="00363938">
        <w:rPr>
          <w:rFonts w:ascii="Calibri" w:hAnsi="Calibri"/>
          <w:iCs/>
          <w:sz w:val="22"/>
          <w:szCs w:val="22"/>
        </w:rPr>
        <w:t>i</w:t>
      </w:r>
      <w:r w:rsidR="00363938" w:rsidRPr="00530B29">
        <w:rPr>
          <w:rFonts w:ascii="Calibri" w:hAnsi="Calibri"/>
          <w:sz w:val="22"/>
          <w:szCs w:val="22"/>
        </w:rPr>
        <w:t xml:space="preserve"> vznikla v důsledku toho, že tento </w:t>
      </w:r>
      <w:r w:rsidR="00363938">
        <w:rPr>
          <w:rFonts w:ascii="Calibri" w:hAnsi="Calibri"/>
          <w:sz w:val="22"/>
          <w:szCs w:val="22"/>
        </w:rPr>
        <w:t>Příjemce</w:t>
      </w:r>
      <w:r w:rsidR="00363938" w:rsidRPr="00530B29">
        <w:rPr>
          <w:rFonts w:ascii="Calibri" w:hAnsi="Calibri"/>
          <w:sz w:val="22"/>
          <w:szCs w:val="22"/>
        </w:rPr>
        <w:t xml:space="preserve"> </w:t>
      </w:r>
      <w:r w:rsidR="00402DFF">
        <w:rPr>
          <w:rFonts w:ascii="Calibri" w:hAnsi="Calibri"/>
          <w:sz w:val="22"/>
          <w:szCs w:val="22"/>
        </w:rPr>
        <w:t xml:space="preserve">prokazatelně </w:t>
      </w:r>
      <w:r w:rsidR="00363938" w:rsidRPr="00530B29">
        <w:rPr>
          <w:rFonts w:ascii="Calibri" w:hAnsi="Calibri"/>
          <w:sz w:val="22"/>
          <w:szCs w:val="22"/>
        </w:rPr>
        <w:t xml:space="preserve">porušil povinnost vyplývající z této Smlouvy. </w:t>
      </w:r>
    </w:p>
    <w:p w:rsidR="00363938" w:rsidRPr="00530B29" w:rsidRDefault="00F83E82" w:rsidP="00A02CCA">
      <w:pPr>
        <w:pStyle w:val="Import5"/>
        <w:numPr>
          <w:ilvl w:val="0"/>
          <w:numId w:val="5"/>
        </w:numPr>
        <w:tabs>
          <w:tab w:val="clear" w:pos="720"/>
          <w:tab w:val="clear" w:pos="1584"/>
          <w:tab w:val="num" w:pos="1440"/>
        </w:tabs>
        <w:jc w:val="both"/>
        <w:rPr>
          <w:rFonts w:ascii="Calibri" w:hAnsi="Calibri"/>
          <w:sz w:val="22"/>
          <w:szCs w:val="22"/>
        </w:rPr>
      </w:pPr>
      <w:r>
        <w:rPr>
          <w:rFonts w:ascii="Calibri" w:hAnsi="Calibri"/>
          <w:sz w:val="22"/>
          <w:szCs w:val="22"/>
        </w:rPr>
        <w:t>Hlavní příjemce a Příjemce</w:t>
      </w:r>
      <w:r w:rsidR="00363938" w:rsidRPr="00530B29">
        <w:rPr>
          <w:rFonts w:ascii="Calibri" w:hAnsi="Calibri"/>
          <w:sz w:val="22"/>
          <w:szCs w:val="22"/>
        </w:rPr>
        <w:t xml:space="preserve"> odpovídají za škodu vzniklou třetím osobám, která vznikne </w:t>
      </w:r>
      <w:r w:rsidR="00402DFF">
        <w:rPr>
          <w:rFonts w:ascii="Calibri" w:hAnsi="Calibri"/>
          <w:sz w:val="22"/>
          <w:szCs w:val="22"/>
        </w:rPr>
        <w:t xml:space="preserve">prokazatelným </w:t>
      </w:r>
      <w:r w:rsidR="00363938" w:rsidRPr="00530B29">
        <w:rPr>
          <w:rFonts w:ascii="Calibri" w:hAnsi="Calibri"/>
          <w:sz w:val="22"/>
          <w:szCs w:val="22"/>
        </w:rPr>
        <w:t>porušením je</w:t>
      </w:r>
      <w:r w:rsidR="00363938">
        <w:rPr>
          <w:rFonts w:ascii="Calibri" w:hAnsi="Calibri"/>
          <w:sz w:val="22"/>
          <w:szCs w:val="22"/>
        </w:rPr>
        <w:t>jich</w:t>
      </w:r>
      <w:r w:rsidR="00363938" w:rsidRPr="00530B29">
        <w:rPr>
          <w:rFonts w:ascii="Calibri" w:hAnsi="Calibri"/>
          <w:sz w:val="22"/>
          <w:szCs w:val="22"/>
        </w:rPr>
        <w:t xml:space="preserve"> povinností vyplývajících z této Smlouvy, jakož i z obecných ustanovení právních předpisů.</w:t>
      </w:r>
    </w:p>
    <w:p w:rsidR="00363938" w:rsidRPr="00530B29" w:rsidRDefault="00363938" w:rsidP="00A02CCA">
      <w:pPr>
        <w:pStyle w:val="Import5"/>
        <w:numPr>
          <w:ilvl w:val="0"/>
          <w:numId w:val="5"/>
        </w:numPr>
        <w:tabs>
          <w:tab w:val="clear" w:pos="720"/>
          <w:tab w:val="clear" w:pos="1584"/>
          <w:tab w:val="num" w:pos="1440"/>
        </w:tabs>
        <w:jc w:val="both"/>
        <w:rPr>
          <w:rFonts w:ascii="Calibri" w:hAnsi="Calibri"/>
          <w:sz w:val="22"/>
          <w:szCs w:val="22"/>
        </w:rPr>
      </w:pPr>
      <w:r w:rsidRPr="00530B29">
        <w:rPr>
          <w:rFonts w:ascii="Calibri" w:hAnsi="Calibri"/>
          <w:sz w:val="22"/>
          <w:szCs w:val="22"/>
        </w:rPr>
        <w:t>Odpovědnost z</w:t>
      </w:r>
      <w:r w:rsidR="00E858F8">
        <w:rPr>
          <w:rFonts w:ascii="Calibri" w:hAnsi="Calibri"/>
          <w:sz w:val="22"/>
          <w:szCs w:val="22"/>
        </w:rPr>
        <w:t>a škodu je subjektivní. Žádný Příjemce</w:t>
      </w:r>
      <w:r w:rsidRPr="00530B29">
        <w:rPr>
          <w:rFonts w:ascii="Calibri" w:hAnsi="Calibri"/>
          <w:sz w:val="22"/>
          <w:szCs w:val="22"/>
        </w:rPr>
        <w:t xml:space="preserve"> neodpovíd</w:t>
      </w:r>
      <w:r>
        <w:rPr>
          <w:rFonts w:ascii="Calibri" w:hAnsi="Calibri"/>
          <w:sz w:val="22"/>
          <w:szCs w:val="22"/>
        </w:rPr>
        <w:t>á</w:t>
      </w:r>
      <w:r w:rsidRPr="00530B29">
        <w:rPr>
          <w:rFonts w:ascii="Calibri" w:hAnsi="Calibri"/>
          <w:sz w:val="22"/>
          <w:szCs w:val="22"/>
        </w:rPr>
        <w:t xml:space="preserve"> za škodu vzniklou konáním nebo opomenutím </w:t>
      </w:r>
      <w:r>
        <w:rPr>
          <w:rFonts w:ascii="Calibri" w:hAnsi="Calibri"/>
          <w:sz w:val="22"/>
          <w:szCs w:val="22"/>
        </w:rPr>
        <w:t>Hlavního p</w:t>
      </w:r>
      <w:r w:rsidRPr="00530B29">
        <w:rPr>
          <w:rFonts w:ascii="Calibri" w:hAnsi="Calibri"/>
          <w:sz w:val="22"/>
          <w:szCs w:val="22"/>
        </w:rPr>
        <w:t xml:space="preserve">říjemce. </w:t>
      </w:r>
    </w:p>
    <w:p w:rsidR="00363938" w:rsidRPr="00530B29" w:rsidRDefault="00363938" w:rsidP="00A02CCA">
      <w:pPr>
        <w:pStyle w:val="Import5"/>
        <w:tabs>
          <w:tab w:val="clear" w:pos="720"/>
          <w:tab w:val="clear" w:pos="1584"/>
          <w:tab w:val="num" w:pos="1440"/>
        </w:tabs>
        <w:ind w:firstLine="0"/>
        <w:jc w:val="both"/>
        <w:rPr>
          <w:rFonts w:ascii="Calibri" w:hAnsi="Calibri"/>
          <w:sz w:val="22"/>
          <w:szCs w:val="22"/>
        </w:rPr>
      </w:pPr>
    </w:p>
    <w:p w:rsidR="00363938" w:rsidRPr="00530B29" w:rsidRDefault="00363938" w:rsidP="00A02CCA">
      <w:pPr>
        <w:jc w:val="center"/>
        <w:rPr>
          <w:b/>
        </w:rPr>
      </w:pPr>
      <w:r w:rsidRPr="00530B29">
        <w:rPr>
          <w:b/>
        </w:rPr>
        <w:t>Článek VI</w:t>
      </w:r>
    </w:p>
    <w:p w:rsidR="00363938" w:rsidRDefault="00363938" w:rsidP="00674AE4">
      <w:pPr>
        <w:jc w:val="center"/>
        <w:rPr>
          <w:b/>
        </w:rPr>
      </w:pPr>
      <w:r w:rsidRPr="00530B29">
        <w:rPr>
          <w:b/>
        </w:rPr>
        <w:t>Další práva a povinnosti smluvních stran</w:t>
      </w:r>
    </w:p>
    <w:p w:rsidR="00363938" w:rsidRPr="00530B29" w:rsidRDefault="00363938" w:rsidP="00674AE4">
      <w:pPr>
        <w:jc w:val="center"/>
        <w:rPr>
          <w:b/>
        </w:rPr>
      </w:pPr>
    </w:p>
    <w:p w:rsidR="00363938" w:rsidRPr="00530B29" w:rsidRDefault="00363938" w:rsidP="00A02CCA">
      <w:pPr>
        <w:numPr>
          <w:ilvl w:val="0"/>
          <w:numId w:val="6"/>
        </w:numPr>
        <w:tabs>
          <w:tab w:val="left" w:pos="0"/>
          <w:tab w:val="num" w:pos="468"/>
        </w:tabs>
        <w:spacing w:after="60" w:line="240" w:lineRule="auto"/>
        <w:jc w:val="both"/>
      </w:pPr>
      <w:r w:rsidRPr="00530B29">
        <w:t>Smluvní strany jsou povinny zdržet se jakékoliv činnosti, jež by mohla znemožnit nebo ztížit dosažení účelu této Smlouvy.</w:t>
      </w:r>
    </w:p>
    <w:p w:rsidR="00363938" w:rsidRPr="00530B29" w:rsidRDefault="00363938" w:rsidP="00A02CCA">
      <w:pPr>
        <w:numPr>
          <w:ilvl w:val="0"/>
          <w:numId w:val="6"/>
        </w:numPr>
        <w:tabs>
          <w:tab w:val="left" w:pos="0"/>
          <w:tab w:val="num" w:pos="468"/>
        </w:tabs>
        <w:spacing w:after="60" w:line="240" w:lineRule="auto"/>
        <w:jc w:val="both"/>
      </w:pPr>
      <w:r w:rsidRPr="00530B29">
        <w:t>Smluvní strany jsou povinny vzájemně se informovat o skutečnostech rozhodných pro plnění této Smlouvy, a to bez zbytečného odkladu.</w:t>
      </w:r>
    </w:p>
    <w:p w:rsidR="00363938" w:rsidRPr="00530B29" w:rsidRDefault="00363938" w:rsidP="00A02CCA">
      <w:pPr>
        <w:numPr>
          <w:ilvl w:val="0"/>
          <w:numId w:val="6"/>
        </w:numPr>
        <w:tabs>
          <w:tab w:val="left" w:pos="0"/>
          <w:tab w:val="num" w:pos="468"/>
        </w:tabs>
        <w:spacing w:after="60" w:line="240" w:lineRule="auto"/>
        <w:jc w:val="both"/>
      </w:pPr>
      <w:r w:rsidRPr="00530B29">
        <w:t>Smluvní strany jsou povinny jednat při realizaci projektu eticky, korektně, transparentně a v souladu s dobrými mravy.</w:t>
      </w:r>
    </w:p>
    <w:p w:rsidR="00363938" w:rsidRPr="00530B29" w:rsidRDefault="00363938" w:rsidP="00A02CCA">
      <w:pPr>
        <w:numPr>
          <w:ilvl w:val="0"/>
          <w:numId w:val="6"/>
        </w:numPr>
        <w:tabs>
          <w:tab w:val="left" w:pos="0"/>
          <w:tab w:val="num" w:pos="468"/>
        </w:tabs>
        <w:spacing w:after="60" w:line="240" w:lineRule="auto"/>
        <w:jc w:val="both"/>
      </w:pPr>
      <w:r w:rsidRPr="00530B29">
        <w:t>Majetkové hodnoty spolufinancované z finanční podpory jsou ve vlastnictví té smluvní strany, která je obstarala, nedohodnou-li se smluvní strany jinak; změna vlastnictví je možná, dojde-li k situaci dle čl. VIII odst. 2, 3 Smlouvy.</w:t>
      </w:r>
    </w:p>
    <w:p w:rsidR="00363938" w:rsidRPr="00530B29" w:rsidRDefault="00363938" w:rsidP="00A02CCA">
      <w:pPr>
        <w:numPr>
          <w:ilvl w:val="0"/>
          <w:numId w:val="6"/>
        </w:numPr>
        <w:tabs>
          <w:tab w:val="left" w:pos="0"/>
          <w:tab w:val="num" w:pos="468"/>
        </w:tabs>
        <w:spacing w:after="60" w:line="240" w:lineRule="auto"/>
        <w:jc w:val="both"/>
      </w:pPr>
      <w:r w:rsidRPr="00530B29">
        <w:t>Právy duševního vlastnictví se rozumí jakékoli nehmotné majetkové hodnoty, bez ohledu na to, zda požívají zvláštní ochrany právními předpisy či nikoli, zejména vynálezy, zlepšovací návrhy, užitné vzory, software, objevy, know-how, ostatní individuální duševní výkony chráněné autorským právem apod. (dále jen „výsledky projektu“).</w:t>
      </w:r>
      <w:r>
        <w:t xml:space="preserve"> Příjemc</w:t>
      </w:r>
      <w:r w:rsidR="00E858F8">
        <w:t>i</w:t>
      </w:r>
      <w:r>
        <w:t xml:space="preserve"> byl</w:t>
      </w:r>
      <w:r w:rsidR="00E858F8">
        <w:t>i</w:t>
      </w:r>
      <w:r>
        <w:t xml:space="preserve"> seznámen</w:t>
      </w:r>
      <w:r w:rsidR="00E858F8">
        <w:t>i</w:t>
      </w:r>
      <w:r>
        <w:t xml:space="preserve"> s tím, že na Projektu se vedle Příjemc</w:t>
      </w:r>
      <w:r w:rsidR="00F83E82">
        <w:t>e</w:t>
      </w:r>
      <w:r>
        <w:t xml:space="preserve"> a Hlavního příjemce </w:t>
      </w:r>
      <w:r w:rsidR="00E858F8">
        <w:t>ne</w:t>
      </w:r>
      <w:r>
        <w:t xml:space="preserve">budou podílet další subjekty (účastníci),  které </w:t>
      </w:r>
      <w:r w:rsidR="00E858F8">
        <w:t xml:space="preserve">by </w:t>
      </w:r>
      <w:r>
        <w:t>moh</w:t>
      </w:r>
      <w:r w:rsidR="00E858F8">
        <w:t>li</w:t>
      </w:r>
      <w:r>
        <w:t xml:space="preserve"> mít podíl na výsledcích Projektu. </w:t>
      </w:r>
    </w:p>
    <w:p w:rsidR="00363938" w:rsidRPr="00530B29" w:rsidRDefault="00363938" w:rsidP="00A02CCA">
      <w:pPr>
        <w:numPr>
          <w:ilvl w:val="0"/>
          <w:numId w:val="6"/>
        </w:numPr>
        <w:tabs>
          <w:tab w:val="left" w:pos="0"/>
          <w:tab w:val="num" w:pos="468"/>
        </w:tabs>
        <w:spacing w:after="60" w:line="240" w:lineRule="auto"/>
        <w:jc w:val="both"/>
      </w:pPr>
      <w:r w:rsidRPr="00530B29">
        <w:t xml:space="preserve">Kterákoli ze smluvních stran má právo požadovat, aby byly smluvními stranami společně učiněny právní kroky k ochraně společného duševního vlastnictví a aby smluvní strany společně sdílely náklady na takovou ochranu v poměru odpovídajícím míře spolupráce na jeho vytvoření. Pokud se smluvní strany nedohodnou do 30 dnů od první výzvy k ochraně kteroukoli smluvní stranou, provede příslušné kroky </w:t>
      </w:r>
      <w:r w:rsidR="00E858F8">
        <w:t xml:space="preserve">Hlavní příjemce, </w:t>
      </w:r>
      <w:r w:rsidRPr="00530B29">
        <w:t xml:space="preserve">s tím, že náklady na ochranu budou rozděleny mezi smluvní strany dle pravidla uvedeného v předchozí větě tohoto bodu. Tohoto pravidla se využije i pro stanovení podílu na vlastnických právech každé smluvní strany k výsledkům projektu. </w:t>
      </w:r>
      <w:r>
        <w:t xml:space="preserve">V případech, že se strany nedohodnou ve lhůtě 3 měsíců  na  stanovení podílu na nákladech nebo na výnosech podle míry spolupráce na vytvoření jakéhokoliv výsledku projektu (při zohlednění míry spolupráce případných dalších účastníků), platí, že podíly všech účastníků, kteří se na vytvoření daného výsledku projektu podílejí, jsou stejné. </w:t>
      </w:r>
    </w:p>
    <w:p w:rsidR="00363938" w:rsidRPr="00530B29" w:rsidRDefault="00363938" w:rsidP="00A02CCA">
      <w:pPr>
        <w:numPr>
          <w:ilvl w:val="0"/>
          <w:numId w:val="6"/>
        </w:numPr>
        <w:tabs>
          <w:tab w:val="left" w:pos="0"/>
          <w:tab w:val="num" w:pos="468"/>
        </w:tabs>
        <w:spacing w:after="60" w:line="240" w:lineRule="auto"/>
        <w:jc w:val="both"/>
      </w:pPr>
      <w:r w:rsidRPr="00530B29">
        <w:lastRenderedPageBreak/>
        <w:t>Kterákoli ze smluvních stran má právo požadovat rozšíření ochrany práv duševního vlastnictví vzniklých při spolupráci podle této Smlouvy do zahraničí. Smluvní strany podniknou kroky k rozšíření ochrany těchto práv společně. Pokud některá ze smluvních stran odmítne podílet se na zahraničním rozšíření ochrany, bude tato smluvní strana povinna převést svá vlastnická práva na zbývající smluvní stran</w:t>
      </w:r>
      <w:r>
        <w:t>u, případně na další účastníky</w:t>
      </w:r>
      <w:r w:rsidRPr="00530B29">
        <w:t>, kte</w:t>
      </w:r>
      <w:r>
        <w:t>ří</w:t>
      </w:r>
      <w:r w:rsidRPr="00530B29">
        <w:t xml:space="preserve"> se o náklady na ochranu rozdělí dle pravidla uvedeného v odstavci 6 tohoto článku. Smluvní straně, jež svá práva převedla, zůstanou nevýlučná, bezplatná, časově, prostorově a obsahově neomezená a přenosná práva k jejich (vy)užívání.</w:t>
      </w:r>
    </w:p>
    <w:p w:rsidR="00363938" w:rsidRPr="00530B29" w:rsidRDefault="00363938" w:rsidP="00A02CCA">
      <w:pPr>
        <w:numPr>
          <w:ilvl w:val="0"/>
          <w:numId w:val="6"/>
        </w:numPr>
        <w:tabs>
          <w:tab w:val="left" w:pos="0"/>
          <w:tab w:val="num" w:pos="468"/>
        </w:tabs>
        <w:spacing w:after="60" w:line="240" w:lineRule="auto"/>
        <w:jc w:val="both"/>
      </w:pPr>
      <w:r w:rsidRPr="00530B29">
        <w:t>Smluvní strany zajistí, že ke všem právům duševního vlastnictví, vytvořených při spolupráci podle této Smlouvy, budou všem zúčastněným smluvním stranám poskytnuta nevýlučná, bezplatná, časově, prostorově a obsahově neomezená a přenosná práva k jejich (vy)užívání.</w:t>
      </w:r>
    </w:p>
    <w:p w:rsidR="00363938" w:rsidRPr="00530B29" w:rsidRDefault="00363938" w:rsidP="00A02CCA">
      <w:pPr>
        <w:numPr>
          <w:ilvl w:val="0"/>
          <w:numId w:val="6"/>
        </w:numPr>
        <w:tabs>
          <w:tab w:val="left" w:pos="0"/>
          <w:tab w:val="num" w:pos="468"/>
        </w:tabs>
        <w:spacing w:after="60" w:line="240" w:lineRule="auto"/>
        <w:jc w:val="both"/>
      </w:pPr>
      <w:r w:rsidRPr="00530B29">
        <w:t>Každá ze smluvních stran se zavazuje zachovat mlčenlivost o duševním vlastnictví, které jí bylo poskytnuto jinou smluvní stranou pro účely spolupráce dle této smlouvy o spolupráci, a užívat takové duševní vlastnictví pouze pro účely spolupráce dle této Smlouvy. Povinnost mlčenlivosti se vztahuje i na zaměstnance a další osoby smluvních stran podílejících se na spolupráci.</w:t>
      </w:r>
    </w:p>
    <w:p w:rsidR="00363938" w:rsidRPr="00530B29" w:rsidRDefault="00363938" w:rsidP="00A02CCA">
      <w:pPr>
        <w:pStyle w:val="ListParagraph1"/>
        <w:numPr>
          <w:ilvl w:val="0"/>
          <w:numId w:val="6"/>
        </w:numPr>
        <w:jc w:val="both"/>
        <w:rPr>
          <w:rFonts w:ascii="Calibri" w:hAnsi="Calibri"/>
          <w:sz w:val="22"/>
          <w:szCs w:val="22"/>
        </w:rPr>
      </w:pPr>
      <w:r w:rsidRPr="00530B29">
        <w:rPr>
          <w:rFonts w:ascii="Calibri" w:hAnsi="Calibri"/>
          <w:sz w:val="22"/>
          <w:szCs w:val="22"/>
        </w:rPr>
        <w:t xml:space="preserve">Všechny smluvní strany se zavazují zajistit, aby všechny osoby, které přijdou do styku s prováděním prací v rámci spolupráce podle této Smlouvy, zachovaly mlčenlivost </w:t>
      </w:r>
      <w:r w:rsidR="003F6957">
        <w:rPr>
          <w:rFonts w:ascii="Calibri" w:hAnsi="Calibri"/>
          <w:sz w:val="22"/>
          <w:szCs w:val="22"/>
        </w:rPr>
        <w:t xml:space="preserve">o </w:t>
      </w:r>
      <w:r w:rsidRPr="00530B29">
        <w:rPr>
          <w:rFonts w:ascii="Calibri" w:hAnsi="Calibri"/>
          <w:sz w:val="22"/>
          <w:szCs w:val="22"/>
        </w:rPr>
        <w:t xml:space="preserve">všech výsledcích, tak aby bylo zamezeno předčasnému zveřejnění výsledků spolupráce. </w:t>
      </w:r>
    </w:p>
    <w:p w:rsidR="00363938" w:rsidRPr="00530B29" w:rsidRDefault="00363938" w:rsidP="00A02CCA">
      <w:pPr>
        <w:pStyle w:val="ListParagraph1"/>
        <w:numPr>
          <w:ilvl w:val="0"/>
          <w:numId w:val="6"/>
        </w:numPr>
        <w:jc w:val="both"/>
        <w:rPr>
          <w:rFonts w:ascii="Calibri" w:hAnsi="Calibri"/>
          <w:sz w:val="22"/>
          <w:szCs w:val="22"/>
        </w:rPr>
      </w:pPr>
      <w:r w:rsidRPr="00530B29">
        <w:rPr>
          <w:rFonts w:ascii="Calibri" w:hAnsi="Calibri"/>
          <w:sz w:val="22"/>
          <w:szCs w:val="22"/>
        </w:rPr>
        <w:t xml:space="preserve">Úprava případné výplaty odměny pro původce (zaměstnanec či jiná spolupracující osoba) za uplatnění práva vzniklého při spolupráci podle této Smlouvy a jeho využití je ponechána interním pravidlům té dané smluvní straně, s níž je daný původce v zaměstnaneckém či podobném vztahu. </w:t>
      </w:r>
    </w:p>
    <w:p w:rsidR="00363938" w:rsidRDefault="00363938" w:rsidP="00BA356D">
      <w:pPr>
        <w:rPr>
          <w:b/>
        </w:rPr>
      </w:pPr>
    </w:p>
    <w:p w:rsidR="00363938" w:rsidRPr="00530B29" w:rsidRDefault="00363938" w:rsidP="00A02CCA">
      <w:pPr>
        <w:jc w:val="center"/>
        <w:rPr>
          <w:b/>
        </w:rPr>
      </w:pPr>
      <w:r w:rsidRPr="00530B29">
        <w:rPr>
          <w:b/>
        </w:rPr>
        <w:t>Článek VII</w:t>
      </w:r>
    </w:p>
    <w:p w:rsidR="00363938" w:rsidRPr="00530B29" w:rsidRDefault="00363938" w:rsidP="00A02CCA">
      <w:pPr>
        <w:jc w:val="center"/>
        <w:rPr>
          <w:b/>
        </w:rPr>
      </w:pPr>
      <w:r w:rsidRPr="00530B29">
        <w:rPr>
          <w:b/>
        </w:rPr>
        <w:t>Trvání smlouvy</w:t>
      </w:r>
    </w:p>
    <w:p w:rsidR="00363938" w:rsidRPr="00530B29" w:rsidRDefault="00363938" w:rsidP="00A02CCA">
      <w:pPr>
        <w:ind w:left="360"/>
        <w:rPr>
          <w:b/>
        </w:rPr>
      </w:pPr>
    </w:p>
    <w:p w:rsidR="00363938" w:rsidRPr="00530B29" w:rsidRDefault="00363938" w:rsidP="00564759">
      <w:pPr>
        <w:numPr>
          <w:ilvl w:val="0"/>
          <w:numId w:val="10"/>
        </w:numPr>
        <w:spacing w:after="60" w:line="240" w:lineRule="auto"/>
        <w:jc w:val="both"/>
        <w:rPr>
          <w:color w:val="1F497D"/>
        </w:rPr>
      </w:pPr>
      <w:r w:rsidRPr="00530B29">
        <w:t>Smlouva se uzavírá na dobu určitou, a to na dobu do 180 dn</w:t>
      </w:r>
      <w:r>
        <w:t>ů</w:t>
      </w:r>
      <w:r w:rsidRPr="00530B29">
        <w:t xml:space="preserve"> ode dne ukončení řešení projektu.</w:t>
      </w:r>
    </w:p>
    <w:p w:rsidR="00363938" w:rsidRPr="00530B29" w:rsidRDefault="00363938" w:rsidP="00A02CCA">
      <w:pPr>
        <w:numPr>
          <w:ilvl w:val="0"/>
          <w:numId w:val="10"/>
        </w:numPr>
        <w:spacing w:after="60" w:line="240" w:lineRule="auto"/>
        <w:jc w:val="both"/>
      </w:pPr>
      <w:r w:rsidRPr="00530B29">
        <w:t xml:space="preserve">Pokud </w:t>
      </w:r>
      <w:r>
        <w:t>Příjemce</w:t>
      </w:r>
      <w:r w:rsidRPr="00530B29">
        <w:t xml:space="preserve"> závažným způsobem nebo opětovně poruší některou z povinností vyplývající pro něj z této Smlouvy nebo z platných právních předpisů ČR, může být na základě písemného vyrozumění </w:t>
      </w:r>
      <w:r>
        <w:t>Hlavního p</w:t>
      </w:r>
      <w:r w:rsidRPr="00530B29">
        <w:t>říjemce z další účasti na realizaci Projektu vyloučen.</w:t>
      </w:r>
      <w:r>
        <w:t xml:space="preserve"> Vyloučení z Projektu je zároveň i odstoupením od této smlouvy, pokud ve vyrozumění o vyloučení z Projektu nestanoví Hlavní příjemce jinak.</w:t>
      </w:r>
      <w:r w:rsidRPr="00530B29">
        <w:t xml:space="preserve"> V tomto případě je povinen se s</w:t>
      </w:r>
      <w:r>
        <w:t> Hlavním p</w:t>
      </w:r>
      <w:r w:rsidRPr="00530B29">
        <w:t xml:space="preserve">říjemcem vypořádat, tzn. v dohodě určit, kdo převezme činnosti a případné závazky </w:t>
      </w:r>
      <w:r>
        <w:t>Příjemce</w:t>
      </w:r>
      <w:r w:rsidRPr="00530B29">
        <w:t xml:space="preserve"> a majetkové hodnoty spolufinancované z finanční podpory (příp. provést finanční vypořádání)</w:t>
      </w:r>
      <w:r>
        <w:t>, přičemž se přiměřeně použije pravidlo uvedené v </w:t>
      </w:r>
      <w:proofErr w:type="spellStart"/>
      <w:r>
        <w:t>ust</w:t>
      </w:r>
      <w:proofErr w:type="spellEnd"/>
      <w:r>
        <w:t xml:space="preserve">. </w:t>
      </w:r>
      <w:proofErr w:type="spellStart"/>
      <w:r>
        <w:t>čl</w:t>
      </w:r>
      <w:proofErr w:type="spellEnd"/>
      <w:r>
        <w:t xml:space="preserve"> VI bod 6. této smlouvy. </w:t>
      </w:r>
    </w:p>
    <w:p w:rsidR="00363938" w:rsidRPr="00530B29" w:rsidRDefault="00363938" w:rsidP="00A02CCA">
      <w:pPr>
        <w:numPr>
          <w:ilvl w:val="0"/>
          <w:numId w:val="10"/>
        </w:numPr>
        <w:spacing w:after="60" w:line="240" w:lineRule="auto"/>
        <w:jc w:val="both"/>
      </w:pPr>
      <w:r>
        <w:t>Příjemce</w:t>
      </w:r>
      <w:r w:rsidRPr="00530B29">
        <w:t xml:space="preserve"> může ukončit spolupráci s</w:t>
      </w:r>
      <w:r>
        <w:t> Hlavním p</w:t>
      </w:r>
      <w:r w:rsidRPr="00530B29">
        <w:t>říjemcem pouze na základě písemné dohody uzavřené s</w:t>
      </w:r>
      <w:r>
        <w:t> Hlavním p</w:t>
      </w:r>
      <w:r w:rsidRPr="00530B29">
        <w:t xml:space="preserve">říjemcem, která bude obsahovat vymezení jednotlivých povinností, odpovědnosti a majetkových hodnot spolufinancovaných z finanční podpory (příp. provedení finančního vypořádání) v souvislosti s ukončením spolupráce </w:t>
      </w:r>
      <w:r>
        <w:t>Příjemce</w:t>
      </w:r>
      <w:r w:rsidRPr="00530B29">
        <w:t xml:space="preserve">. </w:t>
      </w:r>
    </w:p>
    <w:p w:rsidR="00363938" w:rsidRDefault="00363938" w:rsidP="00A02CCA">
      <w:pPr>
        <w:jc w:val="center"/>
        <w:outlineLvl w:val="0"/>
        <w:rPr>
          <w:b/>
        </w:rPr>
      </w:pPr>
    </w:p>
    <w:p w:rsidR="00F83E82" w:rsidRDefault="00F83E82" w:rsidP="00A02CCA">
      <w:pPr>
        <w:jc w:val="center"/>
        <w:outlineLvl w:val="0"/>
        <w:rPr>
          <w:b/>
        </w:rPr>
      </w:pPr>
    </w:p>
    <w:p w:rsidR="00F83E82" w:rsidRDefault="00F83E82" w:rsidP="00A02CCA">
      <w:pPr>
        <w:jc w:val="center"/>
        <w:outlineLvl w:val="0"/>
        <w:rPr>
          <w:b/>
        </w:rPr>
      </w:pPr>
    </w:p>
    <w:p w:rsidR="00F83E82" w:rsidRPr="00530B29" w:rsidRDefault="00F83E82" w:rsidP="00A02CCA">
      <w:pPr>
        <w:jc w:val="center"/>
        <w:outlineLvl w:val="0"/>
        <w:rPr>
          <w:b/>
        </w:rPr>
      </w:pPr>
    </w:p>
    <w:p w:rsidR="00363938" w:rsidRPr="00530B29" w:rsidRDefault="00363938" w:rsidP="00A02CCA">
      <w:pPr>
        <w:jc w:val="center"/>
        <w:rPr>
          <w:b/>
        </w:rPr>
      </w:pPr>
      <w:r w:rsidRPr="00530B29">
        <w:rPr>
          <w:b/>
        </w:rPr>
        <w:lastRenderedPageBreak/>
        <w:t xml:space="preserve">Článek </w:t>
      </w:r>
      <w:r>
        <w:rPr>
          <w:b/>
        </w:rPr>
        <w:t>VIII</w:t>
      </w:r>
    </w:p>
    <w:p w:rsidR="00363938" w:rsidRPr="00530B29" w:rsidRDefault="00363938" w:rsidP="00A02CCA">
      <w:pPr>
        <w:jc w:val="center"/>
        <w:rPr>
          <w:b/>
        </w:rPr>
      </w:pPr>
      <w:r w:rsidRPr="00530B29">
        <w:rPr>
          <w:b/>
        </w:rPr>
        <w:t>Ostatní ustanovení</w:t>
      </w:r>
    </w:p>
    <w:p w:rsidR="00363938" w:rsidRPr="00530B29" w:rsidRDefault="00363938" w:rsidP="00A02CCA">
      <w:pPr>
        <w:numPr>
          <w:ilvl w:val="0"/>
          <w:numId w:val="7"/>
        </w:numPr>
        <w:spacing w:after="60" w:line="240" w:lineRule="auto"/>
        <w:jc w:val="both"/>
      </w:pPr>
      <w:r w:rsidRPr="00530B29">
        <w:t>Jakékoliv změny této Smlouvy lze provádět pouze na základě dohody smluvních stran formou písemných dodatků podepsaných oprávněnými zástupci smluvních stran.</w:t>
      </w:r>
    </w:p>
    <w:p w:rsidR="00363938" w:rsidRPr="00530B29" w:rsidRDefault="00363938" w:rsidP="00A02CCA">
      <w:pPr>
        <w:numPr>
          <w:ilvl w:val="0"/>
          <w:numId w:val="7"/>
        </w:numPr>
        <w:spacing w:after="60" w:line="240" w:lineRule="auto"/>
        <w:jc w:val="both"/>
      </w:pPr>
      <w:r w:rsidRPr="00530B29">
        <w:t>Tato smlouva nabývá platnosti a účinnosti dnem podpisu smluvních stran.</w:t>
      </w:r>
    </w:p>
    <w:p w:rsidR="00363938" w:rsidRPr="005E762E" w:rsidRDefault="00363938" w:rsidP="00A02CCA">
      <w:pPr>
        <w:numPr>
          <w:ilvl w:val="0"/>
          <w:numId w:val="7"/>
        </w:numPr>
        <w:spacing w:after="60" w:line="240" w:lineRule="auto"/>
        <w:jc w:val="both"/>
      </w:pPr>
      <w:r w:rsidRPr="005E762E">
        <w:t xml:space="preserve">Vztahy smluvních stran blíže neupravené se řídí zákonem č. </w:t>
      </w:r>
      <w:r w:rsidRPr="005E762E">
        <w:rPr>
          <w:bCs/>
        </w:rPr>
        <w:t>89/2012 Sb., občanský zákoník</w:t>
      </w:r>
      <w:r w:rsidRPr="005E762E">
        <w:t>, ve znění pozdějších předpisů a dalšími obecně závaznými právními předpisy České republiky.</w:t>
      </w:r>
    </w:p>
    <w:p w:rsidR="00363938" w:rsidRPr="00530B29" w:rsidRDefault="00F83E82" w:rsidP="00A02CCA">
      <w:pPr>
        <w:numPr>
          <w:ilvl w:val="0"/>
          <w:numId w:val="7"/>
        </w:numPr>
        <w:spacing w:after="60" w:line="240" w:lineRule="auto"/>
        <w:jc w:val="both"/>
      </w:pPr>
      <w:r>
        <w:t>Tato smlouva je vyhotovena ve 3</w:t>
      </w:r>
      <w:r w:rsidR="00363938" w:rsidRPr="00530B29">
        <w:t xml:space="preserve"> vyhotoveních, přičemž</w:t>
      </w:r>
      <w:r w:rsidR="00363938">
        <w:t xml:space="preserve"> Hlavní p</w:t>
      </w:r>
      <w:r w:rsidR="00363938" w:rsidRPr="00530B29">
        <w:t>říjemc</w:t>
      </w:r>
      <w:r w:rsidR="00363938">
        <w:t xml:space="preserve">e obdrží dvě vyhotovení a </w:t>
      </w:r>
      <w:r w:rsidR="00D726BA">
        <w:t xml:space="preserve"> </w:t>
      </w:r>
      <w:r w:rsidR="00363938">
        <w:t xml:space="preserve">Příjemce </w:t>
      </w:r>
      <w:r w:rsidR="00363938" w:rsidRPr="00530B29">
        <w:t>jedno vyhotovení.</w:t>
      </w:r>
    </w:p>
    <w:p w:rsidR="00363938" w:rsidRDefault="00363938" w:rsidP="00BA356D">
      <w:pPr>
        <w:numPr>
          <w:ilvl w:val="0"/>
          <w:numId w:val="7"/>
        </w:numPr>
        <w:spacing w:after="60" w:line="240" w:lineRule="auto"/>
        <w:jc w:val="both"/>
      </w:pPr>
      <w:r w:rsidRPr="00530B29">
        <w:t xml:space="preserve">Smluvní strany prohlašují, že tato </w:t>
      </w:r>
      <w:r>
        <w:t>S</w:t>
      </w:r>
      <w:r w:rsidRPr="00530B29">
        <w:t>mlouva byla sepsána na základě jejich pravé a svobodné vůle, nikoliv v tísni ani za jinak nápadně nevýhodných podmínek.</w:t>
      </w:r>
    </w:p>
    <w:p w:rsidR="00363938" w:rsidRDefault="00363938" w:rsidP="00A02CCA">
      <w:pPr>
        <w:spacing w:after="60"/>
        <w:jc w:val="both"/>
      </w:pPr>
    </w:p>
    <w:p w:rsidR="00363938" w:rsidRDefault="00D726BA" w:rsidP="00A02CCA">
      <w:pPr>
        <w:spacing w:after="60"/>
        <w:jc w:val="both"/>
      </w:pPr>
      <w:r>
        <w:t xml:space="preserve">V Praze dne: </w:t>
      </w:r>
      <w:proofErr w:type="gramStart"/>
      <w:r w:rsidR="008A042F">
        <w:t>5.2.2019</w:t>
      </w:r>
      <w:proofErr w:type="gramEnd"/>
    </w:p>
    <w:p w:rsidR="00D726BA" w:rsidRDefault="00D726BA" w:rsidP="00A02CCA">
      <w:pPr>
        <w:spacing w:after="60"/>
        <w:jc w:val="both"/>
      </w:pPr>
    </w:p>
    <w:p w:rsidR="00D726BA" w:rsidRDefault="00363938" w:rsidP="00A02CCA">
      <w:pPr>
        <w:spacing w:after="60"/>
        <w:jc w:val="both"/>
      </w:pPr>
      <w:r>
        <w:t xml:space="preserve">Hlavní příjemce:     </w:t>
      </w:r>
    </w:p>
    <w:p w:rsidR="00363938" w:rsidRDefault="00363938" w:rsidP="00A02CCA">
      <w:pPr>
        <w:spacing w:after="60"/>
        <w:jc w:val="both"/>
      </w:pPr>
      <w:r>
        <w:t xml:space="preserve">                                                                      </w:t>
      </w:r>
    </w:p>
    <w:p w:rsidR="00D726BA" w:rsidRDefault="00363938" w:rsidP="00BA356D">
      <w:pPr>
        <w:spacing w:after="60"/>
        <w:jc w:val="both"/>
      </w:pPr>
      <w:r>
        <w:t xml:space="preserve">…………………………………………………………….           </w:t>
      </w:r>
    </w:p>
    <w:p w:rsidR="00D726BA" w:rsidRDefault="00D726BA" w:rsidP="00BA356D">
      <w:pPr>
        <w:spacing w:after="60"/>
        <w:jc w:val="both"/>
      </w:pPr>
    </w:p>
    <w:p w:rsidR="00D726BA" w:rsidRDefault="008A042F" w:rsidP="00BA356D">
      <w:pPr>
        <w:spacing w:after="60"/>
        <w:jc w:val="both"/>
      </w:pPr>
      <w:r>
        <w:t xml:space="preserve">                     </w:t>
      </w:r>
      <w:proofErr w:type="gramStart"/>
      <w:r>
        <w:t>27.2.2019</w:t>
      </w:r>
      <w:proofErr w:type="gramEnd"/>
    </w:p>
    <w:p w:rsidR="00D726BA" w:rsidRDefault="00D726BA" w:rsidP="00D726BA">
      <w:pPr>
        <w:spacing w:after="60"/>
        <w:jc w:val="both"/>
      </w:pPr>
      <w:r>
        <w:t>Příjemce:</w:t>
      </w:r>
    </w:p>
    <w:p w:rsidR="00D726BA" w:rsidRDefault="00D726BA" w:rsidP="00BA356D">
      <w:pPr>
        <w:spacing w:after="60"/>
        <w:jc w:val="both"/>
      </w:pPr>
    </w:p>
    <w:p w:rsidR="00363938" w:rsidRDefault="00363938" w:rsidP="00BA356D">
      <w:pPr>
        <w:spacing w:after="60"/>
        <w:jc w:val="both"/>
      </w:pPr>
      <w:r>
        <w:t>………………………………………………………………….</w:t>
      </w:r>
    </w:p>
    <w:p w:rsidR="00D726BA" w:rsidRDefault="00D726BA" w:rsidP="00BA356D">
      <w:pPr>
        <w:spacing w:after="60"/>
        <w:jc w:val="both"/>
      </w:pPr>
    </w:p>
    <w:p w:rsidR="00D726BA" w:rsidRDefault="00D726BA" w:rsidP="00BA356D">
      <w:pPr>
        <w:spacing w:after="60"/>
        <w:jc w:val="both"/>
      </w:pPr>
    </w:p>
    <w:p w:rsidR="00D726BA" w:rsidRDefault="00D726BA" w:rsidP="00BA356D">
      <w:pPr>
        <w:spacing w:after="60"/>
        <w:jc w:val="both"/>
      </w:pPr>
    </w:p>
    <w:p w:rsidR="00D726BA" w:rsidRDefault="00D726BA"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p>
    <w:p w:rsidR="008A042F" w:rsidRDefault="008A042F" w:rsidP="00BA356D">
      <w:pPr>
        <w:spacing w:after="60"/>
        <w:jc w:val="both"/>
      </w:pPr>
      <w:r>
        <w:lastRenderedPageBreak/>
        <w:t>Celkový finanční podíl příjemce</w:t>
      </w:r>
    </w:p>
    <w:p w:rsidR="008A042F" w:rsidRDefault="008A042F" w:rsidP="00BA356D">
      <w:pPr>
        <w:spacing w:after="60"/>
        <w:jc w:val="both"/>
      </w:pPr>
    </w:p>
    <w:p w:rsidR="008A042F" w:rsidRDefault="008A042F" w:rsidP="00BA356D">
      <w:pPr>
        <w:spacing w:after="60"/>
        <w:jc w:val="both"/>
      </w:pPr>
      <w:r>
        <w:t xml:space="preserve">r. 2019 – 1 793 000 </w:t>
      </w:r>
    </w:p>
    <w:p w:rsidR="008A042F" w:rsidRDefault="008A042F" w:rsidP="00BA356D">
      <w:pPr>
        <w:spacing w:after="60"/>
        <w:jc w:val="both"/>
      </w:pPr>
      <w:r>
        <w:t>r. 2020 – 1 793 000</w:t>
      </w:r>
    </w:p>
    <w:p w:rsidR="008A042F" w:rsidRDefault="008A042F" w:rsidP="00BA356D">
      <w:pPr>
        <w:spacing w:after="60"/>
        <w:jc w:val="both"/>
      </w:pPr>
      <w:r>
        <w:t>r. 2021 – 1 775 200</w:t>
      </w:r>
    </w:p>
    <w:p w:rsidR="008A042F" w:rsidRPr="00CB3AFC" w:rsidRDefault="008A042F" w:rsidP="00BA356D">
      <w:pPr>
        <w:spacing w:after="60"/>
        <w:jc w:val="both"/>
      </w:pPr>
      <w:r>
        <w:t xml:space="preserve">Celkem – 5 </w:t>
      </w:r>
      <w:bookmarkStart w:id="5" w:name="_GoBack"/>
      <w:bookmarkEnd w:id="5"/>
      <w:r>
        <w:t>361 200</w:t>
      </w:r>
    </w:p>
    <w:sectPr w:rsidR="008A042F" w:rsidRPr="00CB3AFC" w:rsidSect="009B1347">
      <w:headerReference w:type="default" r:id="rId7"/>
      <w:footerReference w:type="default" r:id="rId8"/>
      <w:pgSz w:w="11906" w:h="16838"/>
      <w:pgMar w:top="1417" w:right="1417" w:bottom="1417" w:left="141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DA" w:rsidRDefault="001C3CDA" w:rsidP="005A46FE">
      <w:pPr>
        <w:spacing w:after="0" w:line="240" w:lineRule="auto"/>
      </w:pPr>
      <w:r>
        <w:separator/>
      </w:r>
    </w:p>
  </w:endnote>
  <w:endnote w:type="continuationSeparator" w:id="0">
    <w:p w:rsidR="001C3CDA" w:rsidRDefault="001C3CDA" w:rsidP="005A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38" w:rsidRDefault="00363938" w:rsidP="00712C6E">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A042F">
      <w:rPr>
        <w:rStyle w:val="slostrnky"/>
        <w:noProof/>
      </w:rPr>
      <w:t>7</w:t>
    </w:r>
    <w:r>
      <w:rPr>
        <w:rStyle w:val="slostrnky"/>
      </w:rPr>
      <w:fldChar w:fldCharType="end"/>
    </w:r>
  </w:p>
  <w:p w:rsidR="00363938" w:rsidRDefault="00363938" w:rsidP="00A02CC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DA" w:rsidRDefault="001C3CDA" w:rsidP="005A46FE">
      <w:pPr>
        <w:spacing w:after="0" w:line="240" w:lineRule="auto"/>
      </w:pPr>
      <w:r>
        <w:separator/>
      </w:r>
    </w:p>
  </w:footnote>
  <w:footnote w:type="continuationSeparator" w:id="0">
    <w:p w:rsidR="001C3CDA" w:rsidRDefault="001C3CDA" w:rsidP="005A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38" w:rsidRDefault="00F53ABE" w:rsidP="009B1347">
    <w:pPr>
      <w:pStyle w:val="Zhlav"/>
      <w:jc w:val="right"/>
    </w:pPr>
    <w:r>
      <w:rPr>
        <w:noProof/>
        <w:lang w:eastAsia="cs-CZ"/>
      </w:rPr>
      <w:drawing>
        <wp:inline distT="0" distB="0" distL="0" distR="0">
          <wp:extent cx="762000" cy="762000"/>
          <wp:effectExtent l="0" t="0" r="0" b="0"/>
          <wp:docPr id="3" name="Obrázek 3" descr="Image result for ta 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 c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363938" w:rsidRDefault="0081439F" w:rsidP="005A46FE">
    <w:pPr>
      <w:pStyle w:val="Zhlav"/>
      <w:jc w:val="center"/>
    </w:pPr>
    <w:r>
      <w:rPr>
        <w:noProof/>
        <w:lang w:eastAsia="cs-CZ"/>
      </w:rPr>
      <mc:AlternateContent>
        <mc:Choice Requires="wps">
          <w:drawing>
            <wp:anchor distT="0" distB="0" distL="114300" distR="114300" simplePos="0" relativeHeight="251659264" behindDoc="0" locked="0" layoutInCell="1" allowOverlap="1" wp14:anchorId="3884389D" wp14:editId="437CA3E5">
              <wp:simplePos x="0" y="0"/>
              <wp:positionH relativeFrom="margin">
                <wp:align>center</wp:align>
              </wp:positionH>
              <wp:positionV relativeFrom="paragraph">
                <wp:posOffset>157480</wp:posOffset>
              </wp:positionV>
              <wp:extent cx="6648450" cy="0"/>
              <wp:effectExtent l="9525" t="5080" r="9525" b="13970"/>
              <wp:wrapNone/>
              <wp:docPr id="2"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F804" id="Přímá spojnice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4pt" to="5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" strokeweight=".5pt">
              <v:stroke joinstyle="miter"/>
              <w10:wrap anchorx="margin"/>
            </v:line>
          </w:pict>
        </mc:Fallback>
      </mc:AlternateContent>
    </w:r>
  </w:p>
  <w:p w:rsidR="00363938" w:rsidRDefault="00363938" w:rsidP="005A46F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235361C6"/>
    <w:multiLevelType w:val="hybridMultilevel"/>
    <w:tmpl w:val="1820F66A"/>
    <w:lvl w:ilvl="0" w:tplc="09648344">
      <w:start w:val="1"/>
      <w:numFmt w:val="decimal"/>
      <w:lvlText w:val="%1."/>
      <w:lvlJc w:val="left"/>
      <w:pPr>
        <w:tabs>
          <w:tab w:val="num" w:pos="360"/>
        </w:tabs>
        <w:ind w:left="36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0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779564BC"/>
    <w:multiLevelType w:val="hybridMultilevel"/>
    <w:tmpl w:val="A4F6FAF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F6D41DB"/>
    <w:multiLevelType w:val="hybridMultilevel"/>
    <w:tmpl w:val="6DEC550A"/>
    <w:lvl w:ilvl="0" w:tplc="04050001">
      <w:start w:val="1"/>
      <w:numFmt w:val="decimal"/>
      <w:lvlText w:val="%1."/>
      <w:lvlJc w:val="left"/>
      <w:pPr>
        <w:tabs>
          <w:tab w:val="num" w:pos="360"/>
        </w:tabs>
        <w:ind w:left="360" w:hanging="360"/>
      </w:pPr>
      <w:rPr>
        <w:rFonts w:cs="Times New Roman"/>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start w:val="1"/>
      <w:numFmt w:val="decimal"/>
      <w:lvlText w:val="%4."/>
      <w:lvlJc w:val="left"/>
      <w:pPr>
        <w:tabs>
          <w:tab w:val="num" w:pos="2520"/>
        </w:tabs>
        <w:ind w:left="2520" w:hanging="360"/>
      </w:pPr>
      <w:rPr>
        <w:rFonts w:cs="Times New Roman"/>
      </w:rPr>
    </w:lvl>
    <w:lvl w:ilvl="4" w:tplc="04050003">
      <w:start w:val="1"/>
      <w:numFmt w:val="lowerLetter"/>
      <w:lvlText w:val="%5."/>
      <w:lvlJc w:val="left"/>
      <w:pPr>
        <w:tabs>
          <w:tab w:val="num" w:pos="3240"/>
        </w:tabs>
        <w:ind w:left="3240" w:hanging="360"/>
      </w:pPr>
      <w:rPr>
        <w:rFonts w:cs="Times New Roman"/>
      </w:rPr>
    </w:lvl>
    <w:lvl w:ilvl="5" w:tplc="04050005">
      <w:start w:val="1"/>
      <w:numFmt w:val="lowerRoman"/>
      <w:lvlText w:val="%6."/>
      <w:lvlJc w:val="right"/>
      <w:pPr>
        <w:tabs>
          <w:tab w:val="num" w:pos="3960"/>
        </w:tabs>
        <w:ind w:left="3960" w:hanging="180"/>
      </w:pPr>
      <w:rPr>
        <w:rFonts w:cs="Times New Roman"/>
      </w:rPr>
    </w:lvl>
    <w:lvl w:ilvl="6" w:tplc="04050001">
      <w:start w:val="1"/>
      <w:numFmt w:val="decimal"/>
      <w:lvlText w:val="%7."/>
      <w:lvlJc w:val="left"/>
      <w:pPr>
        <w:tabs>
          <w:tab w:val="num" w:pos="4680"/>
        </w:tabs>
        <w:ind w:left="4680" w:hanging="360"/>
      </w:pPr>
      <w:rPr>
        <w:rFonts w:cs="Times New Roman"/>
      </w:rPr>
    </w:lvl>
    <w:lvl w:ilvl="7" w:tplc="04050003">
      <w:start w:val="1"/>
      <w:numFmt w:val="lowerLetter"/>
      <w:lvlText w:val="%8."/>
      <w:lvlJc w:val="left"/>
      <w:pPr>
        <w:tabs>
          <w:tab w:val="num" w:pos="5400"/>
        </w:tabs>
        <w:ind w:left="5400" w:hanging="360"/>
      </w:pPr>
      <w:rPr>
        <w:rFonts w:cs="Times New Roman"/>
      </w:rPr>
    </w:lvl>
    <w:lvl w:ilvl="8" w:tplc="04050005">
      <w:start w:val="1"/>
      <w:numFmt w:val="lowerRoman"/>
      <w:lvlText w:val="%9."/>
      <w:lvlJc w:val="right"/>
      <w:pPr>
        <w:tabs>
          <w:tab w:val="num" w:pos="6120"/>
        </w:tabs>
        <w:ind w:left="6120" w:hanging="180"/>
      </w:pPr>
      <w:rPr>
        <w:rFonts w:cs="Times New Roman"/>
      </w:rPr>
    </w:lvl>
  </w:abstractNum>
  <w:num w:numId="1">
    <w:abstractNumId w:val="3"/>
  </w:num>
  <w:num w:numId="2">
    <w:abstractNumId w:val="8"/>
  </w:num>
  <w:num w:numId="3">
    <w:abstractNumId w:val="2"/>
  </w:num>
  <w:num w:numId="4">
    <w:abstractNumId w:val="9"/>
  </w:num>
  <w:num w:numId="5">
    <w:abstractNumId w:val="5"/>
  </w:num>
  <w:num w:numId="6">
    <w:abstractNumId w:val="6"/>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FE"/>
    <w:rsid w:val="00003F2A"/>
    <w:rsid w:val="0002455D"/>
    <w:rsid w:val="0002636A"/>
    <w:rsid w:val="00046B70"/>
    <w:rsid w:val="000563A7"/>
    <w:rsid w:val="0007498F"/>
    <w:rsid w:val="00162315"/>
    <w:rsid w:val="00172662"/>
    <w:rsid w:val="001758D1"/>
    <w:rsid w:val="001A1B8F"/>
    <w:rsid w:val="001B71F6"/>
    <w:rsid w:val="001C3CDA"/>
    <w:rsid w:val="001F4A67"/>
    <w:rsid w:val="0023719D"/>
    <w:rsid w:val="00285DF3"/>
    <w:rsid w:val="002C05F8"/>
    <w:rsid w:val="002D314E"/>
    <w:rsid w:val="00363938"/>
    <w:rsid w:val="00376642"/>
    <w:rsid w:val="003F6957"/>
    <w:rsid w:val="00402DFF"/>
    <w:rsid w:val="004D7107"/>
    <w:rsid w:val="0053053D"/>
    <w:rsid w:val="00530B29"/>
    <w:rsid w:val="005606E7"/>
    <w:rsid w:val="00564759"/>
    <w:rsid w:val="00570157"/>
    <w:rsid w:val="00575A65"/>
    <w:rsid w:val="005A46FE"/>
    <w:rsid w:val="005E762E"/>
    <w:rsid w:val="00674AE4"/>
    <w:rsid w:val="006970C9"/>
    <w:rsid w:val="006A11BA"/>
    <w:rsid w:val="00712C6E"/>
    <w:rsid w:val="00763521"/>
    <w:rsid w:val="007B33B6"/>
    <w:rsid w:val="007F0ECB"/>
    <w:rsid w:val="0081439F"/>
    <w:rsid w:val="008801FC"/>
    <w:rsid w:val="008A042F"/>
    <w:rsid w:val="008E4C2D"/>
    <w:rsid w:val="00974E0D"/>
    <w:rsid w:val="00991B6D"/>
    <w:rsid w:val="009B1347"/>
    <w:rsid w:val="009D10C9"/>
    <w:rsid w:val="009F2A61"/>
    <w:rsid w:val="00A02CCA"/>
    <w:rsid w:val="00A9665F"/>
    <w:rsid w:val="00B11D96"/>
    <w:rsid w:val="00B1328B"/>
    <w:rsid w:val="00B33D0F"/>
    <w:rsid w:val="00BA356D"/>
    <w:rsid w:val="00BB5116"/>
    <w:rsid w:val="00BC76F3"/>
    <w:rsid w:val="00C027AB"/>
    <w:rsid w:val="00C22B2C"/>
    <w:rsid w:val="00C340F2"/>
    <w:rsid w:val="00CB3AFC"/>
    <w:rsid w:val="00CD4B2C"/>
    <w:rsid w:val="00D726BA"/>
    <w:rsid w:val="00DD7878"/>
    <w:rsid w:val="00DE4056"/>
    <w:rsid w:val="00DF00C8"/>
    <w:rsid w:val="00E11C7A"/>
    <w:rsid w:val="00E33E0C"/>
    <w:rsid w:val="00E81CE2"/>
    <w:rsid w:val="00E8433C"/>
    <w:rsid w:val="00E858F8"/>
    <w:rsid w:val="00E922CE"/>
    <w:rsid w:val="00EF398F"/>
    <w:rsid w:val="00F5309B"/>
    <w:rsid w:val="00F53ABE"/>
    <w:rsid w:val="00F5436B"/>
    <w:rsid w:val="00F57430"/>
    <w:rsid w:val="00F655B5"/>
    <w:rsid w:val="00F83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190467"/>
  <w15:docId w15:val="{B05EFCF7-7D22-4C32-81C6-66FD28C0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33C"/>
    <w:pPr>
      <w:spacing w:after="160" w:line="259" w:lineRule="auto"/>
    </w:pPr>
    <w:rPr>
      <w:lang w:eastAsia="en-US"/>
    </w:rPr>
  </w:style>
  <w:style w:type="paragraph" w:styleId="Nadpis1">
    <w:name w:val="heading 1"/>
    <w:basedOn w:val="Normln"/>
    <w:next w:val="Normln"/>
    <w:link w:val="Nadpis1Char"/>
    <w:uiPriority w:val="99"/>
    <w:qFormat/>
    <w:rsid w:val="005A46FE"/>
    <w:pPr>
      <w:keepNext/>
      <w:keepLines/>
      <w:spacing w:before="240" w:after="0"/>
      <w:outlineLvl w:val="0"/>
    </w:pPr>
    <w:rPr>
      <w:rFonts w:ascii="Calibri Light" w:eastAsia="Times New Roman" w:hAnsi="Calibri Light"/>
      <w:color w:val="2E74B5"/>
      <w:sz w:val="32"/>
      <w:szCs w:val="32"/>
      <w:lang w:eastAsia="cs-CZ"/>
    </w:rPr>
  </w:style>
  <w:style w:type="paragraph" w:styleId="Nadpis2">
    <w:name w:val="heading 2"/>
    <w:basedOn w:val="Normln"/>
    <w:next w:val="Normln"/>
    <w:link w:val="Nadpis2Char"/>
    <w:uiPriority w:val="9"/>
    <w:semiHidden/>
    <w:unhideWhenUsed/>
    <w:qFormat/>
    <w:rsid w:val="00F53A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A46FE"/>
    <w:rPr>
      <w:rFonts w:ascii="Calibri Light" w:hAnsi="Calibri Light" w:cs="Times New Roman"/>
      <w:color w:val="2E74B5"/>
      <w:sz w:val="32"/>
    </w:rPr>
  </w:style>
  <w:style w:type="paragraph" w:styleId="Zhlav">
    <w:name w:val="header"/>
    <w:basedOn w:val="Normln"/>
    <w:link w:val="ZhlavChar"/>
    <w:uiPriority w:val="99"/>
    <w:rsid w:val="005A46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46FE"/>
    <w:rPr>
      <w:rFonts w:cs="Times New Roman"/>
    </w:rPr>
  </w:style>
  <w:style w:type="paragraph" w:styleId="Zpat">
    <w:name w:val="footer"/>
    <w:basedOn w:val="Normln"/>
    <w:link w:val="ZpatChar"/>
    <w:uiPriority w:val="99"/>
    <w:rsid w:val="005A46FE"/>
    <w:pPr>
      <w:tabs>
        <w:tab w:val="center" w:pos="4536"/>
        <w:tab w:val="right" w:pos="9072"/>
      </w:tabs>
      <w:spacing w:after="0" w:line="240" w:lineRule="auto"/>
    </w:pPr>
  </w:style>
  <w:style w:type="character" w:customStyle="1" w:styleId="ZpatChar">
    <w:name w:val="Zápatí Char"/>
    <w:basedOn w:val="Standardnpsmoodstavce"/>
    <w:link w:val="Zpat"/>
    <w:uiPriority w:val="99"/>
    <w:rsid w:val="005A46FE"/>
    <w:rPr>
      <w:rFonts w:cs="Times New Roman"/>
    </w:rPr>
  </w:style>
  <w:style w:type="paragraph" w:styleId="Textbubliny">
    <w:name w:val="Balloon Text"/>
    <w:basedOn w:val="Normln"/>
    <w:link w:val="TextbublinyChar"/>
    <w:uiPriority w:val="99"/>
    <w:semiHidden/>
    <w:rsid w:val="005A46FE"/>
    <w:pPr>
      <w:spacing w:after="0" w:line="240" w:lineRule="auto"/>
    </w:pPr>
    <w:rPr>
      <w:rFonts w:ascii="Segoe UI" w:hAnsi="Segoe UI"/>
      <w:sz w:val="18"/>
      <w:szCs w:val="18"/>
      <w:lang w:eastAsia="cs-CZ"/>
    </w:rPr>
  </w:style>
  <w:style w:type="character" w:customStyle="1" w:styleId="TextbublinyChar">
    <w:name w:val="Text bubliny Char"/>
    <w:basedOn w:val="Standardnpsmoodstavce"/>
    <w:link w:val="Textbubliny"/>
    <w:uiPriority w:val="99"/>
    <w:semiHidden/>
    <w:rsid w:val="005A46FE"/>
    <w:rPr>
      <w:rFonts w:ascii="Segoe UI" w:hAnsi="Segoe UI" w:cs="Times New Roman"/>
      <w:sz w:val="18"/>
    </w:rPr>
  </w:style>
  <w:style w:type="paragraph" w:styleId="Obsah2">
    <w:name w:val="toc 2"/>
    <w:basedOn w:val="Normln"/>
    <w:next w:val="Normln"/>
    <w:autoRedefine/>
    <w:uiPriority w:val="99"/>
    <w:semiHidden/>
    <w:rsid w:val="00A02CCA"/>
    <w:pPr>
      <w:spacing w:after="0" w:line="240" w:lineRule="auto"/>
      <w:ind w:left="348"/>
      <w:jc w:val="both"/>
    </w:pPr>
    <w:rPr>
      <w:rFonts w:ascii="Times New Roman" w:eastAsia="Times New Roman" w:hAnsi="Times New Roman"/>
      <w:sz w:val="24"/>
      <w:szCs w:val="24"/>
      <w:lang w:eastAsia="cs-CZ"/>
    </w:rPr>
  </w:style>
  <w:style w:type="paragraph" w:styleId="Zkladntext">
    <w:name w:val="Body Text"/>
    <w:aliases w:val="Standard paragraph"/>
    <w:basedOn w:val="Normln"/>
    <w:link w:val="ZkladntextChar"/>
    <w:uiPriority w:val="99"/>
    <w:rsid w:val="00A02CCA"/>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aliases w:val="Standard paragraph Char"/>
    <w:basedOn w:val="Standardnpsmoodstavce"/>
    <w:link w:val="Zkladntext"/>
    <w:uiPriority w:val="99"/>
    <w:rsid w:val="00A02CCA"/>
    <w:rPr>
      <w:rFonts w:cs="Times New Roman"/>
      <w:sz w:val="24"/>
      <w:szCs w:val="24"/>
      <w:lang w:val="cs-CZ" w:eastAsia="cs-CZ" w:bidi="ar-SA"/>
    </w:rPr>
  </w:style>
  <w:style w:type="paragraph" w:customStyle="1" w:styleId="WW-Zkladntext2">
    <w:name w:val="WW-Základní text 2"/>
    <w:basedOn w:val="Normln"/>
    <w:uiPriority w:val="99"/>
    <w:rsid w:val="00A02CCA"/>
    <w:pPr>
      <w:widowControl w:val="0"/>
      <w:suppressAutoHyphens/>
      <w:spacing w:after="0" w:line="240" w:lineRule="auto"/>
      <w:jc w:val="center"/>
    </w:pPr>
    <w:rPr>
      <w:rFonts w:ascii="Times New Roman" w:eastAsia="Times New Roman" w:hAnsi="Times New Roman"/>
      <w:b/>
      <w:sz w:val="24"/>
      <w:szCs w:val="20"/>
      <w:lang w:eastAsia="cs-CZ"/>
    </w:rPr>
  </w:style>
  <w:style w:type="paragraph" w:customStyle="1" w:styleId="Import5">
    <w:name w:val="Import 5"/>
    <w:basedOn w:val="Normln"/>
    <w:uiPriority w:val="99"/>
    <w:rsid w:val="00A02C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firstLine="720"/>
    </w:pPr>
    <w:rPr>
      <w:rFonts w:ascii="Courier New" w:eastAsia="Times New Roman" w:hAnsi="Courier New"/>
      <w:sz w:val="24"/>
      <w:szCs w:val="20"/>
      <w:lang w:eastAsia="cs-CZ"/>
    </w:rPr>
  </w:style>
  <w:style w:type="paragraph" w:customStyle="1" w:styleId="ListParagraph1">
    <w:name w:val="List Paragraph1"/>
    <w:basedOn w:val="Normln"/>
    <w:uiPriority w:val="99"/>
    <w:rsid w:val="00A02CCA"/>
    <w:pPr>
      <w:spacing w:after="0" w:line="240" w:lineRule="auto"/>
      <w:ind w:left="708"/>
    </w:pPr>
    <w:rPr>
      <w:rFonts w:ascii="Times New Roman" w:eastAsia="Times New Roman" w:hAnsi="Times New Roman"/>
      <w:sz w:val="24"/>
      <w:szCs w:val="24"/>
      <w:lang w:eastAsia="cs-CZ"/>
    </w:rPr>
  </w:style>
  <w:style w:type="character" w:styleId="slostrnky">
    <w:name w:val="page number"/>
    <w:basedOn w:val="Standardnpsmoodstavce"/>
    <w:uiPriority w:val="99"/>
    <w:rsid w:val="00A02CCA"/>
    <w:rPr>
      <w:rFonts w:cs="Times New Roman"/>
    </w:rPr>
  </w:style>
  <w:style w:type="character" w:customStyle="1" w:styleId="Nadpis2Char">
    <w:name w:val="Nadpis 2 Char"/>
    <w:basedOn w:val="Standardnpsmoodstavce"/>
    <w:link w:val="Nadpis2"/>
    <w:uiPriority w:val="9"/>
    <w:semiHidden/>
    <w:rsid w:val="00F53ABE"/>
    <w:rPr>
      <w:rFonts w:asciiTheme="majorHAnsi" w:eastAsiaTheme="majorEastAsia" w:hAnsiTheme="majorHAnsi" w:cstheme="majorBidi"/>
      <w:color w:val="365F91" w:themeColor="accent1" w:themeShade="BF"/>
      <w:sz w:val="26"/>
      <w:szCs w:val="26"/>
      <w:lang w:eastAsia="en-US"/>
    </w:rPr>
  </w:style>
  <w:style w:type="character" w:customStyle="1" w:styleId="fn">
    <w:name w:val="fn"/>
    <w:basedOn w:val="Standardnpsmoodstavce"/>
    <w:rsid w:val="00F53ABE"/>
  </w:style>
  <w:style w:type="character" w:styleId="Hypertextovodkaz">
    <w:name w:val="Hyperlink"/>
    <w:basedOn w:val="Standardnpsmoodstavce"/>
    <w:uiPriority w:val="99"/>
    <w:semiHidden/>
    <w:unhideWhenUsed/>
    <w:rsid w:val="00F53ABE"/>
    <w:rPr>
      <w:color w:val="0000FF"/>
      <w:u w:val="single"/>
    </w:rPr>
  </w:style>
  <w:style w:type="character" w:customStyle="1" w:styleId="value">
    <w:name w:val="value"/>
    <w:basedOn w:val="Standardnpsmoodstavce"/>
    <w:rsid w:val="00991B6D"/>
  </w:style>
  <w:style w:type="paragraph" w:styleId="Odstavecseseznamem">
    <w:name w:val="List Paragraph"/>
    <w:basedOn w:val="Normln"/>
    <w:uiPriority w:val="34"/>
    <w:qFormat/>
    <w:rsid w:val="00B3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4636">
      <w:bodyDiv w:val="1"/>
      <w:marLeft w:val="0"/>
      <w:marRight w:val="0"/>
      <w:marTop w:val="0"/>
      <w:marBottom w:val="0"/>
      <w:divBdr>
        <w:top w:val="none" w:sz="0" w:space="0" w:color="auto"/>
        <w:left w:val="none" w:sz="0" w:space="0" w:color="auto"/>
        <w:bottom w:val="none" w:sz="0" w:space="0" w:color="auto"/>
        <w:right w:val="none" w:sz="0" w:space="0" w:color="auto"/>
      </w:divBdr>
    </w:div>
    <w:div w:id="20145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2310</Words>
  <Characters>14099</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Hewlett-Packard Company</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Chandelier</dc:creator>
  <cp:lastModifiedBy>JM</cp:lastModifiedBy>
  <cp:revision>3</cp:revision>
  <cp:lastPrinted>2014-10-14T12:40:00Z</cp:lastPrinted>
  <dcterms:created xsi:type="dcterms:W3CDTF">2019-03-25T13:06:00Z</dcterms:created>
  <dcterms:modified xsi:type="dcterms:W3CDTF">2019-03-25T13:09:00Z</dcterms:modified>
</cp:coreProperties>
</file>