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P19V000000</w:t>
      </w:r>
      <w:r w:rsidR="00EF1CC5">
        <w:rPr>
          <w:rFonts w:ascii="Garamond" w:hAnsi="Garamond"/>
        </w:rPr>
        <w:t>62</w:t>
      </w:r>
      <w:r w:rsidR="00160102">
        <w:rPr>
          <w:rFonts w:ascii="Garamond" w:hAnsi="Garamond"/>
        </w:rPr>
        <w:t xml:space="preserve"> </w:t>
      </w:r>
      <w:permStart w:id="1816754867" w:edGrp="everyone"/>
      <w:r w:rsidR="00733244" w:rsidRPr="00733244">
        <w:t>SV2019031201</w:t>
      </w:r>
      <w:permEnd w:id="1816754867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632386244" w:edGrp="everyone"/>
      <w:r w:rsidR="00733244" w:rsidRPr="00733244">
        <w:t>Kolibrik.net,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733244" w:rsidRPr="00733244">
        <w:t>Smetanova 169/34, 59101 Žďár nad Sázavou 1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733244" w:rsidRPr="00733244">
        <w:t>Mgr. Jiří Libra, Ph.D.,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733244" w:rsidRPr="00733244">
        <w:t>05897408</w:t>
      </w:r>
    </w:p>
    <w:p w:rsidR="00733244" w:rsidRDefault="00FD1767" w:rsidP="00733244">
      <w:pPr>
        <w:spacing w:after="0"/>
        <w:ind w:left="709"/>
        <w:jc w:val="both"/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733244" w:rsidRPr="00733244">
        <w:t>CZ05897408</w:t>
      </w:r>
    </w:p>
    <w:p w:rsidR="00D21250" w:rsidRPr="00DD6056" w:rsidRDefault="00D21250" w:rsidP="00733244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9152DC">
        <w:t>xxxxxxxxxxx</w:t>
      </w:r>
      <w:r w:rsidR="00733244">
        <w:t xml:space="preserve"> </w:t>
      </w:r>
    </w:p>
    <w:p w:rsidR="009152DC" w:rsidRDefault="00D21250" w:rsidP="00F335A1">
      <w:pPr>
        <w:spacing w:after="0"/>
        <w:ind w:firstLine="708"/>
        <w:jc w:val="both"/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152DC">
        <w:t>xxxxxxxxxx</w:t>
      </w:r>
    </w:p>
    <w:permEnd w:id="632386244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E040C1">
        <w:rPr>
          <w:rFonts w:ascii="Garamond" w:hAnsi="Garamond" w:cs="Arial"/>
          <w:b/>
          <w:bCs/>
        </w:rPr>
        <w:t>0</w:t>
      </w:r>
      <w:r w:rsidR="00EF1CC5">
        <w:rPr>
          <w:rFonts w:ascii="Garamond" w:hAnsi="Garamond" w:cs="Arial"/>
          <w:b/>
          <w:bCs/>
        </w:rPr>
        <w:t>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36447" w:rsidRDefault="00E36447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E36447" w:rsidRPr="001B5AB1" w:rsidRDefault="00E36447" w:rsidP="00E36447">
      <w:pPr>
        <w:spacing w:after="60"/>
        <w:ind w:left="431" w:firstLine="274"/>
        <w:jc w:val="both"/>
        <w:rPr>
          <w:rFonts w:ascii="Garamond" w:hAnsi="Garamond"/>
        </w:rPr>
      </w:pPr>
      <w:r w:rsidRPr="001B5AB1">
        <w:rPr>
          <w:rFonts w:ascii="Garamond" w:hAnsi="Garamond"/>
        </w:rPr>
        <w:t>Nedílnou součástí předmětu veřejné zakázky je:</w:t>
      </w:r>
    </w:p>
    <w:p w:rsidR="00E36447" w:rsidRPr="001B5AB1" w:rsidRDefault="00E36447" w:rsidP="00E36447">
      <w:pPr>
        <w:tabs>
          <w:tab w:val="left" w:pos="993"/>
        </w:tabs>
        <w:spacing w:after="0"/>
        <w:ind w:left="993" w:hanging="288"/>
        <w:jc w:val="both"/>
        <w:rPr>
          <w:rFonts w:ascii="Garamond" w:hAnsi="Garamond"/>
        </w:rPr>
      </w:pPr>
      <w:r w:rsidRPr="001B5AB1">
        <w:rPr>
          <w:rFonts w:ascii="Garamond" w:hAnsi="Garamond"/>
        </w:rPr>
        <w:t>-</w:t>
      </w:r>
      <w:r w:rsidRPr="001B5AB1">
        <w:rPr>
          <w:rFonts w:ascii="Garamond" w:hAnsi="Garamond"/>
        </w:rPr>
        <w:tab/>
        <w:t>doprava zařízení do místa plnění, instalace, uvedení zařízení do provozu a předvedení funkčnosti;</w:t>
      </w:r>
    </w:p>
    <w:p w:rsidR="00E36447" w:rsidRDefault="00E36447" w:rsidP="00E36447">
      <w:pPr>
        <w:tabs>
          <w:tab w:val="left" w:pos="993"/>
        </w:tabs>
        <w:spacing w:after="0"/>
        <w:ind w:left="431" w:firstLine="274"/>
        <w:jc w:val="both"/>
        <w:rPr>
          <w:rFonts w:ascii="Garamond" w:hAnsi="Garamond"/>
          <w:szCs w:val="24"/>
        </w:rPr>
      </w:pPr>
      <w:r w:rsidRPr="001B5AB1">
        <w:rPr>
          <w:rFonts w:ascii="Garamond" w:hAnsi="Garamond"/>
        </w:rPr>
        <w:t>-</w:t>
      </w:r>
      <w:r w:rsidRPr="001B5AB1">
        <w:rPr>
          <w:rFonts w:ascii="Garamond" w:hAnsi="Garamond"/>
        </w:rPr>
        <w:tab/>
        <w:t>zaškolení obsluhy zařízení v místě plnění veřejné zakázky (</w:t>
      </w:r>
      <w:r>
        <w:rPr>
          <w:rFonts w:ascii="Garamond" w:hAnsi="Garamond"/>
        </w:rPr>
        <w:t>8</w:t>
      </w:r>
      <w:r w:rsidRPr="001B5AB1">
        <w:rPr>
          <w:rFonts w:ascii="Garamond" w:hAnsi="Garamond"/>
        </w:rPr>
        <w:t xml:space="preserve"> hodin)</w:t>
      </w:r>
      <w:r>
        <w:rPr>
          <w:rFonts w:ascii="Garamond" w:hAnsi="Garamond"/>
        </w:rPr>
        <w:t>.</w:t>
      </w: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B46C6" w:rsidRDefault="001B46C6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EF1CC5">
        <w:rPr>
          <w:rFonts w:ascii="Garamond" w:hAnsi="Garamond"/>
        </w:rPr>
        <w:t>1</w:t>
      </w:r>
      <w:r w:rsidR="00F26252">
        <w:rPr>
          <w:rFonts w:ascii="Garamond" w:hAnsi="Garamond"/>
        </w:rPr>
        <w:t>0</w:t>
      </w:r>
      <w:r w:rsidR="003175C5">
        <w:rPr>
          <w:rFonts w:ascii="Garamond" w:hAnsi="Garamond"/>
        </w:rPr>
        <w:t xml:space="preserve"> </w:t>
      </w:r>
      <w:r w:rsidR="00EF1CC5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9842ED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2129865179" w:edGrp="everyone"/>
      <w:r w:rsidR="004C5E48" w:rsidRPr="00DD6056">
        <w:rPr>
          <w:rFonts w:ascii="Garamond" w:hAnsi="Garamond" w:cs="Arial"/>
        </w:rPr>
        <w:t>[</w:t>
      </w:r>
      <w:r w:rsidR="00733244" w:rsidRPr="00733244">
        <w:t>Mgr. Jiří Libra, Ph.D.,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9152DC">
        <w:rPr>
          <w:rFonts w:ascii="Garamond" w:hAnsi="Garamond" w:cs="Arial"/>
        </w:rPr>
        <w:t xml:space="preserve"> </w:t>
      </w:r>
      <w:r w:rsidR="009152DC">
        <w:t>xxxxxxxxx</w:t>
      </w:r>
      <w:r w:rsidR="004C5E48" w:rsidRPr="00DD6056">
        <w:rPr>
          <w:rFonts w:ascii="Garamond" w:hAnsi="Garamond" w:cs="Arial"/>
        </w:rPr>
        <w:t xml:space="preserve">, telefon </w:t>
      </w:r>
      <w:r w:rsidR="009152DC">
        <w:t>xxxxxxxxxxxxxx</w:t>
      </w:r>
      <w:permEnd w:id="2129865179"/>
      <w:r w:rsidR="0049439A"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733244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425177503" w:edGrp="everyone"/>
      <w:r>
        <w:t>122.000</w:t>
      </w:r>
      <w:r w:rsidR="00080F29" w:rsidRPr="00DD6056">
        <w:rPr>
          <w:rFonts w:ascii="Garamond" w:hAnsi="Garamond" w:cs="Arial"/>
        </w:rPr>
        <w:t>],- Kč bez DPH (slovy: [</w:t>
      </w:r>
      <w:r w:rsidRPr="00733244">
        <w:t>sto dvacet dva tisíc korun českých</w:t>
      </w:r>
      <w:r w:rsidR="00080F29" w:rsidRPr="00DD6056">
        <w:rPr>
          <w:rFonts w:ascii="Garamond" w:hAnsi="Garamond" w:cs="Arial"/>
        </w:rPr>
        <w:t>]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DPH činí [</w:t>
      </w:r>
      <w:r w:rsidR="00733244">
        <w:t>21</w:t>
      </w:r>
      <w:r w:rsidR="00DA5B83" w:rsidRPr="00DD6056">
        <w:rPr>
          <w:rFonts w:ascii="Garamond" w:hAnsi="Garamond" w:cs="Arial"/>
        </w:rPr>
        <w:t>]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DA5B83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[</w:t>
      </w:r>
      <w:r w:rsidR="00733244" w:rsidRPr="00733244">
        <w:t>147 620,-</w:t>
      </w:r>
      <w:r w:rsidRPr="00DD6056">
        <w:rPr>
          <w:rFonts w:ascii="Garamond" w:hAnsi="Garamond" w:cs="Arial"/>
        </w:rPr>
        <w:t>],- Kč včetně DPH</w:t>
      </w:r>
      <w:r w:rsidR="00080F29" w:rsidRPr="00DD6056">
        <w:rPr>
          <w:rFonts w:ascii="Garamond" w:hAnsi="Garamond" w:cs="Arial"/>
        </w:rPr>
        <w:t xml:space="preserve"> (slovy: [</w:t>
      </w:r>
      <w:r w:rsidR="00733244" w:rsidRPr="00733244">
        <w:t>sto čtyřicet sedm tisíc šest set dvacet</w:t>
      </w:r>
      <w:r w:rsidR="00080F29" w:rsidRPr="00DD6056">
        <w:rPr>
          <w:rFonts w:ascii="Garamond" w:hAnsi="Garamond" w:cs="Arial"/>
        </w:rPr>
        <w:t>] korun českých).</w:t>
      </w:r>
    </w:p>
    <w:permEnd w:id="1425177503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266BA9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lastRenderedPageBreak/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F26252">
        <w:rPr>
          <w:rFonts w:ascii="Garamond" w:hAnsi="Garamond"/>
        </w:rPr>
        <w:t>0</w:t>
      </w:r>
      <w:r w:rsidR="00EF1CC5">
        <w:rPr>
          <w:rFonts w:ascii="Garamond" w:hAnsi="Garamond"/>
        </w:rPr>
        <w:t>5</w:t>
      </w:r>
      <w:r w:rsidR="006C75A3" w:rsidRPr="00D6027D">
        <w:rPr>
          <w:rFonts w:ascii="Garamond" w:hAnsi="Garamond"/>
        </w:rPr>
        <w:t>_-_201</w:t>
      </w:r>
      <w:r w:rsidR="00F26252">
        <w:rPr>
          <w:rFonts w:ascii="Garamond" w:hAnsi="Garamond"/>
        </w:rPr>
        <w:t>9</w:t>
      </w:r>
      <w:r w:rsidR="006C75A3" w:rsidRPr="00D6027D">
        <w:rPr>
          <w:rFonts w:ascii="Garamond" w:hAnsi="Garamond"/>
        </w:rPr>
        <w:t>.xlsx</w:t>
      </w:r>
    </w:p>
    <w:p w:rsidR="00EF1CC5" w:rsidRDefault="00EF1CC5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 xml:space="preserve">Příloha č. </w:t>
      </w:r>
      <w:r>
        <w:rPr>
          <w:rFonts w:ascii="Garamond" w:hAnsi="Garamond"/>
        </w:rPr>
        <w:t>2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popis_zarizeni</w:t>
      </w:r>
      <w:r w:rsidRPr="00D6027D">
        <w:rPr>
          <w:rFonts w:ascii="Garamond" w:hAnsi="Garamond"/>
        </w:rPr>
        <w:t>_</w:t>
      </w:r>
      <w:r>
        <w:rPr>
          <w:rFonts w:ascii="Garamond" w:hAnsi="Garamond"/>
        </w:rPr>
        <w:t>005</w:t>
      </w:r>
      <w:r w:rsidRPr="00D6027D">
        <w:rPr>
          <w:rFonts w:ascii="Garamond" w:hAnsi="Garamond"/>
        </w:rPr>
        <w:t>_-_201</w:t>
      </w:r>
      <w:r>
        <w:rPr>
          <w:rFonts w:ascii="Garamond" w:hAnsi="Garamond"/>
        </w:rPr>
        <w:t>9</w:t>
      </w:r>
      <w:r w:rsidRPr="00D6027D">
        <w:rPr>
          <w:rFonts w:ascii="Garamond" w:hAnsi="Garamond"/>
        </w:rPr>
        <w:t>.</w:t>
      </w:r>
      <w:r>
        <w:rPr>
          <w:rFonts w:ascii="Garamond" w:hAnsi="Garamond"/>
        </w:rPr>
        <w:t>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678828227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733244" w:rsidRDefault="00930F30" w:rsidP="00F335A1">
            <w:pPr>
              <w:spacing w:after="0"/>
              <w:jc w:val="both"/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733244" w:rsidRPr="00733244">
              <w:t>Ve Žďáře nad Sázavou dne 12. 03. 2019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733244" w:rsidRPr="00733244" w:rsidRDefault="00FF7C70" w:rsidP="00733244">
            <w:r w:rsidRPr="00BA0E31">
              <w:rPr>
                <w:rFonts w:ascii="Garamond" w:hAnsi="Garamond"/>
                <w:szCs w:val="20"/>
              </w:rPr>
              <w:t>[</w:t>
            </w:r>
            <w:r w:rsidR="00733244" w:rsidRPr="00733244">
              <w:t>Kolibrik.net, s.r.o.</w:t>
            </w:r>
          </w:p>
          <w:p w:rsidR="00733244" w:rsidRPr="00733244" w:rsidRDefault="00733244" w:rsidP="00733244">
            <w:r w:rsidRPr="00733244">
              <w:t>Mgr. Jiří Libra, Ph.D.</w:t>
            </w:r>
          </w:p>
          <w:p w:rsidR="00FD1767" w:rsidRPr="00BA0E31" w:rsidRDefault="00733244" w:rsidP="0073324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733244">
              <w:t>jednatel</w:t>
            </w:r>
          </w:p>
        </w:tc>
      </w:tr>
      <w:permEnd w:id="678828227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43" w:rsidRDefault="00524043" w:rsidP="001B2927">
      <w:pPr>
        <w:spacing w:after="0" w:line="240" w:lineRule="auto"/>
      </w:pPr>
      <w:r>
        <w:separator/>
      </w:r>
    </w:p>
  </w:endnote>
  <w:endnote w:type="continuationSeparator" w:id="0">
    <w:p w:rsidR="00524043" w:rsidRDefault="00524043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43" w:rsidRDefault="00524043" w:rsidP="001B2927">
      <w:pPr>
        <w:spacing w:after="0" w:line="240" w:lineRule="auto"/>
      </w:pPr>
      <w:r>
        <w:separator/>
      </w:r>
    </w:p>
  </w:footnote>
  <w:footnote w:type="continuationSeparator" w:id="0">
    <w:p w:rsidR="00524043" w:rsidRDefault="00524043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1" w:cryptProviderType="rsaFull" w:cryptAlgorithmClass="hash" w:cryptAlgorithmType="typeAny" w:cryptAlgorithmSid="4" w:cryptSpinCount="100000" w:hash="Iu3Erk7g7BDs4pKujii3rtnmUgM=" w:salt="qleS/a538plSpyULcL4n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4043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244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52DC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23AF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3E22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36447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1CC5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0579-85AD-4EA6-A9C2-D55C0F0D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3144</Words>
  <Characters>18550</Characters>
  <Application>Microsoft Office Word</Application>
  <DocSecurity>8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2019-03-25T08:27:00Z</dcterms:created>
  <dcterms:modified xsi:type="dcterms:W3CDTF">2019-03-25T08:27:00Z</dcterms:modified>
</cp:coreProperties>
</file>