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8BAA" w14:textId="3CE4BA70" w:rsidR="003D32C8" w:rsidRPr="006E366F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Níže uvedeného dne, měsíce a roku uzavřeli</w:t>
      </w:r>
    </w:p>
    <w:p w14:paraId="7FC8C21C" w14:textId="77777777" w:rsidR="00AE7701" w:rsidRDefault="00AE7701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53CBA5B4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b/>
          <w:kern w:val="1"/>
          <w:lang w:eastAsia="ar-SA"/>
        </w:rPr>
      </w:pPr>
      <w:r w:rsidRPr="00A251CE">
        <w:rPr>
          <w:rFonts w:ascii="Calibri" w:eastAsia="Times New Roman" w:hAnsi="Calibri" w:cs="Times New Roman"/>
          <w:b/>
          <w:kern w:val="1"/>
          <w:lang w:eastAsia="ar-SA"/>
        </w:rPr>
        <w:t xml:space="preserve">BIC Plzeň, společnost s ručením omezeným </w:t>
      </w:r>
    </w:p>
    <w:p w14:paraId="46A0DC35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se sídlem </w:t>
      </w:r>
      <w:r>
        <w:rPr>
          <w:rFonts w:ascii="Calibri" w:eastAsia="Times New Roman" w:hAnsi="Calibri" w:cs="Times New Roman"/>
          <w:kern w:val="1"/>
          <w:lang w:eastAsia="ar-SA"/>
        </w:rPr>
        <w:t>Riegrova 1, 306 25 Plzeň</w:t>
      </w:r>
    </w:p>
    <w:p w14:paraId="242CB3B9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zapsaná u Krajského soudu v Plzni, oddíl C, vložka 1678,</w:t>
      </w:r>
    </w:p>
    <w:p w14:paraId="61F78B35" w14:textId="14030E6E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IČ</w:t>
      </w:r>
      <w:r w:rsidR="00A43195">
        <w:rPr>
          <w:rFonts w:ascii="Calibri" w:eastAsia="Times New Roman" w:hAnsi="Calibri" w:cs="Times New Roman"/>
          <w:kern w:val="1"/>
          <w:lang w:eastAsia="ar-SA"/>
        </w:rPr>
        <w:t>: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45354774</w:t>
      </w:r>
    </w:p>
    <w:p w14:paraId="70A469A3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zastoupená jednatel</w:t>
      </w:r>
      <w:r w:rsidR="0030133D">
        <w:rPr>
          <w:rFonts w:ascii="Calibri" w:eastAsia="Times New Roman" w:hAnsi="Calibri" w:cs="Times New Roman"/>
          <w:kern w:val="1"/>
          <w:lang w:eastAsia="ar-SA"/>
        </w:rPr>
        <w:t>i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Ing. Janou Klementovou </w:t>
      </w:r>
      <w:r w:rsidR="0030133D">
        <w:rPr>
          <w:rFonts w:ascii="Calibri" w:eastAsia="Times New Roman" w:hAnsi="Calibri" w:cs="Times New Roman"/>
          <w:kern w:val="1"/>
          <w:lang w:eastAsia="ar-SA"/>
        </w:rPr>
        <w:t>a Ing. Filipem Uhlíkem</w:t>
      </w:r>
    </w:p>
    <w:p w14:paraId="6E7575F1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2B3A95C3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kern w:val="1"/>
          <w:lang w:eastAsia="ar-SA"/>
        </w:rPr>
        <w:t>„</w:t>
      </w:r>
      <w:r w:rsidR="00A251CE">
        <w:rPr>
          <w:rFonts w:ascii="Calibri" w:eastAsia="Times New Roman" w:hAnsi="Calibri" w:cs="Times New Roman"/>
          <w:b/>
          <w:bCs/>
          <w:kern w:val="1"/>
          <w:lang w:eastAsia="ar-SA"/>
        </w:rPr>
        <w:t>BIC Plzeň</w:t>
      </w: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 xml:space="preserve">“) </w:t>
      </w:r>
    </w:p>
    <w:p w14:paraId="01903362" w14:textId="77777777" w:rsidR="006C7E02" w:rsidRDefault="006C7E02" w:rsidP="003D32C8">
      <w:pPr>
        <w:tabs>
          <w:tab w:val="left" w:pos="2085"/>
        </w:tabs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140FEC67" w14:textId="77777777" w:rsidR="003D32C8" w:rsidRPr="003D32C8" w:rsidRDefault="003D32C8" w:rsidP="003D32C8">
      <w:pPr>
        <w:tabs>
          <w:tab w:val="left" w:pos="2085"/>
        </w:tabs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ab/>
      </w:r>
    </w:p>
    <w:p w14:paraId="41ECEEEE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a</w:t>
      </w:r>
    </w:p>
    <w:p w14:paraId="3996F8B1" w14:textId="77777777" w:rsid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color w:val="000000"/>
          <w:kern w:val="1"/>
          <w:lang w:eastAsia="ar-SA"/>
        </w:rPr>
      </w:pPr>
    </w:p>
    <w:p w14:paraId="6FCF6063" w14:textId="77777777" w:rsidR="006C7E02" w:rsidRPr="003D32C8" w:rsidRDefault="006C7E02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color w:val="000000"/>
          <w:kern w:val="1"/>
          <w:lang w:eastAsia="ar-SA"/>
        </w:rPr>
      </w:pPr>
    </w:p>
    <w:p w14:paraId="01B197C0" w14:textId="77777777" w:rsidR="00A251CE" w:rsidRPr="009135C7" w:rsidRDefault="00A251CE" w:rsidP="009135C7">
      <w:pPr>
        <w:pStyle w:val="Bezmezer"/>
        <w:rPr>
          <w:b/>
          <w:lang w:eastAsia="cs-CZ"/>
        </w:rPr>
      </w:pPr>
      <w:r>
        <w:rPr>
          <w:rStyle w:val="Siln"/>
        </w:rPr>
        <w:t>KONTRON ECT design s.r.o.</w:t>
      </w:r>
    </w:p>
    <w:p w14:paraId="151755E1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se sídlem </w:t>
      </w:r>
      <w:r w:rsidR="0095437F">
        <w:t>Plzeň, Teslova 1120/1, PSČ 30100</w:t>
      </w:r>
    </w:p>
    <w:p w14:paraId="3B4643E6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zapsaná u Krajského soudu v Plzni, oddíl C, vložka </w:t>
      </w:r>
      <w:r w:rsidR="0095437F">
        <w:rPr>
          <w:rFonts w:ascii="Calibri" w:eastAsia="Times New Roman" w:hAnsi="Calibri" w:cs="Times New Roman"/>
          <w:kern w:val="1"/>
          <w:lang w:eastAsia="ar-SA"/>
        </w:rPr>
        <w:t>12038</w:t>
      </w:r>
      <w:r w:rsidRPr="00A251CE">
        <w:rPr>
          <w:rFonts w:ascii="Calibri" w:eastAsia="Times New Roman" w:hAnsi="Calibri" w:cs="Times New Roman"/>
          <w:kern w:val="1"/>
          <w:lang w:eastAsia="ar-SA"/>
        </w:rPr>
        <w:t>,</w:t>
      </w:r>
    </w:p>
    <w:p w14:paraId="11A7B103" w14:textId="68740830" w:rsidR="00A251CE" w:rsidRDefault="00A251CE" w:rsidP="00A251CE">
      <w:pPr>
        <w:pStyle w:val="Bezmezer"/>
        <w:rPr>
          <w:rStyle w:val="Siln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IČ</w:t>
      </w:r>
      <w:r w:rsidR="00A43195">
        <w:rPr>
          <w:rFonts w:ascii="Calibri" w:eastAsia="Times New Roman" w:hAnsi="Calibri" w:cs="Times New Roman"/>
          <w:kern w:val="1"/>
          <w:lang w:eastAsia="ar-SA"/>
        </w:rPr>
        <w:t>: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</w:t>
      </w:r>
      <w:r w:rsidRPr="00A251CE">
        <w:rPr>
          <w:rStyle w:val="nowrap"/>
          <w:bCs/>
        </w:rPr>
        <w:t>25241494</w:t>
      </w:r>
      <w:r w:rsidRPr="00A251CE">
        <w:rPr>
          <w:rStyle w:val="Siln"/>
        </w:rPr>
        <w:t xml:space="preserve"> </w:t>
      </w:r>
    </w:p>
    <w:p w14:paraId="693E8D7D" w14:textId="2808BDFD" w:rsidR="00A251CE" w:rsidRDefault="00A251CE" w:rsidP="0095437F">
      <w:pPr>
        <w:suppressAutoHyphens/>
        <w:spacing w:after="0" w:line="100" w:lineRule="atLeast"/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zastoupená </w:t>
      </w:r>
      <w:r w:rsidR="0095437F">
        <w:rPr>
          <w:rFonts w:ascii="Calibri" w:eastAsia="Times New Roman" w:hAnsi="Calibri" w:cs="Times New Roman"/>
          <w:kern w:val="1"/>
          <w:lang w:eastAsia="ar-SA"/>
        </w:rPr>
        <w:t>jednatelem</w:t>
      </w:r>
      <w:r w:rsidR="0095437F" w:rsidRPr="00A251CE">
        <w:rPr>
          <w:rFonts w:ascii="Calibri" w:eastAsia="Times New Roman" w:hAnsi="Calibri" w:cs="Times New Roman"/>
          <w:kern w:val="1"/>
          <w:lang w:eastAsia="ar-SA"/>
        </w:rPr>
        <w:t xml:space="preserve"> </w:t>
      </w:r>
    </w:p>
    <w:p w14:paraId="1FC6E69A" w14:textId="77777777" w:rsidR="0095437F" w:rsidRDefault="0095437F" w:rsidP="0095437F">
      <w:pPr>
        <w:suppressAutoHyphens/>
        <w:spacing w:after="0" w:line="100" w:lineRule="atLeast"/>
        <w:rPr>
          <w:lang w:eastAsia="cs-CZ"/>
        </w:rPr>
      </w:pPr>
    </w:p>
    <w:p w14:paraId="2C8974E4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kern w:val="1"/>
          <w:lang w:eastAsia="ar-SA"/>
        </w:rPr>
        <w:t>„Partner“</w:t>
      </w:r>
      <w:r w:rsidRPr="003D32C8">
        <w:rPr>
          <w:rFonts w:ascii="Calibri" w:eastAsia="Times New Roman" w:hAnsi="Calibri" w:cs="Times New Roman"/>
          <w:kern w:val="1"/>
          <w:lang w:eastAsia="ar-SA"/>
        </w:rPr>
        <w:t>)</w:t>
      </w:r>
    </w:p>
    <w:p w14:paraId="30562B97" w14:textId="77777777" w:rsid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74D314BF" w14:textId="77777777" w:rsidR="006C7E02" w:rsidRPr="003D32C8" w:rsidRDefault="006C7E02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60CFDBDF" w14:textId="77777777" w:rsidR="003D32C8" w:rsidRPr="003D32C8" w:rsidRDefault="00A251CE" w:rsidP="003D32C8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kern w:val="1"/>
          <w:lang w:eastAsia="ar-SA"/>
        </w:rPr>
      </w:pPr>
      <w:r>
        <w:rPr>
          <w:rFonts w:ascii="Calibri" w:eastAsia="Times New Roman" w:hAnsi="Calibri" w:cs="Times New Roman"/>
          <w:kern w:val="1"/>
          <w:lang w:eastAsia="ar-SA"/>
        </w:rPr>
        <w:t>BIC Plzeň</w:t>
      </w:r>
      <w:r w:rsidR="003D32C8" w:rsidRPr="003D32C8">
        <w:rPr>
          <w:rFonts w:ascii="Calibri" w:eastAsia="Times New Roman" w:hAnsi="Calibri" w:cs="Times New Roman"/>
          <w:kern w:val="1"/>
          <w:lang w:eastAsia="ar-SA"/>
        </w:rPr>
        <w:t xml:space="preserve"> a Partner společně dále jako </w:t>
      </w:r>
      <w:r w:rsidR="003D32C8" w:rsidRPr="003D32C8">
        <w:rPr>
          <w:rFonts w:ascii="Calibri" w:eastAsia="Times New Roman" w:hAnsi="Calibri" w:cs="Times New Roman"/>
          <w:b/>
          <w:kern w:val="1"/>
          <w:lang w:eastAsia="ar-SA"/>
        </w:rPr>
        <w:t>„Smluvní strany“</w:t>
      </w:r>
      <w:r w:rsidR="003D32C8" w:rsidRPr="003D32C8">
        <w:rPr>
          <w:rFonts w:ascii="Calibri" w:eastAsia="Times New Roman" w:hAnsi="Calibri" w:cs="Times New Roman"/>
          <w:kern w:val="1"/>
          <w:lang w:eastAsia="ar-SA"/>
        </w:rPr>
        <w:t xml:space="preserve"> nebo každý jednotlivě jako </w:t>
      </w:r>
      <w:r w:rsidR="003D32C8" w:rsidRPr="003D32C8">
        <w:rPr>
          <w:rFonts w:ascii="Calibri" w:eastAsia="Times New Roman" w:hAnsi="Calibri" w:cs="Times New Roman"/>
          <w:b/>
          <w:kern w:val="1"/>
          <w:lang w:eastAsia="ar-SA"/>
        </w:rPr>
        <w:t>„Smluvní strana“</w:t>
      </w:r>
    </w:p>
    <w:p w14:paraId="2132D6DA" w14:textId="77777777" w:rsid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36691EB2" w14:textId="77777777" w:rsidR="006C7E02" w:rsidRPr="003D32C8" w:rsidRDefault="006C7E02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79CB60A9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tuto</w:t>
      </w:r>
    </w:p>
    <w:p w14:paraId="0A4836F9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0F71A070" w14:textId="77777777" w:rsidR="00C163CE" w:rsidRDefault="00C163CE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</w:pPr>
    </w:p>
    <w:p w14:paraId="1524A216" w14:textId="17CFAB90" w:rsidR="003D32C8" w:rsidRPr="003D32C8" w:rsidRDefault="00A84D80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</w:pPr>
      <w:r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dodatek č. 1 k </w:t>
      </w:r>
      <w:r w:rsidR="00E923F8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>dílčí</w:t>
      </w:r>
      <w:r w:rsidR="00AF7722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>smlouvě</w:t>
      </w:r>
      <w:r w:rsidR="003D32C8" w:rsidRPr="003D32C8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 o spolupráci</w:t>
      </w:r>
      <w:r w:rsidR="008C6D4B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 č. 1</w:t>
      </w:r>
    </w:p>
    <w:p w14:paraId="396ADEB7" w14:textId="77777777" w:rsidR="003D32C8" w:rsidRP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  <w:r w:rsidRPr="003D32C8">
        <w:rPr>
          <w:rFonts w:ascii="Calibri" w:eastAsia="Times New Roman" w:hAnsi="Calibri" w:cs="Times New Roman"/>
          <w:bCs/>
          <w:kern w:val="1"/>
          <w:lang w:eastAsia="ar-SA"/>
        </w:rPr>
        <w:t xml:space="preserve">dle </w:t>
      </w:r>
      <w:proofErr w:type="spellStart"/>
      <w:r w:rsidRPr="003D32C8">
        <w:rPr>
          <w:rFonts w:ascii="Calibri" w:eastAsia="Times New Roman" w:hAnsi="Calibri" w:cs="Times New Roman"/>
          <w:bCs/>
          <w:kern w:val="1"/>
          <w:lang w:eastAsia="ar-SA"/>
        </w:rPr>
        <w:t>ust</w:t>
      </w:r>
      <w:proofErr w:type="spellEnd"/>
      <w:r w:rsidRPr="003D32C8">
        <w:rPr>
          <w:rFonts w:ascii="Calibri" w:eastAsia="Times New Roman" w:hAnsi="Calibri" w:cs="Times New Roman"/>
          <w:bCs/>
          <w:kern w:val="1"/>
          <w:lang w:eastAsia="ar-SA"/>
        </w:rPr>
        <w:t>. § 1746 odst. 2 zákona č. 89/2012 Sb., občanský zákoník, v platném znění</w:t>
      </w:r>
    </w:p>
    <w:p w14:paraId="53EED936" w14:textId="293AE7EA" w:rsidR="003D32C8" w:rsidRP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  <w:r w:rsidRPr="003D32C8">
        <w:rPr>
          <w:rFonts w:ascii="Calibri" w:eastAsia="Times New Roman" w:hAnsi="Calibri" w:cs="Times New Roman"/>
          <w:bCs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>„</w:t>
      </w:r>
      <w:r w:rsidR="00E42EE0">
        <w:rPr>
          <w:rFonts w:ascii="Calibri" w:eastAsia="Times New Roman" w:hAnsi="Calibri" w:cs="Times New Roman"/>
          <w:b/>
          <w:bCs/>
          <w:kern w:val="1"/>
          <w:lang w:eastAsia="ar-SA"/>
        </w:rPr>
        <w:t>dodatek</w:t>
      </w: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>“</w:t>
      </w:r>
      <w:r w:rsidRPr="003D32C8">
        <w:rPr>
          <w:rFonts w:ascii="Calibri" w:eastAsia="Times New Roman" w:hAnsi="Calibri" w:cs="Times New Roman"/>
          <w:bCs/>
          <w:kern w:val="1"/>
          <w:lang w:eastAsia="ar-SA"/>
        </w:rPr>
        <w:t>)</w:t>
      </w:r>
    </w:p>
    <w:p w14:paraId="0D0FD871" w14:textId="77777777" w:rsid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2DD13E1E" w14:textId="77777777" w:rsidR="006E366F" w:rsidRDefault="006E366F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33EF2923" w14:textId="77777777" w:rsidR="00C163CE" w:rsidRPr="003D32C8" w:rsidRDefault="00C163CE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790A057E" w14:textId="77777777" w:rsidR="003D32C8" w:rsidRPr="003D32C8" w:rsidRDefault="003D32C8" w:rsidP="003D32C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>Preambule</w:t>
      </w:r>
    </w:p>
    <w:p w14:paraId="1081B48D" w14:textId="0C4BE6E9" w:rsidR="00222A7D" w:rsidRDefault="00E923F8" w:rsidP="00222A7D">
      <w:pPr>
        <w:pStyle w:val="StylSmluv2"/>
        <w:tabs>
          <w:tab w:val="clear" w:pos="567"/>
        </w:tabs>
        <w:spacing w:after="120"/>
        <w:ind w:left="0" w:firstLine="0"/>
      </w:pPr>
      <w:r w:rsidRPr="00E7407A">
        <w:t xml:space="preserve">Smluvní strany uzavřely dne </w:t>
      </w:r>
      <w:r w:rsidR="004D1D76" w:rsidRPr="00E7407A">
        <w:t>21</w:t>
      </w:r>
      <w:r w:rsidRPr="00E7407A">
        <w:t>.</w:t>
      </w:r>
      <w:r w:rsidR="004D1D76" w:rsidRPr="00E7407A">
        <w:t>7</w:t>
      </w:r>
      <w:r w:rsidRPr="00E7407A">
        <w:t>.</w:t>
      </w:r>
      <w:r w:rsidR="004D1D76" w:rsidRPr="00E7407A">
        <w:t xml:space="preserve"> </w:t>
      </w:r>
      <w:r w:rsidRPr="00E7407A">
        <w:t>2016 rámcovou smlouvu o  spolupráci (dále jen „Rámcová smlouva“), ve které</w:t>
      </w:r>
      <w:r>
        <w:t xml:space="preserve"> upravily vzájemná práva a povinnosti při přípravě a realizaci úprav budovy</w:t>
      </w:r>
      <w:r w:rsidR="00FA674A">
        <w:t xml:space="preserve"> </w:t>
      </w:r>
      <w:proofErr w:type="gramStart"/>
      <w:r w:rsidR="00134E1D">
        <w:t>č.p.</w:t>
      </w:r>
      <w:proofErr w:type="gramEnd"/>
      <w:r w:rsidR="00134E1D">
        <w:t xml:space="preserve"> 1120 nacházející se na adrese </w:t>
      </w:r>
      <w:r w:rsidR="00134E1D" w:rsidRPr="00134E1D">
        <w:t xml:space="preserve">Teslova 1120/1, </w:t>
      </w:r>
      <w:r w:rsidR="00134E1D">
        <w:t>přičemž tato budova je součástí pozemkové parcely</w:t>
      </w:r>
      <w:r w:rsidR="00134E1D" w:rsidRPr="00134E1D">
        <w:t xml:space="preserve"> č. </w:t>
      </w:r>
      <w:proofErr w:type="spellStart"/>
      <w:r w:rsidR="00134E1D" w:rsidRPr="00134E1D">
        <w:t>parc</w:t>
      </w:r>
      <w:proofErr w:type="spellEnd"/>
      <w:r w:rsidR="00134E1D" w:rsidRPr="00134E1D">
        <w:t>. 1538/27, </w:t>
      </w:r>
      <w:r w:rsidR="00134E1D">
        <w:t xml:space="preserve">zapsané na </w:t>
      </w:r>
      <w:r w:rsidR="00134E1D" w:rsidRPr="00134E1D">
        <w:t xml:space="preserve">LV č. 1818, pro </w:t>
      </w:r>
      <w:proofErr w:type="spellStart"/>
      <w:r w:rsidR="00134E1D" w:rsidRPr="00134E1D">
        <w:t>k.ú</w:t>
      </w:r>
      <w:proofErr w:type="spellEnd"/>
      <w:r w:rsidR="00134E1D" w:rsidRPr="00134E1D">
        <w:t xml:space="preserve">. 722596 </w:t>
      </w:r>
      <w:proofErr w:type="spellStart"/>
      <w:r w:rsidR="00134E1D" w:rsidRPr="00134E1D">
        <w:t>Skvrňany</w:t>
      </w:r>
      <w:proofErr w:type="spellEnd"/>
      <w:r w:rsidR="00134E1D" w:rsidRPr="00134E1D">
        <w:t>, obec 554791 Plzeň</w:t>
      </w:r>
      <w:r w:rsidR="0082722B">
        <w:t xml:space="preserve"> (dále jako „</w:t>
      </w:r>
      <w:r w:rsidR="00134E1D">
        <w:rPr>
          <w:b/>
        </w:rPr>
        <w:t>Budova</w:t>
      </w:r>
      <w:r w:rsidR="0082722B">
        <w:t>“)</w:t>
      </w:r>
      <w:r>
        <w:t>, jejímž je BIC Plzeň vlastníkem</w:t>
      </w:r>
      <w:r w:rsidR="0082722B">
        <w:t>.</w:t>
      </w:r>
      <w:r w:rsidR="00222A7D">
        <w:t xml:space="preserve"> </w:t>
      </w:r>
    </w:p>
    <w:p w14:paraId="5DA68926" w14:textId="77777777" w:rsidR="00A84D80" w:rsidRDefault="00A84D80" w:rsidP="00A84D80">
      <w:pPr>
        <w:pStyle w:val="StylSmluv2"/>
        <w:tabs>
          <w:tab w:val="clear" w:pos="567"/>
        </w:tabs>
        <w:spacing w:after="120"/>
        <w:ind w:left="0" w:firstLine="0"/>
      </w:pPr>
    </w:p>
    <w:p w14:paraId="2D3F6939" w14:textId="74C31607" w:rsidR="00A84D80" w:rsidRDefault="00A84D80" w:rsidP="00A84D80">
      <w:pPr>
        <w:pStyle w:val="StylSmluv2"/>
        <w:tabs>
          <w:tab w:val="clear" w:pos="567"/>
        </w:tabs>
        <w:spacing w:after="120"/>
        <w:ind w:left="0" w:firstLine="0"/>
      </w:pPr>
      <w:r w:rsidRPr="00E7407A">
        <w:t xml:space="preserve">Smluvní strany </w:t>
      </w:r>
      <w:r>
        <w:t xml:space="preserve">dále </w:t>
      </w:r>
      <w:r w:rsidRPr="00E7407A">
        <w:t xml:space="preserve">uzavřely dne </w:t>
      </w:r>
      <w:proofErr w:type="gramStart"/>
      <w:r w:rsidR="0009063A">
        <w:t>26.6.2017</w:t>
      </w:r>
      <w:proofErr w:type="gramEnd"/>
      <w:r w:rsidR="0009063A">
        <w:t xml:space="preserve"> </w:t>
      </w:r>
      <w:r>
        <w:t>dílčí smlouvu o spolupráci č. 1 (</w:t>
      </w:r>
      <w:r w:rsidRPr="00E7407A">
        <w:t>dále jen „</w:t>
      </w:r>
      <w:r>
        <w:t>S</w:t>
      </w:r>
      <w:r w:rsidRPr="00E7407A">
        <w:t>mlouva“), ve které</w:t>
      </w:r>
      <w:r>
        <w:t xml:space="preserve"> upravily povinnost Partnera uhradit zálohu na budoucí nájemné. </w:t>
      </w:r>
    </w:p>
    <w:p w14:paraId="58E86C37" w14:textId="77777777" w:rsidR="00A84D80" w:rsidRDefault="00A84D80" w:rsidP="00A84D80">
      <w:pPr>
        <w:pStyle w:val="StylSmluv2"/>
        <w:tabs>
          <w:tab w:val="clear" w:pos="567"/>
        </w:tabs>
        <w:spacing w:after="120"/>
        <w:ind w:left="0" w:firstLine="0"/>
      </w:pPr>
    </w:p>
    <w:p w14:paraId="7CF93D07" w14:textId="6C659558" w:rsidR="00A84D80" w:rsidRDefault="00A84D80" w:rsidP="00A84D80">
      <w:pPr>
        <w:pStyle w:val="StylSmluv2"/>
        <w:tabs>
          <w:tab w:val="clear" w:pos="567"/>
        </w:tabs>
        <w:spacing w:after="120"/>
        <w:ind w:left="0" w:firstLine="0"/>
      </w:pPr>
      <w:r>
        <w:t>S ohledem na skutečnost, že BIC Plzeň nerealizovala výběr zhotovitele rekonstrukce Budovy v plánovaném termínu, je společným zájmem smluvních stran upravit Smlouvu.</w:t>
      </w:r>
    </w:p>
    <w:p w14:paraId="031954DF" w14:textId="77777777" w:rsidR="006C7E02" w:rsidRDefault="006C7E02" w:rsidP="00C163CE">
      <w:pPr>
        <w:suppressAutoHyphens/>
        <w:spacing w:after="0" w:line="100" w:lineRule="atLeast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7DD99EBD" w14:textId="77777777" w:rsidR="006C7E02" w:rsidRDefault="006C7E02" w:rsidP="00C163CE">
      <w:pPr>
        <w:suppressAutoHyphens/>
        <w:spacing w:after="0" w:line="100" w:lineRule="atLeast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20ABAD8E" w14:textId="77777777" w:rsidR="00AD4039" w:rsidRPr="00AD4039" w:rsidRDefault="00AD403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 w:rsidRPr="00AD4039">
        <w:rPr>
          <w:rFonts w:ascii="Calibri" w:eastAsia="Times New Roman" w:hAnsi="Calibri" w:cs="Times New Roman"/>
          <w:b/>
          <w:bCs/>
          <w:kern w:val="1"/>
          <w:lang w:eastAsia="ar-SA"/>
        </w:rPr>
        <w:lastRenderedPageBreak/>
        <w:t>I.</w:t>
      </w:r>
    </w:p>
    <w:p w14:paraId="752DD28F" w14:textId="29137A27" w:rsidR="00AD4039" w:rsidRDefault="00BD614E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>
        <w:rPr>
          <w:rFonts w:ascii="Calibri" w:eastAsia="Times New Roman" w:hAnsi="Calibri" w:cs="Times New Roman"/>
          <w:b/>
          <w:bCs/>
          <w:kern w:val="1"/>
          <w:lang w:eastAsia="ar-SA"/>
        </w:rPr>
        <w:t xml:space="preserve">Předmět </w:t>
      </w:r>
      <w:r w:rsidR="00A84D80">
        <w:rPr>
          <w:rFonts w:ascii="Calibri" w:eastAsia="Times New Roman" w:hAnsi="Calibri" w:cs="Times New Roman"/>
          <w:b/>
          <w:bCs/>
          <w:kern w:val="1"/>
          <w:lang w:eastAsia="ar-SA"/>
        </w:rPr>
        <w:t>dodatku</w:t>
      </w:r>
    </w:p>
    <w:p w14:paraId="79F3BE11" w14:textId="77777777" w:rsidR="00C17E69" w:rsidRPr="00AD4039" w:rsidRDefault="00C17E6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6488D492" w14:textId="77777777" w:rsidR="00A84D80" w:rsidRDefault="00A84D80" w:rsidP="00A84D80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cs="Calibri"/>
        </w:rPr>
      </w:pPr>
      <w:r w:rsidRPr="00A84D80">
        <w:rPr>
          <w:rFonts w:cs="Calibri"/>
        </w:rPr>
        <w:t>S ohledem na skutečnosti uvedené v čl. 1. a na vzájemné obchodní vztahy se smluvní strany dohodly na změně následujících ustanovení Smlouvy:</w:t>
      </w:r>
    </w:p>
    <w:p w14:paraId="3763226B" w14:textId="77777777" w:rsidR="00A84D80" w:rsidRPr="00A84D80" w:rsidRDefault="00A84D80" w:rsidP="00A84D80">
      <w:pPr>
        <w:suppressAutoHyphens/>
        <w:spacing w:after="0" w:line="100" w:lineRule="atLeast"/>
        <w:ind w:left="567"/>
        <w:jc w:val="both"/>
        <w:rPr>
          <w:rFonts w:cs="Calibri"/>
        </w:rPr>
      </w:pPr>
    </w:p>
    <w:p w14:paraId="1A48684D" w14:textId="12C1FF12" w:rsidR="005A6788" w:rsidRPr="00A84D80" w:rsidRDefault="00A84D80" w:rsidP="00A84D80">
      <w:pPr>
        <w:pStyle w:val="Odstavecseseznamem"/>
        <w:numPr>
          <w:ilvl w:val="0"/>
          <w:numId w:val="33"/>
        </w:numPr>
        <w:suppressAutoHyphens/>
        <w:spacing w:after="0" w:line="100" w:lineRule="atLeast"/>
        <w:jc w:val="both"/>
        <w:rPr>
          <w:rFonts w:cs="Calibri"/>
        </w:rPr>
      </w:pPr>
      <w:r>
        <w:rPr>
          <w:rFonts w:cs="Calibri"/>
        </w:rPr>
        <w:t>Předmět Smlouvy</w:t>
      </w:r>
    </w:p>
    <w:p w14:paraId="66D6248B" w14:textId="01840BF9" w:rsidR="007E27A6" w:rsidRPr="00C0220D" w:rsidRDefault="007E27A6" w:rsidP="00C0220D">
      <w:pPr>
        <w:pStyle w:val="Odstavecseseznamem"/>
        <w:numPr>
          <w:ilvl w:val="1"/>
          <w:numId w:val="33"/>
        </w:numPr>
        <w:suppressAutoHyphens/>
        <w:spacing w:after="0" w:line="100" w:lineRule="atLeast"/>
        <w:jc w:val="both"/>
        <w:rPr>
          <w:rFonts w:cs="Calibri"/>
        </w:rPr>
      </w:pPr>
      <w:r w:rsidRPr="006A057E">
        <w:rPr>
          <w:rFonts w:cs="Calibri"/>
        </w:rPr>
        <w:t xml:space="preserve">Bude-li mezi smluvními stranami nejpozději do </w:t>
      </w:r>
      <w:proofErr w:type="gramStart"/>
      <w:r w:rsidR="006A057E" w:rsidRPr="006A057E">
        <w:rPr>
          <w:rFonts w:cs="Calibri"/>
        </w:rPr>
        <w:t>31</w:t>
      </w:r>
      <w:r w:rsidR="00C0220D" w:rsidRPr="006A057E">
        <w:rPr>
          <w:rFonts w:cs="Calibri"/>
        </w:rPr>
        <w:t>.</w:t>
      </w:r>
      <w:r w:rsidR="006A057E" w:rsidRPr="006A057E">
        <w:rPr>
          <w:rFonts w:cs="Calibri"/>
        </w:rPr>
        <w:t>7</w:t>
      </w:r>
      <w:r w:rsidR="00C0220D" w:rsidRPr="006A057E">
        <w:rPr>
          <w:rFonts w:cs="Calibri"/>
        </w:rPr>
        <w:t>.20</w:t>
      </w:r>
      <w:r w:rsidR="006A057E" w:rsidRPr="006A057E">
        <w:rPr>
          <w:rFonts w:cs="Calibri"/>
        </w:rPr>
        <w:t>20</w:t>
      </w:r>
      <w:proofErr w:type="gramEnd"/>
      <w:r w:rsidRPr="006A057E">
        <w:rPr>
          <w:rFonts w:cs="Calibri"/>
        </w:rPr>
        <w:t xml:space="preserve"> uzavřena</w:t>
      </w:r>
      <w:r w:rsidR="00CD09EC" w:rsidRPr="006A057E">
        <w:rPr>
          <w:rFonts w:cs="Calibri"/>
        </w:rPr>
        <w:t xml:space="preserve"> </w:t>
      </w:r>
      <w:r w:rsidR="00563268" w:rsidRPr="006A057E">
        <w:rPr>
          <w:rFonts w:cs="Calibri"/>
        </w:rPr>
        <w:t xml:space="preserve">jak </w:t>
      </w:r>
      <w:r w:rsidR="00CD09EC" w:rsidRPr="006A057E">
        <w:rPr>
          <w:rFonts w:cs="Calibri"/>
        </w:rPr>
        <w:t xml:space="preserve">shora specifikovaná </w:t>
      </w:r>
      <w:r w:rsidR="00CD09EC" w:rsidRPr="006A057E">
        <w:rPr>
          <w:rFonts w:ascii="Calibri" w:eastAsia="Times New Roman" w:hAnsi="Calibri" w:cs="Times New Roman"/>
          <w:kern w:val="1"/>
          <w:lang w:eastAsia="ar-SA"/>
        </w:rPr>
        <w:t>smlouva o</w:t>
      </w:r>
      <w:r w:rsidR="00CD09EC" w:rsidRPr="00C0220D">
        <w:rPr>
          <w:rFonts w:ascii="Calibri" w:eastAsia="Times New Roman" w:hAnsi="Calibri" w:cs="Times New Roman"/>
          <w:kern w:val="1"/>
          <w:lang w:eastAsia="ar-SA"/>
        </w:rPr>
        <w:t xml:space="preserve"> smlouvě budoucí nájemní</w:t>
      </w:r>
      <w:r w:rsidR="00563268" w:rsidRPr="00C0220D">
        <w:rPr>
          <w:rFonts w:ascii="Calibri" w:eastAsia="Times New Roman" w:hAnsi="Calibri" w:cs="Times New Roman"/>
          <w:kern w:val="1"/>
          <w:lang w:eastAsia="ar-SA"/>
        </w:rPr>
        <w:t>, tak i</w:t>
      </w:r>
      <w:r w:rsidR="00563268" w:rsidRPr="00C0220D">
        <w:rPr>
          <w:rFonts w:cs="Calibri"/>
        </w:rPr>
        <w:t xml:space="preserve"> </w:t>
      </w:r>
      <w:r w:rsidRPr="00C0220D">
        <w:rPr>
          <w:rFonts w:cs="Calibri"/>
        </w:rPr>
        <w:t xml:space="preserve">nájemní smlouva na shora uvedené nově pronajaté prostory, bude </w:t>
      </w:r>
      <w:r w:rsidR="006327F9" w:rsidRPr="00C0220D">
        <w:rPr>
          <w:rFonts w:cs="Calibri"/>
        </w:rPr>
        <w:t xml:space="preserve">záloha na </w:t>
      </w:r>
      <w:r w:rsidR="00AD5116" w:rsidRPr="00C0220D">
        <w:rPr>
          <w:rFonts w:cs="Calibri"/>
        </w:rPr>
        <w:t>budoucí nájemné použita</w:t>
      </w:r>
      <w:r w:rsidRPr="00C0220D">
        <w:rPr>
          <w:rFonts w:cs="Calibri"/>
        </w:rPr>
        <w:t xml:space="preserve"> jako </w:t>
      </w:r>
      <w:r w:rsidR="006327F9" w:rsidRPr="00C0220D">
        <w:rPr>
          <w:rFonts w:cs="Calibri"/>
        </w:rPr>
        <w:t xml:space="preserve">platba </w:t>
      </w:r>
      <w:r w:rsidRPr="00C0220D">
        <w:rPr>
          <w:rFonts w:cs="Calibri"/>
        </w:rPr>
        <w:t>nájemné</w:t>
      </w:r>
      <w:r w:rsidR="006327F9" w:rsidRPr="00C0220D">
        <w:rPr>
          <w:rFonts w:cs="Calibri"/>
        </w:rPr>
        <w:t>ho</w:t>
      </w:r>
      <w:r w:rsidRPr="00C0220D">
        <w:rPr>
          <w:rFonts w:cs="Calibri"/>
        </w:rPr>
        <w:t xml:space="preserve">, což se smluvní strany zavazují v nájemní smlouvě sjednat. </w:t>
      </w:r>
    </w:p>
    <w:p w14:paraId="4044C8C7" w14:textId="77777777" w:rsidR="007E27A6" w:rsidRPr="00E53213" w:rsidRDefault="007E27A6" w:rsidP="007E27A6">
      <w:pPr>
        <w:suppressAutoHyphens/>
        <w:spacing w:after="0" w:line="100" w:lineRule="atLeast"/>
        <w:ind w:left="567"/>
        <w:jc w:val="both"/>
        <w:rPr>
          <w:rFonts w:cs="Calibri"/>
        </w:rPr>
      </w:pPr>
    </w:p>
    <w:p w14:paraId="29D763CB" w14:textId="0AE76467" w:rsidR="007E27A6" w:rsidRPr="00C0220D" w:rsidRDefault="007E27A6" w:rsidP="00C0220D">
      <w:pPr>
        <w:pStyle w:val="Odstavecseseznamem"/>
        <w:numPr>
          <w:ilvl w:val="1"/>
          <w:numId w:val="33"/>
        </w:numPr>
        <w:suppressAutoHyphens/>
        <w:spacing w:after="0" w:line="100" w:lineRule="atLeast"/>
        <w:jc w:val="both"/>
        <w:rPr>
          <w:rFonts w:cs="Calibri"/>
        </w:rPr>
      </w:pPr>
      <w:r w:rsidRPr="00C0220D">
        <w:rPr>
          <w:rFonts w:cs="Calibri"/>
        </w:rPr>
        <w:t xml:space="preserve">Pro případ, že k uzavření zamýšlené </w:t>
      </w:r>
      <w:r w:rsidR="00CD09EC" w:rsidRPr="00C0220D">
        <w:rPr>
          <w:rFonts w:cs="Calibri"/>
        </w:rPr>
        <w:t xml:space="preserve">shora specifikované </w:t>
      </w:r>
      <w:r w:rsidR="00CD09EC" w:rsidRPr="00C0220D">
        <w:rPr>
          <w:rFonts w:ascii="Calibri" w:eastAsia="Times New Roman" w:hAnsi="Calibri" w:cs="Times New Roman"/>
          <w:kern w:val="1"/>
          <w:lang w:eastAsia="ar-SA"/>
        </w:rPr>
        <w:t>smlouvy o smlouvě budoucí nájemní</w:t>
      </w:r>
      <w:r w:rsidR="00CD09EC" w:rsidRPr="00C0220D">
        <w:rPr>
          <w:rFonts w:cs="Calibri"/>
        </w:rPr>
        <w:t xml:space="preserve"> a </w:t>
      </w:r>
      <w:r w:rsidRPr="00C0220D">
        <w:rPr>
          <w:rFonts w:cs="Calibri"/>
        </w:rPr>
        <w:t xml:space="preserve">nájemní </w:t>
      </w:r>
      <w:r w:rsidRPr="006A057E">
        <w:rPr>
          <w:rFonts w:cs="Calibri"/>
        </w:rPr>
        <w:t xml:space="preserve">smlouvy na shora uvedené nově pronajaté prostory nedojde </w:t>
      </w:r>
      <w:r w:rsidR="006327F9" w:rsidRPr="006A057E">
        <w:rPr>
          <w:rFonts w:cs="Calibri"/>
        </w:rPr>
        <w:t xml:space="preserve">nejpozději </w:t>
      </w:r>
      <w:r w:rsidRPr="006A057E">
        <w:rPr>
          <w:rFonts w:cs="Calibri"/>
        </w:rPr>
        <w:t xml:space="preserve">do </w:t>
      </w:r>
      <w:proofErr w:type="gramStart"/>
      <w:r w:rsidR="006A057E" w:rsidRPr="006A057E">
        <w:rPr>
          <w:rFonts w:cs="Calibri"/>
        </w:rPr>
        <w:t>31.7.2020</w:t>
      </w:r>
      <w:proofErr w:type="gramEnd"/>
      <w:r w:rsidRPr="006A057E">
        <w:rPr>
          <w:rFonts w:cs="Calibri"/>
        </w:rPr>
        <w:t>, nevznikne BIC</w:t>
      </w:r>
      <w:r w:rsidRPr="00C0220D">
        <w:rPr>
          <w:rFonts w:cs="Calibri"/>
        </w:rPr>
        <w:t xml:space="preserve"> Plzeň povinnost zálohu na </w:t>
      </w:r>
      <w:r w:rsidR="00AD5116" w:rsidRPr="00C0220D">
        <w:rPr>
          <w:rFonts w:cs="Calibri"/>
        </w:rPr>
        <w:t>budoucí nájemné</w:t>
      </w:r>
      <w:r w:rsidRPr="00C0220D">
        <w:rPr>
          <w:rFonts w:cs="Calibri"/>
        </w:rPr>
        <w:t xml:space="preserve"> </w:t>
      </w:r>
      <w:r w:rsidR="006327F9" w:rsidRPr="00C0220D">
        <w:rPr>
          <w:rFonts w:cs="Calibri"/>
        </w:rPr>
        <w:t>Partnerovi</w:t>
      </w:r>
      <w:r w:rsidRPr="00C0220D">
        <w:rPr>
          <w:rFonts w:cs="Calibri"/>
        </w:rPr>
        <w:t xml:space="preserve"> vrátit, tedy zálohově poskytnuté plnění propadne ve prospěch BIC Plzeň.</w:t>
      </w:r>
    </w:p>
    <w:p w14:paraId="471C32FF" w14:textId="77777777" w:rsidR="00ED40A7" w:rsidRPr="00AD4039" w:rsidRDefault="00ED40A7" w:rsidP="00A2029B">
      <w:pPr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kern w:val="1"/>
          <w:lang w:eastAsia="ar-SA"/>
        </w:rPr>
      </w:pPr>
    </w:p>
    <w:p w14:paraId="1FDD28B8" w14:textId="77777777" w:rsidR="00C163CE" w:rsidRDefault="00C163CE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026FEAA5" w14:textId="77777777" w:rsidR="00AD4039" w:rsidRPr="00AD4039" w:rsidRDefault="00AD403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 w:rsidRPr="00AD4039">
        <w:rPr>
          <w:rFonts w:ascii="Calibri" w:eastAsia="Times New Roman" w:hAnsi="Calibri" w:cs="Times New Roman"/>
          <w:b/>
          <w:bCs/>
          <w:kern w:val="1"/>
          <w:lang w:eastAsia="ar-SA"/>
        </w:rPr>
        <w:t>II.</w:t>
      </w:r>
    </w:p>
    <w:p w14:paraId="30BC8A94" w14:textId="7A9C687B" w:rsidR="002F28D4" w:rsidRPr="00C0220D" w:rsidRDefault="002F28D4" w:rsidP="00C0220D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C0220D">
        <w:rPr>
          <w:rFonts w:ascii="Calibri" w:eastAsia="Times New Roman" w:hAnsi="Calibri" w:cs="Times New Roman"/>
          <w:b/>
          <w:bCs/>
          <w:kern w:val="1"/>
          <w:lang w:eastAsia="ar-SA"/>
        </w:rPr>
        <w:t>Závěrečná ustanovení</w:t>
      </w:r>
    </w:p>
    <w:p w14:paraId="4C1D1AFE" w14:textId="77777777" w:rsidR="009759DD" w:rsidRDefault="009759DD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1AC35471" w14:textId="77777777" w:rsidR="00A84D80" w:rsidRDefault="00A84D80" w:rsidP="00C0220D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A84D80">
        <w:rPr>
          <w:rFonts w:ascii="Calibri" w:eastAsia="Times New Roman" w:hAnsi="Calibri" w:cs="Times New Roman"/>
          <w:bCs/>
          <w:lang w:eastAsia="cs-CZ"/>
        </w:rPr>
        <w:t>Ostatní ujednání Smlouvy zůstávají uzavřením tohoto dodatku nedotčeny.</w:t>
      </w:r>
    </w:p>
    <w:p w14:paraId="564B79ED" w14:textId="77777777" w:rsidR="00A84D80" w:rsidRDefault="00A84D80" w:rsidP="00C0220D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4302203B" w14:textId="77777777" w:rsidR="00A84D80" w:rsidRPr="00A84D80" w:rsidRDefault="00A84D80" w:rsidP="00C0220D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A84D80">
        <w:rPr>
          <w:rFonts w:ascii="Calibri" w:eastAsia="Times New Roman" w:hAnsi="Calibri" w:cs="Times New Roman"/>
          <w:bCs/>
          <w:lang w:eastAsia="cs-CZ"/>
        </w:rPr>
        <w:t>Tato ujednání se řídí právním řádem ČR.</w:t>
      </w:r>
    </w:p>
    <w:p w14:paraId="2891660C" w14:textId="77777777" w:rsidR="00A84D80" w:rsidRDefault="00A84D80" w:rsidP="00C0220D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439B58FE" w14:textId="77777777" w:rsidR="00A84D80" w:rsidRPr="00A84D80" w:rsidRDefault="00A84D80" w:rsidP="00C0220D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A84D80">
        <w:rPr>
          <w:rFonts w:ascii="Calibri" w:eastAsia="Times New Roman" w:hAnsi="Calibri" w:cs="Times New Roman"/>
          <w:bCs/>
          <w:lang w:eastAsia="cs-CZ"/>
        </w:rPr>
        <w:t>Změny a doplňky je možno činit pouze písemnou formou.</w:t>
      </w:r>
    </w:p>
    <w:p w14:paraId="6D0491E1" w14:textId="77777777" w:rsidR="00A84D80" w:rsidRDefault="00A84D80" w:rsidP="00C0220D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39B1CEC8" w14:textId="77777777" w:rsidR="00A84D80" w:rsidRDefault="00A84D80" w:rsidP="00C0220D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A84D80">
        <w:rPr>
          <w:rFonts w:ascii="Calibri" w:eastAsia="Times New Roman" w:hAnsi="Calibri" w:cs="Times New Roman"/>
          <w:bCs/>
          <w:lang w:eastAsia="cs-CZ"/>
        </w:rPr>
        <w:t>Dodatek se vyhotovuje ve dvou stejnopisech, z nichž každá strana obdrží po jednom.</w:t>
      </w:r>
    </w:p>
    <w:p w14:paraId="4B78775F" w14:textId="77777777" w:rsidR="006E366F" w:rsidRPr="006E366F" w:rsidRDefault="006E366F" w:rsidP="006E366F">
      <w:pPr>
        <w:pStyle w:val="Odstavecseseznamem"/>
        <w:rPr>
          <w:rFonts w:ascii="Calibri" w:eastAsia="Times New Roman" w:hAnsi="Calibri" w:cs="Times New Roman"/>
          <w:bCs/>
          <w:lang w:eastAsia="cs-CZ"/>
        </w:rPr>
      </w:pPr>
    </w:p>
    <w:p w14:paraId="75E774CB" w14:textId="2753AAC5" w:rsidR="006E366F" w:rsidRPr="006E366F" w:rsidRDefault="006E366F" w:rsidP="006E366F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6E366F">
        <w:rPr>
          <w:rFonts w:ascii="Calibri" w:eastAsia="Times New Roman" w:hAnsi="Calibri" w:cs="Times New Roman"/>
          <w:bCs/>
          <w:lang w:eastAsia="cs-CZ"/>
        </w:rPr>
        <w:t xml:space="preserve">Smluvní strany berou na vědomí, že </w:t>
      </w:r>
      <w:r>
        <w:rPr>
          <w:rFonts w:ascii="Calibri" w:eastAsia="Times New Roman" w:hAnsi="Calibri" w:cs="Times New Roman"/>
          <w:bCs/>
          <w:lang w:eastAsia="cs-CZ"/>
        </w:rPr>
        <w:t>BIC</w:t>
      </w:r>
      <w:r w:rsidRPr="006E366F">
        <w:rPr>
          <w:rFonts w:ascii="Calibri" w:eastAsia="Times New Roman" w:hAnsi="Calibri" w:cs="Times New Roman"/>
          <w:bCs/>
          <w:lang w:eastAsia="cs-CZ"/>
        </w:rPr>
        <w:t xml:space="preserve"> Plzeň, jako subjekt povinný zveřejňovat smlouvy dle zákona č. 340/2015 Sb., o zvláštních podmínkách účinnosti některých smluv, uveřejňování těchto smluv a o registru smluv (zákon o registru smluv), zajistí uveřejnění </w:t>
      </w:r>
      <w:r>
        <w:rPr>
          <w:rFonts w:ascii="Calibri" w:eastAsia="Times New Roman" w:hAnsi="Calibri" w:cs="Times New Roman"/>
          <w:bCs/>
          <w:lang w:eastAsia="cs-CZ"/>
        </w:rPr>
        <w:t>dodatku i S</w:t>
      </w:r>
      <w:r w:rsidRPr="006E366F">
        <w:rPr>
          <w:rFonts w:ascii="Calibri" w:eastAsia="Times New Roman" w:hAnsi="Calibri" w:cs="Times New Roman"/>
          <w:bCs/>
          <w:lang w:eastAsia="cs-CZ"/>
        </w:rPr>
        <w:t>mlouvy v souladu s citovaným zákonem.</w:t>
      </w:r>
    </w:p>
    <w:p w14:paraId="635D556E" w14:textId="77777777" w:rsidR="00A84D80" w:rsidRDefault="00A84D80" w:rsidP="00C0220D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7556A592" w14:textId="77777777" w:rsidR="00A84D80" w:rsidRPr="00A84D80" w:rsidRDefault="00A84D80" w:rsidP="00C0220D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A84D80">
        <w:rPr>
          <w:rFonts w:ascii="Calibri" w:eastAsia="Times New Roman" w:hAnsi="Calibri" w:cs="Times New Roman"/>
          <w:bCs/>
          <w:lang w:eastAsia="cs-CZ"/>
        </w:rPr>
        <w:t>Na důkaz souhlasu se skutečnostmi shora uvedenými připojují účastníci níže své vlastnoruční podpisy.</w:t>
      </w:r>
    </w:p>
    <w:p w14:paraId="03904F1C" w14:textId="77777777" w:rsidR="00A84D80" w:rsidRPr="00C17E69" w:rsidRDefault="00A84D80" w:rsidP="00A84D80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6EA38795" w14:textId="77777777" w:rsidR="009135C7" w:rsidRDefault="009135C7" w:rsidP="0030133D">
      <w:pPr>
        <w:ind w:left="567"/>
      </w:pPr>
    </w:p>
    <w:p w14:paraId="129550CC" w14:textId="4AC5C8C4" w:rsidR="009E6E96" w:rsidRDefault="009E6E96" w:rsidP="0030133D">
      <w:pPr>
        <w:ind w:left="567"/>
      </w:pPr>
      <w:r w:rsidRPr="00E53213">
        <w:t>V</w:t>
      </w:r>
      <w:r w:rsidR="00E95DB2" w:rsidRPr="00E53213">
        <w:t xml:space="preserve"> Plzni </w:t>
      </w:r>
      <w:r w:rsidRPr="00E53213">
        <w:t xml:space="preserve">dne </w:t>
      </w:r>
      <w:proofErr w:type="gramStart"/>
      <w:r w:rsidR="0009063A">
        <w:t>20</w:t>
      </w:r>
      <w:r w:rsidR="00B25139" w:rsidRPr="00E53213">
        <w:t>.</w:t>
      </w:r>
      <w:r w:rsidR="0009063A">
        <w:t>3</w:t>
      </w:r>
      <w:r w:rsidR="00E53213" w:rsidRPr="00E53213">
        <w:t>.</w:t>
      </w:r>
      <w:r w:rsidR="00C0220D">
        <w:t>201</w:t>
      </w:r>
      <w:r w:rsidR="0009063A">
        <w:t>9</w:t>
      </w:r>
      <w:proofErr w:type="gramEnd"/>
    </w:p>
    <w:p w14:paraId="05496AB8" w14:textId="77777777" w:rsidR="009E6E96" w:rsidRDefault="009E6E96" w:rsidP="0030133D">
      <w:pPr>
        <w:ind w:left="567"/>
        <w:rPr>
          <w:b/>
        </w:rPr>
      </w:pPr>
    </w:p>
    <w:p w14:paraId="6C8FC8B1" w14:textId="77777777" w:rsidR="009E6E96" w:rsidRDefault="0030133D" w:rsidP="0030133D">
      <w:pPr>
        <w:ind w:left="567"/>
        <w:rPr>
          <w:rStyle w:val="preformatted"/>
        </w:rPr>
      </w:pPr>
      <w:r>
        <w:rPr>
          <w:rStyle w:val="Siln"/>
        </w:rPr>
        <w:t>BIC Plzeň, společnost s ručením omezeným</w:t>
      </w:r>
      <w:r w:rsidR="009E6E96">
        <w:rPr>
          <w:b/>
        </w:rPr>
        <w:tab/>
      </w:r>
      <w:r w:rsidR="009E6E96">
        <w:rPr>
          <w:b/>
        </w:rPr>
        <w:tab/>
      </w:r>
      <w:r w:rsidR="00FA674A" w:rsidRPr="00FA674A">
        <w:rPr>
          <w:rStyle w:val="preformatted"/>
          <w:b/>
        </w:rPr>
        <w:t>KONTRON ECT design s.r.o.</w:t>
      </w:r>
    </w:p>
    <w:p w14:paraId="702B70C8" w14:textId="77777777" w:rsidR="00E95DB2" w:rsidRDefault="00E95DB2" w:rsidP="0030133D">
      <w:pPr>
        <w:ind w:left="567"/>
      </w:pPr>
    </w:p>
    <w:p w14:paraId="4D92A616" w14:textId="77777777" w:rsidR="009E6E96" w:rsidRDefault="009E6E96" w:rsidP="0030133D">
      <w:pPr>
        <w:spacing w:after="0"/>
        <w:ind w:left="567"/>
      </w:pPr>
      <w:r>
        <w:t>______________________________</w:t>
      </w:r>
      <w:r>
        <w:tab/>
      </w:r>
      <w:r>
        <w:tab/>
      </w:r>
      <w:r>
        <w:tab/>
        <w:t>________________________________</w:t>
      </w:r>
    </w:p>
    <w:p w14:paraId="0DFA7688" w14:textId="686270E8" w:rsidR="009E6E96" w:rsidRDefault="00554AE5" w:rsidP="0030133D">
      <w:pPr>
        <w:spacing w:after="0"/>
        <w:ind w:left="567"/>
      </w:pPr>
      <w:r>
        <w:t>Ing. Jana Klementová, jednatelka</w:t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30133D">
        <w:rPr>
          <w:rFonts w:ascii="Calibri" w:eastAsia="Times New Roman" w:hAnsi="Calibri" w:cs="Times New Roman"/>
          <w:kern w:val="1"/>
          <w:lang w:eastAsia="ar-SA"/>
        </w:rPr>
        <w:tab/>
      </w:r>
      <w:r w:rsidR="00A37B5E">
        <w:t xml:space="preserve">                                            </w:t>
      </w:r>
      <w:bookmarkStart w:id="0" w:name="_GoBack"/>
      <w:bookmarkEnd w:id="0"/>
      <w:r w:rsidR="00FA674A">
        <w:t>, jednatel</w:t>
      </w:r>
    </w:p>
    <w:p w14:paraId="5CA1FF65" w14:textId="77777777" w:rsidR="0030133D" w:rsidRDefault="0030133D" w:rsidP="0030133D">
      <w:pPr>
        <w:spacing w:after="0"/>
        <w:ind w:left="567"/>
      </w:pPr>
    </w:p>
    <w:p w14:paraId="4DCFA42D" w14:textId="77777777" w:rsidR="00E95DB2" w:rsidRDefault="00E95DB2" w:rsidP="0030133D">
      <w:pPr>
        <w:spacing w:after="0"/>
        <w:ind w:left="567"/>
      </w:pPr>
    </w:p>
    <w:p w14:paraId="31DA2E10" w14:textId="77777777" w:rsidR="0030133D" w:rsidRDefault="0030133D" w:rsidP="0030133D">
      <w:pPr>
        <w:spacing w:after="0"/>
        <w:ind w:left="567"/>
      </w:pPr>
    </w:p>
    <w:p w14:paraId="1A25DBE1" w14:textId="77777777" w:rsidR="0030133D" w:rsidRDefault="0030133D" w:rsidP="0030133D">
      <w:pPr>
        <w:spacing w:after="0"/>
        <w:ind w:left="567"/>
      </w:pPr>
      <w:r>
        <w:t>______________________________</w:t>
      </w:r>
    </w:p>
    <w:p w14:paraId="397105D4" w14:textId="77777777" w:rsidR="0030133D" w:rsidRDefault="0030133D" w:rsidP="0030133D">
      <w:pPr>
        <w:spacing w:after="0"/>
        <w:ind w:left="567"/>
      </w:pPr>
      <w:r>
        <w:rPr>
          <w:rFonts w:ascii="Calibri" w:eastAsia="Times New Roman" w:hAnsi="Calibri" w:cs="Times New Roman"/>
          <w:kern w:val="1"/>
          <w:lang w:eastAsia="ar-SA"/>
        </w:rPr>
        <w:t>Ing. Filip Uhlík, jednatel</w:t>
      </w:r>
    </w:p>
    <w:sectPr w:rsidR="0030133D" w:rsidSect="00F94AAF">
      <w:pgSz w:w="11906" w:h="16838" w:code="9"/>
      <w:pgMar w:top="1134" w:right="851" w:bottom="1021" w:left="102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168906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6A1CA5"/>
    <w:multiLevelType w:val="multilevel"/>
    <w:tmpl w:val="46FCB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696320"/>
    <w:multiLevelType w:val="hybridMultilevel"/>
    <w:tmpl w:val="B3BCD036"/>
    <w:lvl w:ilvl="0" w:tplc="A768C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6389"/>
    <w:multiLevelType w:val="multilevel"/>
    <w:tmpl w:val="84787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753B6"/>
    <w:multiLevelType w:val="hybridMultilevel"/>
    <w:tmpl w:val="DEEED0AE"/>
    <w:lvl w:ilvl="0" w:tplc="EEDAB1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1727"/>
    <w:multiLevelType w:val="hybridMultilevel"/>
    <w:tmpl w:val="3D182A20"/>
    <w:lvl w:ilvl="0" w:tplc="75D2801A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DB1461"/>
    <w:multiLevelType w:val="multilevel"/>
    <w:tmpl w:val="22F80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70459C"/>
    <w:multiLevelType w:val="multilevel"/>
    <w:tmpl w:val="67E89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BA24A8"/>
    <w:multiLevelType w:val="multilevel"/>
    <w:tmpl w:val="13F2B19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73ED1"/>
    <w:multiLevelType w:val="hybridMultilevel"/>
    <w:tmpl w:val="FD2C4424"/>
    <w:lvl w:ilvl="0" w:tplc="3D985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14BFF"/>
    <w:multiLevelType w:val="multilevel"/>
    <w:tmpl w:val="86283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9962837"/>
    <w:multiLevelType w:val="hybridMultilevel"/>
    <w:tmpl w:val="5458185C"/>
    <w:lvl w:ilvl="0" w:tplc="D5A48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96D4A"/>
    <w:multiLevelType w:val="multilevel"/>
    <w:tmpl w:val="F9CA3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4C1DA7"/>
    <w:multiLevelType w:val="hybridMultilevel"/>
    <w:tmpl w:val="A82882AC"/>
    <w:lvl w:ilvl="0" w:tplc="F9C48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E627B"/>
    <w:multiLevelType w:val="hybridMultilevel"/>
    <w:tmpl w:val="3F40E506"/>
    <w:lvl w:ilvl="0" w:tplc="008C69B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D7668C"/>
    <w:multiLevelType w:val="multilevel"/>
    <w:tmpl w:val="CDF27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795A7C"/>
    <w:multiLevelType w:val="multilevel"/>
    <w:tmpl w:val="3D426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98B5146"/>
    <w:multiLevelType w:val="multilevel"/>
    <w:tmpl w:val="3D6847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ED526E0"/>
    <w:multiLevelType w:val="multilevel"/>
    <w:tmpl w:val="22F80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175B4E"/>
    <w:multiLevelType w:val="multilevel"/>
    <w:tmpl w:val="AD703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21473"/>
    <w:multiLevelType w:val="multilevel"/>
    <w:tmpl w:val="AD7034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92F37"/>
    <w:multiLevelType w:val="hybridMultilevel"/>
    <w:tmpl w:val="EB305788"/>
    <w:lvl w:ilvl="0" w:tplc="5A62F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072EE3"/>
    <w:multiLevelType w:val="multilevel"/>
    <w:tmpl w:val="D89EC6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B014EA"/>
    <w:multiLevelType w:val="multilevel"/>
    <w:tmpl w:val="22F804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FA07E15"/>
    <w:multiLevelType w:val="multilevel"/>
    <w:tmpl w:val="1A98B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530EBF"/>
    <w:multiLevelType w:val="hybridMultilevel"/>
    <w:tmpl w:val="BD00338C"/>
    <w:lvl w:ilvl="0" w:tplc="6FCC5664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4F50904"/>
    <w:multiLevelType w:val="multilevel"/>
    <w:tmpl w:val="092E9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B03926"/>
    <w:multiLevelType w:val="hybridMultilevel"/>
    <w:tmpl w:val="E1C4A794"/>
    <w:lvl w:ilvl="0" w:tplc="71AA0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F5F88"/>
    <w:multiLevelType w:val="hybridMultilevel"/>
    <w:tmpl w:val="CA08323E"/>
    <w:lvl w:ilvl="0" w:tplc="C758FA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B185D"/>
    <w:multiLevelType w:val="hybridMultilevel"/>
    <w:tmpl w:val="13A4008A"/>
    <w:lvl w:ilvl="0" w:tplc="A000B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23652"/>
    <w:multiLevelType w:val="multilevel"/>
    <w:tmpl w:val="22F80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A613DE5"/>
    <w:multiLevelType w:val="multilevel"/>
    <w:tmpl w:val="22F80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BB478B5"/>
    <w:multiLevelType w:val="multilevel"/>
    <w:tmpl w:val="22F804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11"/>
  </w:num>
  <w:num w:numId="5">
    <w:abstractNumId w:val="25"/>
  </w:num>
  <w:num w:numId="6">
    <w:abstractNumId w:val="13"/>
  </w:num>
  <w:num w:numId="7">
    <w:abstractNumId w:val="31"/>
  </w:num>
  <w:num w:numId="8">
    <w:abstractNumId w:val="18"/>
  </w:num>
  <w:num w:numId="9">
    <w:abstractNumId w:val="28"/>
  </w:num>
  <w:num w:numId="10">
    <w:abstractNumId w:val="9"/>
  </w:num>
  <w:num w:numId="11">
    <w:abstractNumId w:val="30"/>
  </w:num>
  <w:num w:numId="12">
    <w:abstractNumId w:val="6"/>
  </w:num>
  <w:num w:numId="13">
    <w:abstractNumId w:val="23"/>
  </w:num>
  <w:num w:numId="14">
    <w:abstractNumId w:val="32"/>
  </w:num>
  <w:num w:numId="15">
    <w:abstractNumId w:val="21"/>
  </w:num>
  <w:num w:numId="16">
    <w:abstractNumId w:val="5"/>
  </w:num>
  <w:num w:numId="17">
    <w:abstractNumId w:val="7"/>
  </w:num>
  <w:num w:numId="18">
    <w:abstractNumId w:val="4"/>
  </w:num>
  <w:num w:numId="19">
    <w:abstractNumId w:val="17"/>
  </w:num>
  <w:num w:numId="20">
    <w:abstractNumId w:val="1"/>
  </w:num>
  <w:num w:numId="21">
    <w:abstractNumId w:val="16"/>
  </w:num>
  <w:num w:numId="22">
    <w:abstractNumId w:val="14"/>
  </w:num>
  <w:num w:numId="23">
    <w:abstractNumId w:val="12"/>
  </w:num>
  <w:num w:numId="24">
    <w:abstractNumId w:val="3"/>
  </w:num>
  <w:num w:numId="25">
    <w:abstractNumId w:val="24"/>
  </w:num>
  <w:num w:numId="26">
    <w:abstractNumId w:val="27"/>
  </w:num>
  <w:num w:numId="27">
    <w:abstractNumId w:val="2"/>
  </w:num>
  <w:num w:numId="28">
    <w:abstractNumId w:val="22"/>
  </w:num>
  <w:num w:numId="29">
    <w:abstractNumId w:val="19"/>
  </w:num>
  <w:num w:numId="30">
    <w:abstractNumId w:val="20"/>
  </w:num>
  <w:num w:numId="31">
    <w:abstractNumId w:val="29"/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92"/>
    <w:rsid w:val="0007370E"/>
    <w:rsid w:val="00081965"/>
    <w:rsid w:val="0009063A"/>
    <w:rsid w:val="00094C3D"/>
    <w:rsid w:val="000E0863"/>
    <w:rsid w:val="001042BF"/>
    <w:rsid w:val="00134E1D"/>
    <w:rsid w:val="00183A42"/>
    <w:rsid w:val="001F181D"/>
    <w:rsid w:val="00222A7D"/>
    <w:rsid w:val="00263478"/>
    <w:rsid w:val="002E416C"/>
    <w:rsid w:val="002F28D4"/>
    <w:rsid w:val="0030133D"/>
    <w:rsid w:val="003522C5"/>
    <w:rsid w:val="0035374E"/>
    <w:rsid w:val="00380F8A"/>
    <w:rsid w:val="003854DD"/>
    <w:rsid w:val="003A258C"/>
    <w:rsid w:val="003C1F8F"/>
    <w:rsid w:val="003D32C8"/>
    <w:rsid w:val="003E4453"/>
    <w:rsid w:val="00490E4D"/>
    <w:rsid w:val="00497C09"/>
    <w:rsid w:val="004A5663"/>
    <w:rsid w:val="004D1088"/>
    <w:rsid w:val="004D1D76"/>
    <w:rsid w:val="00525A25"/>
    <w:rsid w:val="0053506A"/>
    <w:rsid w:val="00554AE5"/>
    <w:rsid w:val="00563268"/>
    <w:rsid w:val="00585BC4"/>
    <w:rsid w:val="00595BA3"/>
    <w:rsid w:val="005A6788"/>
    <w:rsid w:val="005B5B08"/>
    <w:rsid w:val="005B6103"/>
    <w:rsid w:val="005D389D"/>
    <w:rsid w:val="005E2B72"/>
    <w:rsid w:val="005E4EAA"/>
    <w:rsid w:val="005F4C69"/>
    <w:rsid w:val="005F57E3"/>
    <w:rsid w:val="00615228"/>
    <w:rsid w:val="006327F9"/>
    <w:rsid w:val="00651400"/>
    <w:rsid w:val="006623BC"/>
    <w:rsid w:val="006A057E"/>
    <w:rsid w:val="006C7E02"/>
    <w:rsid w:val="006E366F"/>
    <w:rsid w:val="006E447A"/>
    <w:rsid w:val="006E65FA"/>
    <w:rsid w:val="007624CB"/>
    <w:rsid w:val="007666D4"/>
    <w:rsid w:val="007879C5"/>
    <w:rsid w:val="007E27A6"/>
    <w:rsid w:val="008261E8"/>
    <w:rsid w:val="0082722B"/>
    <w:rsid w:val="00883EAB"/>
    <w:rsid w:val="0088786A"/>
    <w:rsid w:val="008B59EC"/>
    <w:rsid w:val="008C6D4B"/>
    <w:rsid w:val="008F5358"/>
    <w:rsid w:val="0090035C"/>
    <w:rsid w:val="009135C7"/>
    <w:rsid w:val="0094654A"/>
    <w:rsid w:val="0095437F"/>
    <w:rsid w:val="009759DD"/>
    <w:rsid w:val="00975D13"/>
    <w:rsid w:val="009852F6"/>
    <w:rsid w:val="009A6A38"/>
    <w:rsid w:val="009D7D1C"/>
    <w:rsid w:val="009E1769"/>
    <w:rsid w:val="009E2BD8"/>
    <w:rsid w:val="009E6E96"/>
    <w:rsid w:val="00A2029B"/>
    <w:rsid w:val="00A251CE"/>
    <w:rsid w:val="00A340E5"/>
    <w:rsid w:val="00A37B5E"/>
    <w:rsid w:val="00A43195"/>
    <w:rsid w:val="00A472D2"/>
    <w:rsid w:val="00A73D31"/>
    <w:rsid w:val="00A808E3"/>
    <w:rsid w:val="00A84D80"/>
    <w:rsid w:val="00AD4039"/>
    <w:rsid w:val="00AD5116"/>
    <w:rsid w:val="00AE4430"/>
    <w:rsid w:val="00AE7701"/>
    <w:rsid w:val="00AF7722"/>
    <w:rsid w:val="00B25139"/>
    <w:rsid w:val="00B37EEE"/>
    <w:rsid w:val="00B65FBA"/>
    <w:rsid w:val="00BA08E3"/>
    <w:rsid w:val="00BA10A4"/>
    <w:rsid w:val="00BA6BB0"/>
    <w:rsid w:val="00BD614E"/>
    <w:rsid w:val="00C0220D"/>
    <w:rsid w:val="00C105A2"/>
    <w:rsid w:val="00C163CE"/>
    <w:rsid w:val="00C17E69"/>
    <w:rsid w:val="00C935B6"/>
    <w:rsid w:val="00CA366F"/>
    <w:rsid w:val="00CB646D"/>
    <w:rsid w:val="00CC768D"/>
    <w:rsid w:val="00CD09EC"/>
    <w:rsid w:val="00CD739A"/>
    <w:rsid w:val="00CE6E10"/>
    <w:rsid w:val="00CF366B"/>
    <w:rsid w:val="00D301B9"/>
    <w:rsid w:val="00D346E8"/>
    <w:rsid w:val="00D37289"/>
    <w:rsid w:val="00D45457"/>
    <w:rsid w:val="00DA6247"/>
    <w:rsid w:val="00DD1592"/>
    <w:rsid w:val="00E17B9F"/>
    <w:rsid w:val="00E42EE0"/>
    <w:rsid w:val="00E53213"/>
    <w:rsid w:val="00E65726"/>
    <w:rsid w:val="00E7407A"/>
    <w:rsid w:val="00E80F41"/>
    <w:rsid w:val="00E923F8"/>
    <w:rsid w:val="00E93A98"/>
    <w:rsid w:val="00E95DB2"/>
    <w:rsid w:val="00EB3136"/>
    <w:rsid w:val="00ED40A7"/>
    <w:rsid w:val="00EF3943"/>
    <w:rsid w:val="00F057E5"/>
    <w:rsid w:val="00F30E5E"/>
    <w:rsid w:val="00F53490"/>
    <w:rsid w:val="00F813AF"/>
    <w:rsid w:val="00F94AAF"/>
    <w:rsid w:val="00F95DFC"/>
    <w:rsid w:val="00F96EE9"/>
    <w:rsid w:val="00FA674A"/>
    <w:rsid w:val="00FC7F2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5EDA"/>
  <w15:docId w15:val="{AEA15747-D784-4010-8BF0-3997F91E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9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3D3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2C8"/>
    <w:rPr>
      <w:sz w:val="20"/>
      <w:szCs w:val="20"/>
    </w:rPr>
  </w:style>
  <w:style w:type="character" w:styleId="Odkaznakoment">
    <w:name w:val="annotation reference"/>
    <w:semiHidden/>
    <w:rsid w:val="003D32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2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D40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0E5E"/>
    <w:pPr>
      <w:ind w:left="720"/>
      <w:contextualSpacing/>
    </w:pPr>
  </w:style>
  <w:style w:type="paragraph" w:customStyle="1" w:styleId="StylSmluv2">
    <w:name w:val="StylSmluv2"/>
    <w:rsid w:val="00222A7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20" w:after="60" w:line="240" w:lineRule="auto"/>
      <w:ind w:left="567" w:hanging="567"/>
      <w:jc w:val="both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A251CE"/>
    <w:rPr>
      <w:b/>
      <w:bCs/>
    </w:rPr>
  </w:style>
  <w:style w:type="paragraph" w:styleId="Normlnweb">
    <w:name w:val="Normal (Web)"/>
    <w:basedOn w:val="Normln"/>
    <w:uiPriority w:val="99"/>
    <w:unhideWhenUsed/>
    <w:rsid w:val="00A2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251CE"/>
  </w:style>
  <w:style w:type="character" w:customStyle="1" w:styleId="preformatted">
    <w:name w:val="preformatted"/>
    <w:basedOn w:val="Standardnpsmoodstavce"/>
    <w:rsid w:val="00FA67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5A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F181D"/>
    <w:rPr>
      <w:color w:val="0000FF" w:themeColor="hyperlink"/>
      <w:u w:val="single"/>
    </w:rPr>
  </w:style>
  <w:style w:type="paragraph" w:customStyle="1" w:styleId="Odstavecsmlouvy">
    <w:name w:val="Odstavec smlouvy"/>
    <w:basedOn w:val="Normln"/>
    <w:link w:val="OdstavecsmlouvyChar"/>
    <w:qFormat/>
    <w:rsid w:val="00A84D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OdstavecsmlouvyChar">
    <w:name w:val="Odstavec smlouvy Char"/>
    <w:link w:val="Odstavecsmlouvy"/>
    <w:rsid w:val="00A84D8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F097-2967-4F3C-97CE-65BCE122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Prunner</dc:creator>
  <cp:lastModifiedBy>Radka</cp:lastModifiedBy>
  <cp:revision>9</cp:revision>
  <cp:lastPrinted>2017-02-16T08:38:00Z</cp:lastPrinted>
  <dcterms:created xsi:type="dcterms:W3CDTF">2019-03-14T13:07:00Z</dcterms:created>
  <dcterms:modified xsi:type="dcterms:W3CDTF">2019-03-22T08:10:00Z</dcterms:modified>
</cp:coreProperties>
</file>