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F2" w:rsidRPr="00D52EF2" w:rsidRDefault="00D52EF2" w:rsidP="00D52EF2">
      <w:pPr>
        <w:pStyle w:val="Nadpis10"/>
        <w:keepNext/>
        <w:keepLines/>
        <w:shd w:val="clear" w:color="auto" w:fill="auto"/>
        <w:spacing w:before="0" w:after="1080"/>
        <w:jc w:val="left"/>
        <w:rPr>
          <w:b w:val="0"/>
          <w:sz w:val="22"/>
          <w:szCs w:val="22"/>
        </w:rPr>
      </w:pPr>
      <w:bookmarkStart w:id="0" w:name="bookmark0"/>
      <w:bookmarkStart w:id="1" w:name="bookmark1"/>
      <w:proofErr w:type="gramStart"/>
      <w:r w:rsidRPr="00D52EF2">
        <w:rPr>
          <w:b w:val="0"/>
          <w:sz w:val="22"/>
          <w:szCs w:val="22"/>
        </w:rPr>
        <w:t>Č.j.</w:t>
      </w:r>
      <w:proofErr w:type="gramEnd"/>
      <w:r w:rsidRPr="00D52EF2">
        <w:rPr>
          <w:b w:val="0"/>
          <w:sz w:val="22"/>
          <w:szCs w:val="22"/>
        </w:rPr>
        <w:t xml:space="preserve"> NG 452/2019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   NFA 0456/2019</w:t>
      </w:r>
    </w:p>
    <w:p w:rsidR="00B57B72" w:rsidRDefault="002F50F9" w:rsidP="00D52EF2">
      <w:pPr>
        <w:pStyle w:val="Nadpis10"/>
        <w:keepNext/>
        <w:keepLines/>
        <w:shd w:val="clear" w:color="auto" w:fill="auto"/>
        <w:spacing w:before="120"/>
      </w:pPr>
      <w:r>
        <w:t>RÁMCOVÁ SMLOUVA O SPOLUPRÁCI</w:t>
      </w:r>
      <w:bookmarkEnd w:id="0"/>
      <w:bookmarkEnd w:id="1"/>
    </w:p>
    <w:p w:rsidR="00B57B72" w:rsidRDefault="002F50F9">
      <w:pPr>
        <w:pStyle w:val="Nadpis30"/>
        <w:keepNext/>
        <w:keepLines/>
        <w:shd w:val="clear" w:color="auto" w:fill="auto"/>
        <w:spacing w:after="0"/>
        <w:jc w:val="left"/>
      </w:pPr>
      <w:bookmarkStart w:id="2" w:name="bookmark2"/>
      <w:bookmarkStart w:id="3" w:name="bookmark3"/>
      <w:r>
        <w:t>Národní galerie v Praze</w:t>
      </w:r>
      <w:bookmarkEnd w:id="2"/>
      <w:bookmarkEnd w:id="3"/>
    </w:p>
    <w:p w:rsidR="00B57B72" w:rsidRDefault="002F50F9">
      <w:pPr>
        <w:pStyle w:val="Zkladntext1"/>
        <w:shd w:val="clear" w:color="auto" w:fill="auto"/>
        <w:spacing w:after="0"/>
      </w:pPr>
      <w:r>
        <w:t>se sídlem: Staroměstské nám. 12, 110 15, Praha 1</w:t>
      </w:r>
    </w:p>
    <w:p w:rsidR="00B57B72" w:rsidRDefault="002F50F9">
      <w:pPr>
        <w:pStyle w:val="Zkladntext1"/>
        <w:shd w:val="clear" w:color="auto" w:fill="auto"/>
        <w:spacing w:after="0"/>
      </w:pPr>
      <w:r>
        <w:t>IČ: 00023281</w:t>
      </w:r>
    </w:p>
    <w:p w:rsidR="00B57B72" w:rsidRDefault="002F50F9">
      <w:pPr>
        <w:pStyle w:val="Zkladntext1"/>
        <w:shd w:val="clear" w:color="auto" w:fill="auto"/>
        <w:spacing w:after="0"/>
      </w:pPr>
      <w:r>
        <w:t>DIČ: CZ00023281</w:t>
      </w:r>
    </w:p>
    <w:p w:rsidR="00B57B72" w:rsidRDefault="002F50F9">
      <w:pPr>
        <w:pStyle w:val="Zkladntext1"/>
        <w:shd w:val="clear" w:color="auto" w:fill="auto"/>
        <w:spacing w:after="0"/>
      </w:pPr>
      <w:r>
        <w:t xml:space="preserve">zastoupená </w:t>
      </w:r>
      <w:r>
        <w:rPr>
          <w:lang w:val="en-US" w:eastAsia="en-US" w:bidi="en-US"/>
        </w:rPr>
        <w:t xml:space="preserve">doc. </w:t>
      </w:r>
      <w:r>
        <w:t>Dr. et Ing. Jiřím Fajtem, Ph.D., generálním ředitelem</w:t>
      </w:r>
    </w:p>
    <w:p w:rsidR="00B57B72" w:rsidRDefault="002F50F9">
      <w:pPr>
        <w:pStyle w:val="Zkladntext1"/>
        <w:shd w:val="clear" w:color="auto" w:fill="auto"/>
        <w:spacing w:after="240"/>
      </w:pPr>
      <w:r>
        <w:t xml:space="preserve">(dále jen </w:t>
      </w:r>
      <w:r>
        <w:rPr>
          <w:b/>
          <w:bCs/>
        </w:rPr>
        <w:t>„NGP“)</w:t>
      </w:r>
    </w:p>
    <w:p w:rsidR="00B57B72" w:rsidRDefault="002F50F9">
      <w:pPr>
        <w:pStyle w:val="Nadpis30"/>
        <w:keepNext/>
        <w:keepLines/>
        <w:shd w:val="clear" w:color="auto" w:fill="auto"/>
        <w:jc w:val="both"/>
      </w:pPr>
      <w:bookmarkStart w:id="4" w:name="bookmark4"/>
      <w:bookmarkStart w:id="5" w:name="bookmark5"/>
      <w:r>
        <w:t>a</w:t>
      </w:r>
      <w:bookmarkEnd w:id="4"/>
      <w:bookmarkEnd w:id="5"/>
    </w:p>
    <w:p w:rsidR="00B57B72" w:rsidRDefault="002F50F9">
      <w:pPr>
        <w:pStyle w:val="Nadpis30"/>
        <w:keepNext/>
        <w:keepLines/>
        <w:shd w:val="clear" w:color="auto" w:fill="auto"/>
        <w:spacing w:after="0"/>
        <w:jc w:val="left"/>
      </w:pPr>
      <w:bookmarkStart w:id="6" w:name="bookmark6"/>
      <w:bookmarkStart w:id="7" w:name="bookmark7"/>
      <w:r>
        <w:t xml:space="preserve">Národní filmový archiv, </w:t>
      </w:r>
      <w:r>
        <w:rPr>
          <w:b w:val="0"/>
          <w:bCs w:val="0"/>
        </w:rPr>
        <w:t>příspěvková</w:t>
      </w:r>
      <w:r>
        <w:rPr>
          <w:b w:val="0"/>
          <w:bCs w:val="0"/>
        </w:rPr>
        <w:t xml:space="preserve"> organizace</w:t>
      </w:r>
      <w:bookmarkEnd w:id="6"/>
      <w:bookmarkEnd w:id="7"/>
    </w:p>
    <w:p w:rsidR="00B57B72" w:rsidRDefault="002F50F9">
      <w:pPr>
        <w:pStyle w:val="Zkladntext1"/>
        <w:shd w:val="clear" w:color="auto" w:fill="auto"/>
        <w:spacing w:after="0"/>
      </w:pPr>
      <w:r>
        <w:t>se sídlem Praha 3, Malešická 12, Praha 3</w:t>
      </w:r>
    </w:p>
    <w:p w:rsidR="00B57B72" w:rsidRDefault="002F50F9">
      <w:pPr>
        <w:pStyle w:val="Zkladntext1"/>
        <w:shd w:val="clear" w:color="auto" w:fill="auto"/>
        <w:spacing w:after="0"/>
      </w:pPr>
      <w:r>
        <w:t>IČ: 000 57 266,</w:t>
      </w:r>
    </w:p>
    <w:p w:rsidR="00B57B72" w:rsidRDefault="002F50F9">
      <w:pPr>
        <w:pStyle w:val="Zkladntext1"/>
        <w:shd w:val="clear" w:color="auto" w:fill="auto"/>
        <w:spacing w:after="0"/>
      </w:pPr>
      <w:r>
        <w:t>DIČ: CZ 000 57 266</w:t>
      </w:r>
    </w:p>
    <w:p w:rsidR="00B57B72" w:rsidRDefault="002F50F9">
      <w:pPr>
        <w:pStyle w:val="Zkladntext1"/>
        <w:shd w:val="clear" w:color="auto" w:fill="auto"/>
        <w:spacing w:after="0"/>
      </w:pPr>
      <w:r>
        <w:t xml:space="preserve">zastoupený PhDr. Michalem </w:t>
      </w:r>
      <w:proofErr w:type="spellStart"/>
      <w:r>
        <w:t>Bregantem</w:t>
      </w:r>
      <w:proofErr w:type="spellEnd"/>
      <w:r>
        <w:t>, generálním ředitelem</w:t>
      </w:r>
    </w:p>
    <w:p w:rsidR="00B57B72" w:rsidRDefault="002F50F9">
      <w:pPr>
        <w:pStyle w:val="Zkladntext1"/>
        <w:shd w:val="clear" w:color="auto" w:fill="auto"/>
        <w:spacing w:after="240"/>
      </w:pPr>
      <w:r>
        <w:t xml:space="preserve">(dále jen </w:t>
      </w:r>
      <w:r>
        <w:rPr>
          <w:b/>
          <w:bCs/>
        </w:rPr>
        <w:t>„NFA“)</w:t>
      </w:r>
    </w:p>
    <w:p w:rsidR="00B57B72" w:rsidRDefault="002F50F9">
      <w:pPr>
        <w:pStyle w:val="Zkladntext1"/>
        <w:shd w:val="clear" w:color="auto" w:fill="auto"/>
        <w:spacing w:after="840"/>
        <w:jc w:val="both"/>
      </w:pPr>
      <w:r>
        <w:t>uzavírají v souladu s ustanovením§ 1746 odst. 2 zák. č. 89/2012 Sb., občanský zákoník, tuto R</w:t>
      </w:r>
      <w:r>
        <w:t>ámcovou smlouvu o spolupráci (dále jen „smlouva“)</w:t>
      </w:r>
    </w:p>
    <w:p w:rsidR="00B57B72" w:rsidRDefault="002F50F9">
      <w:pPr>
        <w:pStyle w:val="Nadpis30"/>
        <w:keepNext/>
        <w:keepLines/>
        <w:numPr>
          <w:ilvl w:val="0"/>
          <w:numId w:val="1"/>
        </w:numPr>
        <w:shd w:val="clear" w:color="auto" w:fill="auto"/>
      </w:pPr>
      <w:bookmarkStart w:id="8" w:name="bookmark8"/>
      <w:bookmarkStart w:id="9" w:name="bookmark9"/>
      <w:r>
        <w:br/>
        <w:t>Preambule</w:t>
      </w:r>
      <w:bookmarkEnd w:id="8"/>
      <w:bookmarkEnd w:id="9"/>
    </w:p>
    <w:p w:rsidR="00B57B72" w:rsidRDefault="002F50F9">
      <w:pPr>
        <w:pStyle w:val="Zkladntext1"/>
        <w:numPr>
          <w:ilvl w:val="0"/>
          <w:numId w:val="2"/>
        </w:numPr>
        <w:shd w:val="clear" w:color="auto" w:fill="auto"/>
        <w:tabs>
          <w:tab w:val="left" w:pos="347"/>
        </w:tabs>
        <w:spacing w:after="240"/>
        <w:ind w:left="360" w:hanging="360"/>
        <w:jc w:val="both"/>
      </w:pPr>
      <w:r>
        <w:t xml:space="preserve">NGP je státní příspěvkovou organizací zřízenou zákonem č. 148/1949 Sb. o Národní galerii v Praze, mj. pro odborné shromažďování, správu a zpřístupňování sbírek muzejní povahy a vědeckovýzkumnou </w:t>
      </w:r>
      <w:r>
        <w:t>činnost včetně činnosti kulturně výchovné a metodické s celostátní působností. NGP, jakožto výzkumná organizace provádí základní i aplikovaný výzkum a experimentální vývoj a šíří jejich výsledky prostřednictvím vědeckých publikací, výstav, výukových progra</w:t>
      </w:r>
      <w:r>
        <w:t>mů, metodik, případně převodem technologií.</w:t>
      </w:r>
    </w:p>
    <w:p w:rsidR="00B57B72" w:rsidRDefault="002F50F9">
      <w:pPr>
        <w:pStyle w:val="Zkladntext1"/>
        <w:numPr>
          <w:ilvl w:val="0"/>
          <w:numId w:val="2"/>
        </w:numPr>
        <w:shd w:val="clear" w:color="auto" w:fill="auto"/>
        <w:tabs>
          <w:tab w:val="left" w:pos="347"/>
        </w:tabs>
        <w:spacing w:after="240"/>
        <w:ind w:left="360" w:hanging="360"/>
        <w:jc w:val="both"/>
      </w:pPr>
      <w:r>
        <w:t>NFA je právnickou osobou ve formě příspěvkové organizace plně způsobilou k právnímu jednání, právům a povinnostem, plnící úlohu specializovaného archivu pro audiovizuální archiválie a zaměřenou mimo jiné na budov</w:t>
      </w:r>
      <w:r>
        <w:t>ání, ochranu, restaurování, vědecké zpracování a zpřístupňování národního filmového dědictví, resp. audiovizuálních archiválií, jakož i na všestranné šíření filmové kultury ve spolupráci s českými i zahraničními filmovými a kulturními institucemi. NFA se p</w:t>
      </w:r>
      <w:r>
        <w:t>odílí na výzkumných projektech zacílených na zachování a zpřístupnění kulturního a tvůrčího dědictví uměleckých děl.</w:t>
      </w:r>
    </w:p>
    <w:p w:rsidR="00B57B72" w:rsidRDefault="002F50F9">
      <w:pPr>
        <w:pStyle w:val="Zkladntext1"/>
        <w:numPr>
          <w:ilvl w:val="0"/>
          <w:numId w:val="2"/>
        </w:numPr>
        <w:shd w:val="clear" w:color="auto" w:fill="auto"/>
        <w:tabs>
          <w:tab w:val="left" w:pos="347"/>
        </w:tabs>
        <w:spacing w:after="240"/>
        <w:ind w:left="360" w:hanging="360"/>
        <w:jc w:val="both"/>
      </w:pPr>
      <w:r>
        <w:t>NGP a NFA mají společný zájem na podpoře vzdělávání, výzkumu, výstavní a publikační činnosti a prezentaci sbírek a za účelem vzájemné podpo</w:t>
      </w:r>
      <w:r>
        <w:t>ry a spolupráce v uvedených oblastech uzavírají ve společné shodě tuto smlouvu o spolupráci.</w:t>
      </w:r>
    </w:p>
    <w:p w:rsidR="00D52EF2" w:rsidRDefault="00D52EF2" w:rsidP="00D52EF2">
      <w:pPr>
        <w:pStyle w:val="Zkladntext1"/>
        <w:shd w:val="clear" w:color="auto" w:fill="auto"/>
        <w:tabs>
          <w:tab w:val="left" w:pos="347"/>
        </w:tabs>
        <w:spacing w:after="240"/>
        <w:jc w:val="both"/>
      </w:pPr>
    </w:p>
    <w:p w:rsidR="00D52EF2" w:rsidRDefault="00D52EF2" w:rsidP="00D52EF2">
      <w:pPr>
        <w:pStyle w:val="Zkladntext1"/>
        <w:shd w:val="clear" w:color="auto" w:fill="auto"/>
        <w:tabs>
          <w:tab w:val="left" w:pos="347"/>
        </w:tabs>
        <w:spacing w:after="240"/>
        <w:jc w:val="both"/>
      </w:pPr>
    </w:p>
    <w:p w:rsidR="00B57B72" w:rsidRDefault="002F50F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II.</w:t>
      </w:r>
    </w:p>
    <w:p w:rsidR="00B57B72" w:rsidRDefault="002F50F9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Předmět smlouvy</w:t>
      </w:r>
      <w:bookmarkEnd w:id="10"/>
      <w:bookmarkEnd w:id="11"/>
    </w:p>
    <w:p w:rsidR="00B57B72" w:rsidRDefault="002F50F9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240"/>
        <w:ind w:left="380" w:hanging="380"/>
        <w:jc w:val="both"/>
      </w:pPr>
      <w:r>
        <w:t xml:space="preserve">Předmětem této smlouvy je vymezení základních principů spolupráce smluvních stran v oblasti vzdělávání, výzkumu a výstavní činnosti a vymezení </w:t>
      </w:r>
      <w:r>
        <w:t>práv a povinností smluvních stran ve vztahu k těmto oblastem spolupráce a v souvislosti s nimi.</w:t>
      </w:r>
    </w:p>
    <w:p w:rsidR="00B57B72" w:rsidRDefault="002F50F9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240"/>
        <w:ind w:left="380" w:hanging="380"/>
        <w:jc w:val="both"/>
      </w:pPr>
      <w:r>
        <w:t>Konkrétní forma spolupráce smluvních stran na jednotlivých projektech může být blíže vymezena samostatnými smlouvami, jakožto prováděcími smlouvami k této smlou</w:t>
      </w:r>
      <w:r>
        <w:t>vě. Obě smluvní strany tímto deklarují svou svobodnou vůli ke vzájemné spolupráci při přípravě a realizaci konkrétních projektů zejména v oblasti vzdělávání a výzkumu, a to zejména tak, že se budou vzájemně oslovovat a hledat možnosti této spolupráce, přič</w:t>
      </w:r>
      <w:r>
        <w:t>emž jsou si vědomy, že aktivity jedné smluvní strany v žádném případě nesmějí poškodit stranu druhou.</w:t>
      </w:r>
    </w:p>
    <w:p w:rsidR="00B57B72" w:rsidRDefault="002F50F9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500"/>
        <w:ind w:left="380" w:hanging="380"/>
        <w:jc w:val="both"/>
      </w:pPr>
      <w:r>
        <w:t>Na základě této smlouvy jsou obě smluvní strany připraveny realizovat zejména níže popsané formy spolupráce.</w:t>
      </w:r>
    </w:p>
    <w:p w:rsidR="00B57B72" w:rsidRDefault="002F50F9">
      <w:pPr>
        <w:pStyle w:val="Zkladntext1"/>
        <w:shd w:val="clear" w:color="auto" w:fill="auto"/>
        <w:spacing w:after="0"/>
        <w:jc w:val="center"/>
      </w:pPr>
      <w:r>
        <w:rPr>
          <w:b/>
          <w:bCs/>
          <w:lang w:val="en-US" w:eastAsia="en-US" w:bidi="en-US"/>
        </w:rPr>
        <w:t>III.</w:t>
      </w:r>
    </w:p>
    <w:p w:rsidR="00B57B72" w:rsidRDefault="002F50F9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Bližší vymezení vzájemné spolupráce</w:t>
      </w:r>
      <w:bookmarkEnd w:id="12"/>
      <w:bookmarkEnd w:id="13"/>
    </w:p>
    <w:p w:rsidR="00B57B72" w:rsidRDefault="002F50F9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0"/>
        <w:ind w:left="380" w:hanging="380"/>
        <w:jc w:val="both"/>
      </w:pPr>
      <w:r>
        <w:t xml:space="preserve">Obě </w:t>
      </w:r>
      <w:r>
        <w:t>smluvní strany se zavazují poskytovat si vzájemnou součinnost při předem oběma smluvními stranami odsouhlasených výstavních, publikačních a výzkumných projektech a projektech pro prezentaci sbírek.</w:t>
      </w:r>
    </w:p>
    <w:p w:rsidR="00B57B72" w:rsidRDefault="002F50F9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0"/>
        <w:ind w:left="380" w:hanging="380"/>
        <w:jc w:val="both"/>
      </w:pPr>
      <w:r>
        <w:t xml:space="preserve">Smluvní strany budou vzájemně spolupracovat na přípravě a </w:t>
      </w:r>
      <w:r>
        <w:t>realizaci edukačních programů pro veřejnost i pro pracovníky obou smluvních stran, a to včetně organizace stáží, výměnných programů a kolokvií.</w:t>
      </w:r>
    </w:p>
    <w:p w:rsidR="00B57B72" w:rsidRDefault="002F50F9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0"/>
        <w:ind w:left="380" w:hanging="380"/>
        <w:jc w:val="both"/>
      </w:pPr>
      <w:r>
        <w:t xml:space="preserve">Smluvní strany budou vzájemně konzultovat akviziční a </w:t>
      </w:r>
      <w:proofErr w:type="spellStart"/>
      <w:r>
        <w:t>sbírkotvomé</w:t>
      </w:r>
      <w:proofErr w:type="spellEnd"/>
      <w:r>
        <w:t xml:space="preserve"> politiky v oblasti audiovizuálních děl.</w:t>
      </w:r>
    </w:p>
    <w:p w:rsidR="00B57B72" w:rsidRDefault="002F50F9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0"/>
        <w:ind w:left="380" w:hanging="380"/>
        <w:jc w:val="both"/>
      </w:pPr>
      <w:r>
        <w:t>Smluvn</w:t>
      </w:r>
      <w:r>
        <w:t>í strany budou vzájemně spolupracovat v oblasti vývoje uchovávání a restaurování audiovizuálních i jiných děl, přičemž smluvní strany respektují, že</w:t>
      </w:r>
    </w:p>
    <w:p w:rsidR="00B57B72" w:rsidRDefault="002F50F9">
      <w:pPr>
        <w:pStyle w:val="Zkladntext1"/>
        <w:numPr>
          <w:ilvl w:val="0"/>
          <w:numId w:val="5"/>
        </w:numPr>
        <w:shd w:val="clear" w:color="auto" w:fill="auto"/>
        <w:tabs>
          <w:tab w:val="left" w:pos="1096"/>
        </w:tabs>
        <w:spacing w:after="0"/>
        <w:ind w:left="1080" w:hanging="340"/>
      </w:pPr>
      <w:r>
        <w:t>NFA má expertízu mj. v dlouhodobém uchování audiovizuálních děl a jejich digitálním restaurování</w:t>
      </w:r>
    </w:p>
    <w:p w:rsidR="00B57B72" w:rsidRDefault="002F50F9">
      <w:pPr>
        <w:pStyle w:val="Zkladntext1"/>
        <w:numPr>
          <w:ilvl w:val="0"/>
          <w:numId w:val="5"/>
        </w:numPr>
        <w:shd w:val="clear" w:color="auto" w:fill="auto"/>
        <w:tabs>
          <w:tab w:val="left" w:pos="1096"/>
        </w:tabs>
        <w:spacing w:after="0"/>
        <w:ind w:left="1080" w:hanging="340"/>
      </w:pPr>
      <w:r>
        <w:t>NGP má exp</w:t>
      </w:r>
      <w:r>
        <w:t>ertízu mj. v restaurování a konzervování různých výtvarných i užitých médií a technik</w:t>
      </w:r>
    </w:p>
    <w:p w:rsidR="00B57B72" w:rsidRDefault="002F50F9">
      <w:pPr>
        <w:pStyle w:val="Zkladntext1"/>
        <w:shd w:val="clear" w:color="auto" w:fill="auto"/>
        <w:spacing w:after="500"/>
        <w:ind w:firstLine="720"/>
        <w:jc w:val="both"/>
      </w:pPr>
      <w:r>
        <w:t>a budou vzájemně spolupracovat na jejich dalším rozvoji a využití.</w:t>
      </w:r>
    </w:p>
    <w:p w:rsidR="00B57B72" w:rsidRDefault="002F50F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:rsidR="00B57B72" w:rsidRDefault="002F50F9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Další závazky smluvních stran</w:t>
      </w:r>
      <w:bookmarkEnd w:id="14"/>
      <w:bookmarkEnd w:id="15"/>
    </w:p>
    <w:p w:rsidR="00B57B72" w:rsidRDefault="002F50F9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spacing w:after="0" w:line="233" w:lineRule="auto"/>
        <w:jc w:val="both"/>
      </w:pPr>
      <w:r>
        <w:t>NGP poskytne NFA:</w:t>
      </w:r>
    </w:p>
    <w:p w:rsidR="00B57B72" w:rsidRDefault="002F50F9">
      <w:pPr>
        <w:pStyle w:val="Zkladntext1"/>
        <w:numPr>
          <w:ilvl w:val="0"/>
          <w:numId w:val="7"/>
        </w:numPr>
        <w:shd w:val="clear" w:color="auto" w:fill="auto"/>
        <w:tabs>
          <w:tab w:val="left" w:pos="1096"/>
        </w:tabs>
        <w:spacing w:after="240" w:line="233" w:lineRule="auto"/>
        <w:ind w:left="1080" w:hanging="340"/>
        <w:jc w:val="both"/>
      </w:pPr>
      <w:r>
        <w:t>Volné vstupy do všech expozic a výstav NGP pro zamě</w:t>
      </w:r>
      <w:r>
        <w:t>stnance NFA, kteří se prokáží kartou zaměstnance NFA (viz příloha č. 1).</w:t>
      </w:r>
    </w:p>
    <w:p w:rsidR="00B57B72" w:rsidRDefault="002F50F9">
      <w:pPr>
        <w:pStyle w:val="Zkladntext1"/>
        <w:numPr>
          <w:ilvl w:val="0"/>
          <w:numId w:val="7"/>
        </w:numPr>
        <w:shd w:val="clear" w:color="auto" w:fill="auto"/>
        <w:tabs>
          <w:tab w:val="left" w:pos="1096"/>
        </w:tabs>
        <w:spacing w:after="500"/>
        <w:ind w:left="1080" w:hanging="340"/>
        <w:jc w:val="both"/>
      </w:pPr>
      <w:r>
        <w:t>Zaměstnancům NFA na základě předložení zaměstnanecké karty možnost nákupu publikací vydaných NGP (od každé publikace 1 kus, pouze v prodejnách NGP) za pořizovací cenu, nejvýše však se</w:t>
      </w:r>
      <w:r>
        <w:t xml:space="preserve"> slevou 30% z prodejní ceny publikace, přičemž vždy bude připočtena aktuální výše DPH. Slevu dle tohoto ustanovení smlouvy není možno využít na již zlevněné publikace.</w:t>
      </w:r>
    </w:p>
    <w:p w:rsidR="00B57B72" w:rsidRDefault="002F50F9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spacing w:after="0"/>
        <w:jc w:val="both"/>
      </w:pPr>
      <w:r>
        <w:t>NFA poskytne NGP:</w:t>
      </w:r>
    </w:p>
    <w:p w:rsidR="00B57B72" w:rsidRDefault="002F50F9">
      <w:pPr>
        <w:pStyle w:val="Zkladntext1"/>
        <w:shd w:val="clear" w:color="auto" w:fill="auto"/>
        <w:spacing w:after="240"/>
        <w:ind w:left="1080" w:hanging="340"/>
        <w:jc w:val="both"/>
      </w:pPr>
      <w:r>
        <w:t xml:space="preserve">a. </w:t>
      </w:r>
      <w:r w:rsidR="00D52EF2">
        <w:t xml:space="preserve"> </w:t>
      </w:r>
      <w:r>
        <w:t xml:space="preserve">Volné vstupy na projekce pořádané NFA v kině </w:t>
      </w:r>
      <w:proofErr w:type="spellStart"/>
      <w:r>
        <w:t>Ponrepo</w:t>
      </w:r>
      <w:proofErr w:type="spellEnd"/>
      <w:r>
        <w:t xml:space="preserve"> pro zaměstnanc</w:t>
      </w:r>
      <w:r>
        <w:t>e NGP, kteří se prokáží kartou zaměstnance NGP (viz příloha č. 2).</w:t>
      </w:r>
    </w:p>
    <w:p w:rsidR="00B57B72" w:rsidRDefault="002F50F9">
      <w:pPr>
        <w:pStyle w:val="Zkladntext1"/>
        <w:shd w:val="clear" w:color="auto" w:fill="auto"/>
        <w:spacing w:after="500"/>
        <w:ind w:left="1120" w:hanging="360"/>
        <w:jc w:val="both"/>
      </w:pPr>
      <w:r>
        <w:lastRenderedPageBreak/>
        <w:t xml:space="preserve">b. </w:t>
      </w:r>
      <w:r w:rsidR="00D52EF2">
        <w:t xml:space="preserve">  </w:t>
      </w:r>
      <w:r>
        <w:t xml:space="preserve">Zaměstnancům NGP na základě předložení zaměstnanecké karty možnost nákupu publikací, DVD a </w:t>
      </w:r>
      <w:proofErr w:type="spellStart"/>
      <w:r>
        <w:t>Blu-ray</w:t>
      </w:r>
      <w:proofErr w:type="spellEnd"/>
      <w:r>
        <w:t xml:space="preserve"> disků vydaných NFA (od každého titulu 1 kus, pouze v prodejně NFA) za pořizovací cenu, </w:t>
      </w:r>
      <w:r>
        <w:t>nejvýše však se slevou 30% z prodejní ceny publikací nebo dalšího zboží, přičemž vždy bude připočtena aktuální výše DPH. Slevu dle tohoto ustanovení smlouvy není možno využít na již zlevněné publikace nebo jiné již zlevněné zboží.</w:t>
      </w:r>
    </w:p>
    <w:p w:rsidR="00B57B72" w:rsidRDefault="002F50F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V.</w:t>
      </w:r>
    </w:p>
    <w:p w:rsidR="00B57B72" w:rsidRDefault="002F50F9">
      <w:pPr>
        <w:pStyle w:val="Nadpis30"/>
        <w:keepNext/>
        <w:keepLines/>
        <w:shd w:val="clear" w:color="auto" w:fill="auto"/>
      </w:pPr>
      <w:bookmarkStart w:id="16" w:name="bookmark16"/>
      <w:bookmarkStart w:id="17" w:name="bookmark17"/>
      <w:r>
        <w:t>Další ujednání</w:t>
      </w:r>
      <w:bookmarkEnd w:id="16"/>
      <w:bookmarkEnd w:id="17"/>
    </w:p>
    <w:p w:rsidR="00B57B72" w:rsidRDefault="002F50F9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ind w:left="360" w:hanging="360"/>
        <w:jc w:val="both"/>
      </w:pPr>
      <w:r>
        <w:t>Smluvní</w:t>
      </w:r>
      <w:r>
        <w:t xml:space="preserve"> strany se dohodly na tom, že informace, dokumentace a výsledky práce, předané a vzniklé v souvislosti s plněním této smlouvy, případně jednotlivých prováděcích smluv, budou pokládány za důvěrné a nebudou bez dalšího neoprávněně poskytnuty třetí straně ani</w:t>
      </w:r>
      <w:r>
        <w:t xml:space="preserve"> využity jinak než pro účel pro který byly poskytnuty nebo vytvořeny a který vyplývá z této smlouvy nebo z jednotlivých prováděcích smluv.</w:t>
      </w:r>
    </w:p>
    <w:p w:rsidR="00B57B72" w:rsidRDefault="002F50F9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ind w:left="360" w:hanging="360"/>
        <w:jc w:val="both"/>
      </w:pPr>
      <w:r>
        <w:t>Smluvní strany se zavazují si vzájemně poskytovat veškeré informace nutné pro poskytování plnění dle této smlouvy, in</w:t>
      </w:r>
      <w:r>
        <w:t>formace o činnostech v rámci vzájemné spolupráce na projektech a o výsledcích vzájemné spolupráce.</w:t>
      </w:r>
    </w:p>
    <w:p w:rsidR="00B57B72" w:rsidRDefault="002F50F9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ind w:left="360" w:hanging="360"/>
        <w:jc w:val="both"/>
      </w:pPr>
      <w:r>
        <w:t xml:space="preserve">Nedohodnou-li se smluvní strany v konkrétním případě jinak, jsou veškeré informace, které získá jedna smluvní strana od druhé smluvní strany, a které nejsou </w:t>
      </w:r>
      <w:r>
        <w:t>obecně známé, považovány za důvěrné a smluvní strana, která je získala je povinna důvěrné informace uchovat v tajnosti a zajistit jejich dostatečnou ochranu a nesmí důvěrné informace použít za jiným účelem než k výkonu činností dle této smlouvy. Tato povin</w:t>
      </w:r>
      <w:r>
        <w:t>nost trvá i po ukončení této smlouvy. Výše uvedenými ustanoveními není dotčena povinnost k poskytnutí informací vyplývající ze zákona či jiného právního předpisu nebo soudního či správního rozhodnutí.</w:t>
      </w:r>
    </w:p>
    <w:p w:rsidR="00B57B72" w:rsidRDefault="002F50F9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ind w:left="360" w:hanging="360"/>
        <w:jc w:val="both"/>
      </w:pPr>
      <w:r>
        <w:t>V případě spolupráce smluvních stran na výzkumných proj</w:t>
      </w:r>
      <w:r>
        <w:t>ektech budou smluvní strany od počátku pracovat s ohledem na spravedlivé vykazování výsledků výzkumu. Způsob započítávání výsledků v rámci jednotlivých projektů bude stanoven na základě podílu, jímž ta která smluvní strana přispěla k dosažení započitatelný</w:t>
      </w:r>
      <w:r>
        <w:t>ch výsledků při realizaci projektu.</w:t>
      </w:r>
    </w:p>
    <w:p w:rsidR="00B57B72" w:rsidRDefault="002F50F9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ind w:left="360" w:hanging="360"/>
        <w:jc w:val="both"/>
      </w:pPr>
      <w:r>
        <w:t>Nebude-li dohodnuto jinak, bude při zveřejňování výsledků projektů vždy uvedeno, že projekt byl realizován za spolupráce obou smluvních stran.</w:t>
      </w:r>
    </w:p>
    <w:p w:rsidR="00B57B72" w:rsidRDefault="002F50F9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jc w:val="both"/>
      </w:pPr>
      <w:r>
        <w:t>Kontaktními osobami smluvních stran pro účely vzájemné spolupráce jsou:</w:t>
      </w:r>
    </w:p>
    <w:p w:rsidR="00B57B72" w:rsidRDefault="002F50F9">
      <w:pPr>
        <w:pStyle w:val="Zkladntext1"/>
        <w:numPr>
          <w:ilvl w:val="0"/>
          <w:numId w:val="9"/>
        </w:numPr>
        <w:shd w:val="clear" w:color="auto" w:fill="auto"/>
        <w:tabs>
          <w:tab w:val="left" w:pos="1100"/>
        </w:tabs>
        <w:spacing w:after="0"/>
        <w:ind w:firstLine="740"/>
        <w:jc w:val="both"/>
      </w:pPr>
      <w:r>
        <w:t xml:space="preserve">za NGP: </w:t>
      </w:r>
      <w:r w:rsidR="00D52EF2">
        <w:rPr>
          <w:lang w:val="en-US" w:eastAsia="en-US" w:bidi="en-US"/>
        </w:rPr>
        <w:t>XXXXXXXXXXX</w:t>
      </w:r>
      <w:r>
        <w:t xml:space="preserve">, </w:t>
      </w:r>
      <w:r w:rsidR="00D52EF2">
        <w:t>XXXXXXXXX</w:t>
      </w:r>
    </w:p>
    <w:p w:rsidR="00B57B72" w:rsidRDefault="002F50F9">
      <w:pPr>
        <w:pStyle w:val="Zkladntext1"/>
        <w:numPr>
          <w:ilvl w:val="0"/>
          <w:numId w:val="9"/>
        </w:numPr>
        <w:shd w:val="clear" w:color="auto" w:fill="auto"/>
        <w:tabs>
          <w:tab w:val="left" w:pos="1100"/>
        </w:tabs>
        <w:spacing w:after="400"/>
        <w:ind w:firstLine="740"/>
        <w:jc w:val="both"/>
      </w:pPr>
      <w:r>
        <w:t xml:space="preserve">za NFA: </w:t>
      </w:r>
      <w:r w:rsidR="00D52EF2">
        <w:t>XXXXXXXXXXXXX</w:t>
      </w:r>
    </w:p>
    <w:p w:rsidR="00B57B72" w:rsidRDefault="002F50F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:rsidR="00B57B72" w:rsidRDefault="002F50F9">
      <w:pPr>
        <w:pStyle w:val="Nadpis30"/>
        <w:keepNext/>
        <w:keepLines/>
        <w:shd w:val="clear" w:color="auto" w:fill="auto"/>
      </w:pPr>
      <w:bookmarkStart w:id="18" w:name="bookmark18"/>
      <w:bookmarkStart w:id="19" w:name="bookmark19"/>
      <w:r>
        <w:t>Závěrečná ujednání</w:t>
      </w:r>
      <w:bookmarkEnd w:id="18"/>
      <w:bookmarkEnd w:id="19"/>
    </w:p>
    <w:p w:rsidR="00B57B72" w:rsidRDefault="002F50F9">
      <w:pPr>
        <w:pStyle w:val="Zkladntext1"/>
        <w:numPr>
          <w:ilvl w:val="0"/>
          <w:numId w:val="10"/>
        </w:numPr>
        <w:shd w:val="clear" w:color="auto" w:fill="auto"/>
        <w:tabs>
          <w:tab w:val="left" w:pos="354"/>
        </w:tabs>
        <w:jc w:val="both"/>
      </w:pPr>
      <w:r>
        <w:t>Toto smlouva se uzavírá na dobu neurčitou s účinností od data svého podpisu.</w:t>
      </w:r>
    </w:p>
    <w:p w:rsidR="00B57B72" w:rsidRDefault="002F50F9">
      <w:pPr>
        <w:pStyle w:val="Zkladntext1"/>
        <w:numPr>
          <w:ilvl w:val="0"/>
          <w:numId w:val="10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Každá ze smluvních stran je oprávněna tuto smlouvu vypovědět i bez uvedení důvodu ve 2 </w:t>
      </w:r>
      <w:r>
        <w:t>měsíční výpovědní době, počínající běžet prvního dne měsíce následujícího po měsíci, v němž byla výpověď doručena druhé smluvní straně.</w:t>
      </w:r>
    </w:p>
    <w:p w:rsidR="00B57B72" w:rsidRDefault="002F50F9">
      <w:pPr>
        <w:pStyle w:val="Zkladntext1"/>
        <w:numPr>
          <w:ilvl w:val="0"/>
          <w:numId w:val="10"/>
        </w:numPr>
        <w:shd w:val="clear" w:color="auto" w:fill="auto"/>
        <w:tabs>
          <w:tab w:val="left" w:pos="354"/>
        </w:tabs>
        <w:ind w:left="360" w:hanging="360"/>
        <w:jc w:val="both"/>
      </w:pPr>
      <w:r>
        <w:t>V případě porušování či nedodržování podmínek v této smlouvě stanovených jednou smluvní stranou, jestliže nedojde k nápr</w:t>
      </w:r>
      <w:r>
        <w:t>avě bez zbytečného odkladu po písemném upozornění druhou smluvní stranou, je druhá smluvní strana oprávněna od smlouvy odstoupit s okamžitou účinností ke dni doručení písemného odstoupení.</w:t>
      </w:r>
    </w:p>
    <w:p w:rsidR="00B57B72" w:rsidRDefault="002F50F9">
      <w:pPr>
        <w:pStyle w:val="Zkladntext1"/>
        <w:numPr>
          <w:ilvl w:val="0"/>
          <w:numId w:val="10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Vyskytnou-li se události, které jedné smluvní straně částečně nebo </w:t>
      </w:r>
      <w:r>
        <w:t>úplně znemožní plnění jejích povinností dle této smlouvy, je o tom povinna bez zbytečného odkladu informovat druhou smluvní stranu a společně podniknout kroky k jejich překonání.</w:t>
      </w:r>
      <w:r>
        <w:br w:type="page"/>
      </w:r>
    </w:p>
    <w:p w:rsidR="00B57B72" w:rsidRDefault="002F50F9">
      <w:pPr>
        <w:pStyle w:val="Zkladntext1"/>
        <w:numPr>
          <w:ilvl w:val="0"/>
          <w:numId w:val="10"/>
        </w:numPr>
        <w:shd w:val="clear" w:color="auto" w:fill="auto"/>
        <w:tabs>
          <w:tab w:val="left" w:pos="361"/>
        </w:tabs>
        <w:spacing w:after="100"/>
        <w:ind w:left="380" w:hanging="380"/>
        <w:jc w:val="both"/>
      </w:pPr>
      <w:r>
        <w:lastRenderedPageBreak/>
        <w:t xml:space="preserve">Smluvní strany se dohodly, že tato smlouva může být měněno smlouvou </w:t>
      </w:r>
      <w:r>
        <w:t>smluvních stran pouze prostřednictvím písemných dodatků podepsanými oběma smluvními stranami.</w:t>
      </w:r>
    </w:p>
    <w:p w:rsidR="00B57B72" w:rsidRDefault="002F50F9">
      <w:pPr>
        <w:pStyle w:val="Zkladntext1"/>
        <w:numPr>
          <w:ilvl w:val="0"/>
          <w:numId w:val="10"/>
        </w:numPr>
        <w:shd w:val="clear" w:color="auto" w:fill="auto"/>
        <w:tabs>
          <w:tab w:val="left" w:pos="361"/>
        </w:tabs>
        <w:spacing w:after="100"/>
        <w:ind w:left="380" w:hanging="380"/>
        <w:jc w:val="both"/>
      </w:pPr>
      <w:r>
        <w:t>Pokud oddělitelné ustanovení této smlouvy je nebo se stane neplatným či nevynutitelným, nemá to vliv na platnost zbývajících ustanovení této smlouvy. V takovém př</w:t>
      </w:r>
      <w:r>
        <w:t>ípadě se strany této smlouvy zavazují uzavřít do 15 pracovních dnů od výzvy druhé ze smluvních stran dodatek k této smlouvě nahrazující oddělitelné ustanovení této smlouvy, které je neplatní či nevynutitelné, platným a vynutitelným ustanovením odpovídající</w:t>
      </w:r>
      <w:r>
        <w:t>m hospodářskému účelu takto nahrazovaného ustanovení.</w:t>
      </w:r>
    </w:p>
    <w:p w:rsidR="00B57B72" w:rsidRDefault="002F50F9">
      <w:pPr>
        <w:pStyle w:val="Zkladntext1"/>
        <w:numPr>
          <w:ilvl w:val="0"/>
          <w:numId w:val="10"/>
        </w:numPr>
        <w:shd w:val="clear" w:color="auto" w:fill="auto"/>
        <w:tabs>
          <w:tab w:val="left" w:pos="361"/>
        </w:tabs>
        <w:spacing w:after="100"/>
        <w:ind w:left="380" w:hanging="380"/>
        <w:jc w:val="both"/>
      </w:pPr>
      <w:r>
        <w:t>Vztahy touto smlouvou neupravené se řídí zejména příslušnými ustanoveními zákona č. 89/2012 Sb., občanský zákoník.</w:t>
      </w:r>
    </w:p>
    <w:p w:rsidR="00B57B72" w:rsidRDefault="002F50F9">
      <w:pPr>
        <w:pStyle w:val="Zkladntext1"/>
        <w:numPr>
          <w:ilvl w:val="0"/>
          <w:numId w:val="10"/>
        </w:numPr>
        <w:shd w:val="clear" w:color="auto" w:fill="auto"/>
        <w:tabs>
          <w:tab w:val="left" w:pos="361"/>
        </w:tabs>
        <w:spacing w:after="100"/>
        <w:ind w:left="380" w:hanging="380"/>
        <w:jc w:val="both"/>
      </w:pPr>
      <w:r>
        <w:t>Toto smlouva je vyhotovena ve dvou vyhotoveních, přičemž každá ze smluvních stran obdrž</w:t>
      </w:r>
      <w:r>
        <w:t>í jedno vyhotovení.</w:t>
      </w:r>
    </w:p>
    <w:p w:rsidR="00B57B72" w:rsidRDefault="002F50F9">
      <w:pPr>
        <w:pStyle w:val="Zkladntext1"/>
        <w:numPr>
          <w:ilvl w:val="0"/>
          <w:numId w:val="10"/>
        </w:numPr>
        <w:shd w:val="clear" w:color="auto" w:fill="auto"/>
        <w:tabs>
          <w:tab w:val="left" w:pos="361"/>
        </w:tabs>
        <w:spacing w:after="860"/>
        <w:ind w:left="380" w:hanging="380"/>
        <w:jc w:val="both"/>
      </w:pPr>
      <w: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</w:t>
      </w:r>
      <w:r>
        <w:t>provede NGP. Obě strany berou na vědomí, že nebudou uveřejněny pouze ty informace, které nelze poskytnout podle předpisů upravujících svobodný přístup k informacím. Považuje-li druhá smluvní strana některé informace uvedené v této smlouvě za informace, kte</w:t>
      </w:r>
      <w:r>
        <w:t>ré nemají být uveřejněny v registru smluv dle zákona o registru smluv, je povinna na to NGP současně s uzavřením této smlouvě písemně upozornit. Pokud se na tuto smlouvu vztahuje povinnost uveřejnění prostřednictvím registru smluv, nabývá tato smlouva účin</w:t>
      </w:r>
      <w:r>
        <w:t>nosti nejdříve dnem uveřejnění, ledaže se smluvní strany touto smlouvou dohodly na pozdějším datu účinnosti. Druhá smluvní strana výslovně souhlasí s tím, že NGP v případě pochybností o tom, zdaje dána povinnost uveřejnění této smlouvy v registru smluv, tu</w:t>
      </w:r>
      <w:r>
        <w:t>to smlouvu v zájmu transparentnosti a právní jistoty uveřejní.</w:t>
      </w:r>
    </w:p>
    <w:p w:rsidR="00B57B72" w:rsidRDefault="002F50F9">
      <w:pPr>
        <w:pStyle w:val="Zkladntext1"/>
        <w:shd w:val="clear" w:color="auto" w:fill="auto"/>
        <w:spacing w:after="0"/>
      </w:pPr>
      <w:r>
        <w:rPr>
          <w:i/>
          <w:iCs/>
        </w:rPr>
        <w:t>Příloha č. 1: Vzor zaměstnanecké karty NFA</w:t>
      </w:r>
    </w:p>
    <w:p w:rsidR="00B57B72" w:rsidRDefault="002F50F9">
      <w:pPr>
        <w:pStyle w:val="Zkladntext1"/>
        <w:shd w:val="clear" w:color="auto" w:fill="auto"/>
        <w:spacing w:after="2420"/>
      </w:pPr>
      <w:r>
        <w:rPr>
          <w:i/>
          <w:iCs/>
        </w:rPr>
        <w:t>Příloha č. 2: Vzor zaměstnanecké karty NGP</w:t>
      </w:r>
    </w:p>
    <w:p w:rsidR="00B57B72" w:rsidRDefault="00D52EF2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866691</wp:posOffset>
                </wp:positionH>
                <wp:positionV relativeFrom="margin">
                  <wp:posOffset>6481528</wp:posOffset>
                </wp:positionV>
                <wp:extent cx="1677725" cy="341906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5" cy="3419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7B72" w:rsidRDefault="00D52EF2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dot" w:pos="1458"/>
                              </w:tabs>
                            </w:pPr>
                            <w:r>
                              <w:t>V Praze dne  19. 3. 2019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8.25pt;margin-top:510.35pt;width:132.1pt;height:26.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" filled="f" stroked="f">
                <v:textbox inset="0,0,0,0">
                  <w:txbxContent>
                    <w:p w:rsidR="00B57B72" w:rsidRDefault="00D52EF2">
                      <w:pPr>
                        <w:pStyle w:val="Titulekobrzku0"/>
                        <w:shd w:val="clear" w:color="auto" w:fill="auto"/>
                        <w:tabs>
                          <w:tab w:val="left" w:leader="dot" w:pos="1458"/>
                        </w:tabs>
                      </w:pPr>
                      <w:r>
                        <w:t>V Praze dne  19. 3. 2019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B57B72" w:rsidRDefault="00D52EF2" w:rsidP="00D52EF2">
      <w:pPr>
        <w:pStyle w:val="Zkladntext1"/>
        <w:shd w:val="clear" w:color="auto" w:fill="auto"/>
        <w:tabs>
          <w:tab w:val="right" w:leader="dot" w:pos="4080"/>
        </w:tabs>
        <w:spacing w:after="100" w:line="180" w:lineRule="auto"/>
        <w:ind w:left="2616" w:firstLine="23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3975100</wp:posOffset>
                </wp:positionH>
                <wp:positionV relativeFrom="margin">
                  <wp:posOffset>7506914</wp:posOffset>
                </wp:positionV>
                <wp:extent cx="1593215" cy="353336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3533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2EF2" w:rsidRPr="00D52EF2" w:rsidRDefault="00D52EF2">
                            <w:pPr>
                              <w:pStyle w:val="Titulekobrzku0"/>
                              <w:shd w:val="clear" w:color="auto" w:fill="auto"/>
                              <w:rPr>
                                <w:b/>
                              </w:rPr>
                            </w:pPr>
                            <w:r w:rsidRPr="00D52EF2">
                              <w:rPr>
                                <w:b/>
                              </w:rPr>
                              <w:t>Národní galerie v Praze</w:t>
                            </w:r>
                          </w:p>
                          <w:p w:rsidR="00B57B72" w:rsidRDefault="002F50F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Dr. et Ing. </w:t>
                            </w:r>
                            <w:r>
                              <w:t>Jiří Fajt, Ph.D.,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7" type="#_x0000_t202" style="position:absolute;left:0;text-align:left;margin-left:313pt;margin-top:591.1pt;width:125.45pt;height:27.8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" filled="f" stroked="f">
                <v:textbox inset="0,0,0,0">
                  <w:txbxContent>
                    <w:p w:rsidR="00D52EF2" w:rsidRPr="00D52EF2" w:rsidRDefault="00D52EF2">
                      <w:pPr>
                        <w:pStyle w:val="Titulekobrzku0"/>
                        <w:shd w:val="clear" w:color="auto" w:fill="auto"/>
                        <w:rPr>
                          <w:b/>
                        </w:rPr>
                      </w:pPr>
                      <w:r w:rsidRPr="00D52EF2">
                        <w:rPr>
                          <w:b/>
                        </w:rPr>
                        <w:t>Národní galerie v Praze</w:t>
                      </w:r>
                    </w:p>
                    <w:p w:rsidR="00B57B72" w:rsidRDefault="002F50F9">
                      <w:pPr>
                        <w:pStyle w:val="Titulekobrzku0"/>
                        <w:shd w:val="clear" w:color="auto" w:fill="auto"/>
                      </w:pPr>
                      <w:r>
                        <w:t xml:space="preserve">Dr. et Ing. </w:t>
                      </w:r>
                      <w:r>
                        <w:t>Jiří Fajt, Ph.D.,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F50F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margin">
                  <wp:posOffset>7536180</wp:posOffset>
                </wp:positionV>
                <wp:extent cx="1442720" cy="5143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7B72" w:rsidRDefault="00D52EF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  <w:r w:rsidR="002F50F9">
                              <w:rPr>
                                <w:b/>
                                <w:bCs/>
                              </w:rPr>
                              <w:t>árodní filmový archiv</w:t>
                            </w:r>
                          </w:p>
                          <w:p w:rsidR="00B57B72" w:rsidRDefault="002F50F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PhDr. Michal </w:t>
                            </w:r>
                            <w:proofErr w:type="spellStart"/>
                            <w:r>
                              <w:t>Bregant</w:t>
                            </w:r>
                            <w:proofErr w:type="spellEnd"/>
                            <w:r>
                              <w:t>, generální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68.05pt;margin-top:593.4pt;width:113.6pt;height:40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" filled="f" stroked="f">
                <v:textbox inset="0,0,0,0">
                  <w:txbxContent>
                    <w:p w:rsidR="00B57B72" w:rsidRDefault="00D52EF2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</w:t>
                      </w:r>
                      <w:r w:rsidR="002F50F9">
                        <w:rPr>
                          <w:b/>
                          <w:bCs/>
                        </w:rPr>
                        <w:t>árodní filmový archiv</w:t>
                      </w:r>
                    </w:p>
                    <w:p w:rsidR="00B57B72" w:rsidRDefault="002F50F9">
                      <w:pPr>
                        <w:pStyle w:val="Titulekobrzku0"/>
                        <w:shd w:val="clear" w:color="auto" w:fill="auto"/>
                      </w:pPr>
                      <w:r>
                        <w:t xml:space="preserve">PhDr. Michal </w:t>
                      </w:r>
                      <w:proofErr w:type="spellStart"/>
                      <w:r>
                        <w:t>Bregant</w:t>
                      </w:r>
                      <w:proofErr w:type="spellEnd"/>
                      <w:r>
                        <w:t>, generální ředitel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F50F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3973195</wp:posOffset>
                </wp:positionH>
                <wp:positionV relativeFrom="margin">
                  <wp:posOffset>7828280</wp:posOffset>
                </wp:positionV>
                <wp:extent cx="1005840" cy="19177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7B72" w:rsidRDefault="002F50F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generální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2.85000000000002pt;margin-top:616.39999999999998pt;width:79.200000000000003pt;height:15.1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generální ředitel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F50F9">
        <w:t>V Praze dne</w:t>
      </w:r>
      <w:r>
        <w:t xml:space="preserve">   14. 3. 2019</w:t>
      </w:r>
      <w:bookmarkStart w:id="20" w:name="_GoBack"/>
      <w:bookmarkEnd w:id="20"/>
    </w:p>
    <w:sectPr w:rsidR="00B57B72">
      <w:footerReference w:type="default" r:id="rId7"/>
      <w:pgSz w:w="11900" w:h="16840"/>
      <w:pgMar w:top="1388" w:right="1355" w:bottom="1323" w:left="1361" w:header="96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F9" w:rsidRDefault="002F50F9">
      <w:r>
        <w:separator/>
      </w:r>
    </w:p>
  </w:endnote>
  <w:endnote w:type="continuationSeparator" w:id="0">
    <w:p w:rsidR="002F50F9" w:rsidRDefault="002F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72" w:rsidRDefault="002F50F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5866130</wp:posOffset>
              </wp:positionH>
              <wp:positionV relativeFrom="page">
                <wp:posOffset>9916795</wp:posOffset>
              </wp:positionV>
              <wp:extent cx="791210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2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7B72" w:rsidRDefault="002F50F9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 xml:space="preserve">Stránka 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separate"/>
                          </w:r>
                          <w:r w:rsidR="00D52EF2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461.9pt;margin-top:780.85pt;width:62.3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" filled="f" stroked="f">
              <v:textbox style="mso-fit-shape-to-text:t" inset="0,0,0,0">
                <w:txbxContent>
                  <w:p w:rsidR="00B57B72" w:rsidRDefault="002F50F9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 xml:space="preserve">Stránka 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separate"/>
                    </w:r>
                    <w:r w:rsidR="00D52EF2">
                      <w:rPr>
                        <w:rFonts w:ascii="Arial" w:eastAsia="Arial" w:hAnsi="Arial" w:cs="Arial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F9" w:rsidRDefault="002F50F9"/>
  </w:footnote>
  <w:footnote w:type="continuationSeparator" w:id="0">
    <w:p w:rsidR="002F50F9" w:rsidRDefault="002F50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A01"/>
    <w:multiLevelType w:val="multilevel"/>
    <w:tmpl w:val="4D60A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20385"/>
    <w:multiLevelType w:val="multilevel"/>
    <w:tmpl w:val="768EA0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14F1A"/>
    <w:multiLevelType w:val="multilevel"/>
    <w:tmpl w:val="A2F881A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E3A1F"/>
    <w:multiLevelType w:val="multilevel"/>
    <w:tmpl w:val="D5E8B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2C45F8"/>
    <w:multiLevelType w:val="multilevel"/>
    <w:tmpl w:val="1B4A2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729D8"/>
    <w:multiLevelType w:val="multilevel"/>
    <w:tmpl w:val="ECF4F7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0E7C14"/>
    <w:multiLevelType w:val="multilevel"/>
    <w:tmpl w:val="D26AC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D8120D"/>
    <w:multiLevelType w:val="multilevel"/>
    <w:tmpl w:val="4586B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EA4A20"/>
    <w:multiLevelType w:val="multilevel"/>
    <w:tmpl w:val="D38E6C8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7D26D1"/>
    <w:multiLevelType w:val="multilevel"/>
    <w:tmpl w:val="C1126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72"/>
    <w:rsid w:val="002F50F9"/>
    <w:rsid w:val="00B57B72"/>
    <w:rsid w:val="00D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6332"/>
  <w15:docId w15:val="{257DF5B8-4576-4449-A33D-B1425A21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2F62BC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80" w:after="8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680"/>
      <w:outlineLvl w:val="1"/>
    </w:pPr>
    <w:rPr>
      <w:rFonts w:ascii="Arial" w:eastAsia="Arial" w:hAnsi="Arial" w:cs="Arial"/>
      <w:color w:val="2F62B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1402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kopirka1.PK-20190322133128</dc:title>
  <dc:subject/>
  <dc:creator/>
  <cp:keywords/>
  <cp:lastModifiedBy>Zdenka Šímová</cp:lastModifiedBy>
  <cp:revision>2</cp:revision>
  <dcterms:created xsi:type="dcterms:W3CDTF">2019-03-22T11:23:00Z</dcterms:created>
  <dcterms:modified xsi:type="dcterms:W3CDTF">2019-03-22T11:29:00Z</dcterms:modified>
</cp:coreProperties>
</file>