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7AFB68" w14:textId="17457956" w:rsidR="002A7FD6" w:rsidRPr="00D5362D" w:rsidRDefault="002A7FD6" w:rsidP="00656169">
      <w:pPr>
        <w:pStyle w:val="Zhlav"/>
        <w:pBdr>
          <w:bottom w:val="thickThinSmallGap" w:sz="24" w:space="1" w:color="622423"/>
        </w:pBdr>
        <w:ind w:left="-284" w:firstLine="284"/>
        <w:jc w:val="right"/>
        <w:rPr>
          <w:rFonts w:ascii="Cambria" w:hAnsi="Cambria"/>
          <w:sz w:val="32"/>
          <w:szCs w:val="32"/>
        </w:rPr>
      </w:pPr>
      <w:bookmarkStart w:id="0" w:name="_GoBack"/>
      <w:bookmarkEnd w:id="0"/>
    </w:p>
    <w:p w14:paraId="16673C6E" w14:textId="77777777" w:rsidR="00057EF9" w:rsidRDefault="00057EF9" w:rsidP="00354A6F">
      <w:pPr>
        <w:rPr>
          <w:rFonts w:ascii="Times New Roman" w:hAnsi="Times New Roman" w:cs="Times New Roman"/>
          <w:b/>
        </w:rPr>
      </w:pPr>
    </w:p>
    <w:p w14:paraId="612C46D0" w14:textId="77777777" w:rsidR="0064060B" w:rsidRPr="007C263C" w:rsidRDefault="0064060B" w:rsidP="0064060B">
      <w:pPr>
        <w:jc w:val="center"/>
        <w:outlineLvl w:val="0"/>
        <w:rPr>
          <w:rFonts w:ascii="Times New Roman" w:hAnsi="Times New Roman" w:cs="Times New Roman"/>
          <w:b/>
        </w:rPr>
      </w:pPr>
      <w:r w:rsidRPr="007C263C">
        <w:rPr>
          <w:rFonts w:ascii="Times New Roman" w:hAnsi="Times New Roman" w:cs="Times New Roman"/>
          <w:b/>
        </w:rPr>
        <w:t>SMLOUVA O OBCHODNÍ SPOLUPRÁCI</w:t>
      </w:r>
    </w:p>
    <w:p w14:paraId="7AA573EC" w14:textId="77777777" w:rsidR="0064060B" w:rsidRPr="007C263C" w:rsidRDefault="0064060B" w:rsidP="0064060B">
      <w:pPr>
        <w:spacing w:after="0"/>
        <w:outlineLvl w:val="0"/>
        <w:rPr>
          <w:rFonts w:ascii="Times New Roman" w:eastAsia="Calibri" w:hAnsi="Times New Roman" w:cs="Times New Roman"/>
        </w:rPr>
      </w:pPr>
      <w:r w:rsidRPr="007C263C">
        <w:rPr>
          <w:rFonts w:ascii="Times New Roman" w:eastAsia="Calibri" w:hAnsi="Times New Roman" w:cs="Times New Roman"/>
        </w:rPr>
        <w:t xml:space="preserve">uzavřená dle ustanovení § 1746 odst. 2 zákona č. 89/2012 Sb., občanského zákoníku, v platném znění, </w:t>
      </w:r>
    </w:p>
    <w:p w14:paraId="385D272F" w14:textId="77777777" w:rsidR="0064060B" w:rsidRPr="007C263C" w:rsidRDefault="0064060B" w:rsidP="0064060B">
      <w:pPr>
        <w:spacing w:after="0"/>
        <w:jc w:val="center"/>
        <w:outlineLvl w:val="0"/>
        <w:rPr>
          <w:rFonts w:ascii="Times New Roman" w:eastAsia="Calibri" w:hAnsi="Times New Roman" w:cs="Times New Roman"/>
        </w:rPr>
      </w:pPr>
      <w:r w:rsidRPr="007C263C">
        <w:rPr>
          <w:rFonts w:ascii="Times New Roman" w:eastAsia="Calibri" w:hAnsi="Times New Roman" w:cs="Times New Roman"/>
        </w:rPr>
        <w:t>(dále jen „</w:t>
      </w:r>
      <w:r w:rsidRPr="007C263C">
        <w:rPr>
          <w:rFonts w:ascii="Times New Roman" w:eastAsia="Calibri" w:hAnsi="Times New Roman" w:cs="Times New Roman"/>
          <w:b/>
        </w:rPr>
        <w:t>Smlouva</w:t>
      </w:r>
      <w:r w:rsidRPr="007C263C">
        <w:rPr>
          <w:rFonts w:ascii="Times New Roman" w:eastAsia="Calibri" w:hAnsi="Times New Roman" w:cs="Times New Roman"/>
        </w:rPr>
        <w:t>“)</w:t>
      </w:r>
    </w:p>
    <w:p w14:paraId="68B5190D" w14:textId="77777777" w:rsidR="0064060B" w:rsidRPr="007C263C" w:rsidRDefault="0064060B" w:rsidP="0064060B">
      <w:pPr>
        <w:spacing w:after="0"/>
        <w:rPr>
          <w:rFonts w:ascii="Times New Roman" w:hAnsi="Times New Roman" w:cs="Times New Roman"/>
        </w:rPr>
      </w:pPr>
    </w:p>
    <w:p w14:paraId="068F05E8" w14:textId="77777777" w:rsidR="0064060B" w:rsidRPr="007C263C" w:rsidRDefault="0064060B" w:rsidP="0064060B">
      <w:pPr>
        <w:spacing w:after="0"/>
        <w:rPr>
          <w:rFonts w:ascii="Times New Roman" w:eastAsia="Calibri" w:hAnsi="Times New Roman" w:cs="Times New Roman"/>
        </w:rPr>
      </w:pPr>
      <w:r w:rsidRPr="007C263C">
        <w:rPr>
          <w:rFonts w:ascii="Times New Roman" w:eastAsia="Calibri" w:hAnsi="Times New Roman" w:cs="Times New Roman"/>
        </w:rPr>
        <w:t>mezi smluvními stranami:</w:t>
      </w:r>
    </w:p>
    <w:p w14:paraId="37E24443" w14:textId="77777777" w:rsidR="0064060B" w:rsidRPr="007C263C" w:rsidRDefault="0064060B" w:rsidP="0064060B">
      <w:pPr>
        <w:spacing w:after="0"/>
        <w:rPr>
          <w:rFonts w:ascii="Times New Roman" w:eastAsia="Calibri" w:hAnsi="Times New Roman" w:cs="Times New Roman"/>
        </w:rPr>
      </w:pPr>
    </w:p>
    <w:p w14:paraId="7E6193E8" w14:textId="77777777" w:rsidR="0064060B" w:rsidRPr="007C263C" w:rsidRDefault="0064060B" w:rsidP="0064060B">
      <w:pPr>
        <w:spacing w:after="0"/>
        <w:rPr>
          <w:rFonts w:ascii="Times New Roman" w:eastAsia="Calibri" w:hAnsi="Times New Roman" w:cs="Times New Roman"/>
          <w:b/>
        </w:rPr>
      </w:pPr>
      <w:r w:rsidRPr="007C263C">
        <w:rPr>
          <w:rFonts w:ascii="Times New Roman" w:eastAsia="Calibri" w:hAnsi="Times New Roman" w:cs="Times New Roman"/>
          <w:b/>
        </w:rPr>
        <w:t>AbbVie s.r.o.</w:t>
      </w:r>
    </w:p>
    <w:p w14:paraId="007415C2" w14:textId="77777777" w:rsidR="0064060B" w:rsidRPr="007C263C" w:rsidRDefault="0064060B" w:rsidP="0064060B">
      <w:pPr>
        <w:spacing w:after="0"/>
        <w:rPr>
          <w:rFonts w:ascii="Times New Roman" w:eastAsia="Calibri" w:hAnsi="Times New Roman" w:cs="Times New Roman"/>
        </w:rPr>
      </w:pPr>
      <w:r w:rsidRPr="007C263C">
        <w:rPr>
          <w:rFonts w:ascii="Times New Roman" w:eastAsia="Calibri" w:hAnsi="Times New Roman" w:cs="Times New Roman"/>
        </w:rPr>
        <w:t>se sídlem: Bucharova 2817/13, Stodůlky, 158 00 Praha 5, Metronom Business Center</w:t>
      </w:r>
    </w:p>
    <w:p w14:paraId="00736B4D" w14:textId="77777777" w:rsidR="0064060B" w:rsidRPr="007C263C" w:rsidRDefault="0064060B" w:rsidP="0064060B">
      <w:pPr>
        <w:spacing w:after="0"/>
        <w:rPr>
          <w:rFonts w:ascii="Times New Roman" w:eastAsia="Calibri" w:hAnsi="Times New Roman" w:cs="Times New Roman"/>
        </w:rPr>
      </w:pPr>
      <w:r w:rsidRPr="007C263C">
        <w:rPr>
          <w:rFonts w:ascii="Times New Roman" w:eastAsia="Calibri" w:hAnsi="Times New Roman" w:cs="Times New Roman"/>
        </w:rPr>
        <w:t>IČO: 24148725</w:t>
      </w:r>
    </w:p>
    <w:p w14:paraId="66E828D0" w14:textId="77777777" w:rsidR="0064060B" w:rsidRPr="007C263C" w:rsidRDefault="0064060B" w:rsidP="0064060B">
      <w:pPr>
        <w:spacing w:after="0"/>
        <w:rPr>
          <w:rFonts w:ascii="Times New Roman" w:eastAsia="Calibri" w:hAnsi="Times New Roman" w:cs="Times New Roman"/>
        </w:rPr>
      </w:pPr>
      <w:r w:rsidRPr="007C263C">
        <w:rPr>
          <w:rFonts w:ascii="Times New Roman" w:eastAsia="Calibri" w:hAnsi="Times New Roman" w:cs="Times New Roman"/>
        </w:rPr>
        <w:t>DIČ: CZ24148725</w:t>
      </w:r>
    </w:p>
    <w:p w14:paraId="73728F9B" w14:textId="77777777" w:rsidR="0064060B" w:rsidRPr="007C263C" w:rsidRDefault="0064060B" w:rsidP="0064060B">
      <w:pPr>
        <w:spacing w:after="0"/>
        <w:rPr>
          <w:rFonts w:ascii="Times New Roman" w:eastAsia="Calibri" w:hAnsi="Times New Roman" w:cs="Times New Roman"/>
        </w:rPr>
      </w:pPr>
      <w:r w:rsidRPr="007C263C">
        <w:rPr>
          <w:rFonts w:ascii="Times New Roman" w:eastAsia="Calibri" w:hAnsi="Times New Roman" w:cs="Times New Roman"/>
        </w:rPr>
        <w:t>zapsanou v obchodním rejstříku vedeném soudem v Praze, oddíl C, vložka 183123</w:t>
      </w:r>
    </w:p>
    <w:p w14:paraId="0CFC2F50" w14:textId="77777777" w:rsidR="0064060B" w:rsidRPr="007C263C" w:rsidRDefault="0064060B" w:rsidP="0064060B">
      <w:pPr>
        <w:spacing w:after="0"/>
        <w:rPr>
          <w:rFonts w:ascii="Times New Roman" w:eastAsia="Calibri" w:hAnsi="Times New Roman" w:cs="Times New Roman"/>
        </w:rPr>
      </w:pPr>
      <w:r w:rsidRPr="007C263C">
        <w:rPr>
          <w:rFonts w:ascii="Times New Roman" w:eastAsia="Calibri" w:hAnsi="Times New Roman" w:cs="Times New Roman"/>
        </w:rPr>
        <w:t>zastoupená MUDr. Branislavem Trutzem, jednatelem</w:t>
      </w:r>
    </w:p>
    <w:p w14:paraId="41AFC93C" w14:textId="77777777" w:rsidR="0064060B" w:rsidRPr="007C263C" w:rsidRDefault="0064060B" w:rsidP="0064060B">
      <w:pPr>
        <w:spacing w:after="0"/>
        <w:rPr>
          <w:rFonts w:ascii="Times New Roman" w:eastAsia="Calibri" w:hAnsi="Times New Roman" w:cs="Times New Roman"/>
        </w:rPr>
      </w:pPr>
      <w:r w:rsidRPr="007C263C">
        <w:rPr>
          <w:rFonts w:ascii="Times New Roman" w:eastAsia="Calibri" w:hAnsi="Times New Roman" w:cs="Times New Roman"/>
        </w:rPr>
        <w:t>(dále jen „</w:t>
      </w:r>
      <w:r w:rsidRPr="007C263C">
        <w:rPr>
          <w:rFonts w:ascii="Times New Roman" w:hAnsi="Times New Roman" w:cs="Times New Roman"/>
          <w:b/>
        </w:rPr>
        <w:t>AbbVie</w:t>
      </w:r>
      <w:r w:rsidRPr="007C263C">
        <w:rPr>
          <w:rFonts w:ascii="Times New Roman" w:eastAsia="Calibri" w:hAnsi="Times New Roman" w:cs="Times New Roman"/>
        </w:rPr>
        <w:t>“)</w:t>
      </w:r>
    </w:p>
    <w:p w14:paraId="0FC7CCFB" w14:textId="77777777" w:rsidR="0064060B" w:rsidRPr="007C263C" w:rsidRDefault="0064060B" w:rsidP="0064060B">
      <w:pPr>
        <w:spacing w:after="0"/>
        <w:rPr>
          <w:rFonts w:ascii="Times New Roman" w:eastAsia="Calibri" w:hAnsi="Times New Roman" w:cs="Times New Roman"/>
        </w:rPr>
      </w:pPr>
    </w:p>
    <w:p w14:paraId="7F0F65EA" w14:textId="77777777" w:rsidR="0064060B" w:rsidRPr="007C263C" w:rsidRDefault="0064060B" w:rsidP="0064060B">
      <w:pPr>
        <w:spacing w:after="0"/>
        <w:rPr>
          <w:rFonts w:ascii="Times New Roman" w:eastAsia="Calibri" w:hAnsi="Times New Roman" w:cs="Times New Roman"/>
        </w:rPr>
      </w:pPr>
      <w:r w:rsidRPr="007C263C">
        <w:rPr>
          <w:rFonts w:ascii="Times New Roman" w:eastAsia="Calibri" w:hAnsi="Times New Roman" w:cs="Times New Roman"/>
        </w:rPr>
        <w:t>a</w:t>
      </w:r>
    </w:p>
    <w:p w14:paraId="0CC5ACB6" w14:textId="77777777" w:rsidR="0064060B" w:rsidRPr="007C263C" w:rsidRDefault="0064060B" w:rsidP="0064060B">
      <w:pPr>
        <w:spacing w:after="0"/>
        <w:rPr>
          <w:rFonts w:ascii="Times New Roman" w:eastAsia="Calibri" w:hAnsi="Times New Roman" w:cs="Times New Roman"/>
        </w:rPr>
      </w:pPr>
    </w:p>
    <w:p w14:paraId="3B8D1FD7" w14:textId="77777777" w:rsidR="001941DD" w:rsidRPr="007C263C" w:rsidRDefault="001941DD" w:rsidP="001941DD">
      <w:pPr>
        <w:spacing w:after="0"/>
        <w:rPr>
          <w:rFonts w:ascii="Times New Roman" w:eastAsia="Calibri" w:hAnsi="Times New Roman" w:cs="Times New Roman"/>
          <w:b/>
        </w:rPr>
      </w:pPr>
      <w:r>
        <w:rPr>
          <w:rFonts w:ascii="Times New Roman" w:eastAsia="Calibri" w:hAnsi="Times New Roman" w:cs="Times New Roman"/>
          <w:b/>
        </w:rPr>
        <w:t>nemocnice ve Frýdku-Místku, příspěvková organizace</w:t>
      </w:r>
    </w:p>
    <w:p w14:paraId="300B3FE4" w14:textId="77777777" w:rsidR="001941DD" w:rsidRDefault="001941DD" w:rsidP="001941DD">
      <w:pPr>
        <w:spacing w:after="0"/>
        <w:rPr>
          <w:rFonts w:ascii="Times New Roman" w:eastAsia="Calibri" w:hAnsi="Times New Roman" w:cs="Times New Roman"/>
        </w:rPr>
      </w:pPr>
      <w:r w:rsidRPr="007C263C">
        <w:rPr>
          <w:rFonts w:ascii="Times New Roman" w:eastAsia="Calibri" w:hAnsi="Times New Roman" w:cs="Times New Roman"/>
        </w:rPr>
        <w:t xml:space="preserve">se sídlem: </w:t>
      </w:r>
      <w:r>
        <w:rPr>
          <w:rFonts w:ascii="Times New Roman" w:eastAsia="Calibri" w:hAnsi="Times New Roman" w:cs="Times New Roman"/>
        </w:rPr>
        <w:t>El.Krásnohorské 321, Frýdek</w:t>
      </w:r>
    </w:p>
    <w:p w14:paraId="3A9EDDED" w14:textId="77777777" w:rsidR="001941DD" w:rsidRPr="007C263C" w:rsidRDefault="001941DD" w:rsidP="001941DD">
      <w:pPr>
        <w:spacing w:after="0"/>
        <w:rPr>
          <w:rFonts w:ascii="Times New Roman" w:eastAsia="Calibri" w:hAnsi="Times New Roman" w:cs="Times New Roman"/>
        </w:rPr>
      </w:pPr>
      <w:r>
        <w:rPr>
          <w:rFonts w:ascii="Times New Roman" w:eastAsia="Calibri" w:hAnsi="Times New Roman" w:cs="Times New Roman"/>
        </w:rPr>
        <w:t>73801 Frýdek Místek</w:t>
      </w:r>
    </w:p>
    <w:p w14:paraId="7BB4AD9A" w14:textId="77777777" w:rsidR="001941DD" w:rsidRPr="007C263C" w:rsidRDefault="001941DD" w:rsidP="001941DD">
      <w:pPr>
        <w:spacing w:after="0"/>
        <w:rPr>
          <w:rFonts w:ascii="Times New Roman" w:eastAsia="Calibri" w:hAnsi="Times New Roman" w:cs="Times New Roman"/>
        </w:rPr>
      </w:pPr>
      <w:r w:rsidRPr="007C263C">
        <w:rPr>
          <w:rFonts w:ascii="Times New Roman" w:eastAsia="Calibri" w:hAnsi="Times New Roman" w:cs="Times New Roman"/>
        </w:rPr>
        <w:t xml:space="preserve">IČO: </w:t>
      </w:r>
    </w:p>
    <w:p w14:paraId="5D74EB59" w14:textId="77777777" w:rsidR="001941DD" w:rsidRPr="007C263C" w:rsidRDefault="001941DD" w:rsidP="001941DD">
      <w:pPr>
        <w:spacing w:after="0"/>
        <w:rPr>
          <w:rFonts w:ascii="Times New Roman" w:eastAsia="Calibri" w:hAnsi="Times New Roman" w:cs="Times New Roman"/>
        </w:rPr>
      </w:pPr>
      <w:r w:rsidRPr="007C263C">
        <w:rPr>
          <w:rFonts w:ascii="Times New Roman" w:eastAsia="Calibri" w:hAnsi="Times New Roman" w:cs="Times New Roman"/>
        </w:rPr>
        <w:t xml:space="preserve">DIČ: </w:t>
      </w:r>
      <w:r>
        <w:rPr>
          <w:rFonts w:ascii="Times New Roman" w:eastAsia="Calibri" w:hAnsi="Times New Roman" w:cs="Times New Roman"/>
        </w:rPr>
        <w:t>CZ</w:t>
      </w:r>
    </w:p>
    <w:p w14:paraId="69759FA7" w14:textId="77777777" w:rsidR="001941DD" w:rsidRPr="007C263C" w:rsidRDefault="001941DD" w:rsidP="001941DD">
      <w:pPr>
        <w:spacing w:after="0"/>
        <w:rPr>
          <w:rFonts w:ascii="Times New Roman" w:eastAsia="Calibri" w:hAnsi="Times New Roman" w:cs="Times New Roman"/>
        </w:rPr>
      </w:pPr>
      <w:r w:rsidRPr="007C263C">
        <w:rPr>
          <w:rFonts w:ascii="Times New Roman" w:eastAsia="Calibri" w:hAnsi="Times New Roman" w:cs="Times New Roman"/>
        </w:rPr>
        <w:t xml:space="preserve">jejímž jménem jedná: </w:t>
      </w:r>
      <w:r>
        <w:rPr>
          <w:rFonts w:ascii="Times New Roman" w:eastAsia="Calibri" w:hAnsi="Times New Roman" w:cs="Times New Roman"/>
        </w:rPr>
        <w:t>Ing.Tomáš Stejskal</w:t>
      </w:r>
    </w:p>
    <w:p w14:paraId="607AC034" w14:textId="77777777" w:rsidR="001941DD" w:rsidRPr="007C263C" w:rsidRDefault="001941DD" w:rsidP="001941DD">
      <w:pPr>
        <w:spacing w:after="0"/>
        <w:rPr>
          <w:rFonts w:ascii="Times New Roman" w:eastAsia="Calibri" w:hAnsi="Times New Roman" w:cs="Times New Roman"/>
        </w:rPr>
      </w:pPr>
      <w:r w:rsidRPr="007C263C">
        <w:rPr>
          <w:rFonts w:ascii="Times New Roman" w:eastAsia="Calibri" w:hAnsi="Times New Roman" w:cs="Times New Roman"/>
        </w:rPr>
        <w:t xml:space="preserve">bankovní účet č. : </w:t>
      </w:r>
    </w:p>
    <w:p w14:paraId="602C725D" w14:textId="77777777" w:rsidR="001941DD" w:rsidRPr="007C263C" w:rsidRDefault="001941DD" w:rsidP="001941DD">
      <w:pPr>
        <w:spacing w:after="0"/>
        <w:rPr>
          <w:rFonts w:ascii="Times New Roman" w:eastAsia="Calibri" w:hAnsi="Times New Roman" w:cs="Times New Roman"/>
        </w:rPr>
      </w:pPr>
      <w:r w:rsidRPr="007C263C">
        <w:rPr>
          <w:rFonts w:ascii="Times New Roman" w:eastAsia="Calibri" w:hAnsi="Times New Roman" w:cs="Times New Roman"/>
        </w:rPr>
        <w:t>(dále jen „</w:t>
      </w:r>
      <w:r w:rsidRPr="007C263C">
        <w:rPr>
          <w:rFonts w:ascii="Times New Roman" w:eastAsia="Calibri" w:hAnsi="Times New Roman" w:cs="Times New Roman"/>
          <w:b/>
        </w:rPr>
        <w:t>Odběratel</w:t>
      </w:r>
      <w:r w:rsidRPr="007C263C">
        <w:rPr>
          <w:rFonts w:ascii="Times New Roman" w:eastAsia="Calibri" w:hAnsi="Times New Roman" w:cs="Times New Roman"/>
        </w:rPr>
        <w:t>“)</w:t>
      </w:r>
    </w:p>
    <w:p w14:paraId="10ED9827" w14:textId="77777777" w:rsidR="0064060B" w:rsidRPr="007C263C" w:rsidRDefault="0064060B" w:rsidP="0064060B">
      <w:pPr>
        <w:spacing w:after="0"/>
        <w:rPr>
          <w:rFonts w:ascii="Times New Roman" w:eastAsia="Calibri" w:hAnsi="Times New Roman" w:cs="Times New Roman"/>
        </w:rPr>
      </w:pPr>
    </w:p>
    <w:p w14:paraId="05F2D063" w14:textId="77777777" w:rsidR="0064060B" w:rsidRPr="007C263C" w:rsidRDefault="0064060B" w:rsidP="0064060B">
      <w:pPr>
        <w:spacing w:after="0"/>
        <w:rPr>
          <w:rFonts w:ascii="Times New Roman" w:eastAsia="Calibri" w:hAnsi="Times New Roman" w:cs="Times New Roman"/>
        </w:rPr>
      </w:pPr>
      <w:r w:rsidRPr="007C263C">
        <w:rPr>
          <w:rFonts w:ascii="Times New Roman" w:hAnsi="Times New Roman" w:cs="Times New Roman"/>
        </w:rPr>
        <w:t>Společnost AbbVie</w:t>
      </w:r>
      <w:r w:rsidRPr="007C263C">
        <w:rPr>
          <w:rFonts w:ascii="Times New Roman" w:eastAsia="Calibri" w:hAnsi="Times New Roman" w:cs="Times New Roman"/>
        </w:rPr>
        <w:t xml:space="preserve"> a Odběratel mohou být v této Smlouvě označováni také jednotlivě jako „</w:t>
      </w:r>
      <w:r w:rsidRPr="007C263C">
        <w:rPr>
          <w:rFonts w:ascii="Times New Roman" w:eastAsia="Calibri" w:hAnsi="Times New Roman" w:cs="Times New Roman"/>
          <w:b/>
        </w:rPr>
        <w:t>Smluvní strana</w:t>
      </w:r>
      <w:r w:rsidRPr="007C263C">
        <w:rPr>
          <w:rFonts w:ascii="Times New Roman" w:eastAsia="Calibri" w:hAnsi="Times New Roman" w:cs="Times New Roman"/>
        </w:rPr>
        <w:t>“ a společně též jako „</w:t>
      </w:r>
      <w:r w:rsidRPr="007C263C">
        <w:rPr>
          <w:rFonts w:ascii="Times New Roman" w:eastAsia="Calibri" w:hAnsi="Times New Roman" w:cs="Times New Roman"/>
          <w:b/>
        </w:rPr>
        <w:t>Smluvní strany</w:t>
      </w:r>
      <w:r w:rsidRPr="007C263C">
        <w:rPr>
          <w:rFonts w:ascii="Times New Roman" w:eastAsia="Calibri" w:hAnsi="Times New Roman" w:cs="Times New Roman"/>
        </w:rPr>
        <w:t>“.</w:t>
      </w:r>
    </w:p>
    <w:p w14:paraId="4F310CA1" w14:textId="77777777" w:rsidR="0064060B" w:rsidRPr="007C263C" w:rsidRDefault="0064060B" w:rsidP="0064060B">
      <w:pPr>
        <w:spacing w:after="0"/>
        <w:rPr>
          <w:rFonts w:ascii="Times New Roman" w:hAnsi="Times New Roman" w:cs="Times New Roman"/>
        </w:rPr>
      </w:pPr>
    </w:p>
    <w:p w14:paraId="27BE4BD7" w14:textId="77777777" w:rsidR="0064060B" w:rsidRPr="007C263C" w:rsidRDefault="0064060B" w:rsidP="0064060B">
      <w:pPr>
        <w:outlineLvl w:val="0"/>
        <w:rPr>
          <w:rFonts w:ascii="Times New Roman" w:hAnsi="Times New Roman" w:cs="Times New Roman"/>
        </w:rPr>
      </w:pPr>
      <w:r w:rsidRPr="007C263C">
        <w:rPr>
          <w:rFonts w:ascii="Times New Roman" w:hAnsi="Times New Roman" w:cs="Times New Roman"/>
        </w:rPr>
        <w:t>VZHLEDEM K TOMU, ŽE:</w:t>
      </w:r>
      <w:r w:rsidRPr="007C263C">
        <w:rPr>
          <w:rFonts w:ascii="Times New Roman" w:hAnsi="Times New Roman" w:cs="Times New Roman"/>
        </w:rPr>
        <w:tab/>
      </w:r>
    </w:p>
    <w:p w14:paraId="4A70384B" w14:textId="77777777" w:rsidR="0064060B" w:rsidRPr="007C263C" w:rsidRDefault="0064060B" w:rsidP="0064060B">
      <w:pPr>
        <w:ind w:left="705" w:hanging="705"/>
        <w:rPr>
          <w:rFonts w:ascii="Times New Roman" w:hAnsi="Times New Roman" w:cs="Times New Roman"/>
        </w:rPr>
      </w:pPr>
      <w:r w:rsidRPr="007C263C">
        <w:rPr>
          <w:rFonts w:ascii="Times New Roman" w:hAnsi="Times New Roman" w:cs="Times New Roman"/>
        </w:rPr>
        <w:t>(A)</w:t>
      </w:r>
      <w:r w:rsidRPr="007C263C">
        <w:rPr>
          <w:rFonts w:ascii="Times New Roman" w:hAnsi="Times New Roman" w:cs="Times New Roman"/>
        </w:rPr>
        <w:tab/>
        <w:t>Společnost AbbVie obchoduje s léčivými přípravky (definovanými níže jako „</w:t>
      </w:r>
      <w:r w:rsidRPr="007C263C">
        <w:rPr>
          <w:rFonts w:ascii="Times New Roman" w:hAnsi="Times New Roman" w:cs="Times New Roman"/>
          <w:b/>
        </w:rPr>
        <w:t>Produkty</w:t>
      </w:r>
      <w:r w:rsidRPr="007C263C">
        <w:rPr>
          <w:rFonts w:ascii="Times New Roman" w:hAnsi="Times New Roman" w:cs="Times New Roman"/>
        </w:rPr>
        <w:t>“) a přeje si podporovat prodej těchto Produktů poskytnutím motivačních bonusů zákazníkům; a</w:t>
      </w:r>
    </w:p>
    <w:p w14:paraId="4E2C7022" w14:textId="77777777" w:rsidR="0064060B" w:rsidRPr="007C263C" w:rsidRDefault="0064060B" w:rsidP="0064060B">
      <w:pPr>
        <w:ind w:left="705" w:hanging="705"/>
        <w:rPr>
          <w:rFonts w:ascii="Times New Roman" w:hAnsi="Times New Roman" w:cs="Times New Roman"/>
        </w:rPr>
      </w:pPr>
      <w:r w:rsidRPr="007C263C">
        <w:rPr>
          <w:rFonts w:ascii="Times New Roman" w:hAnsi="Times New Roman" w:cs="Times New Roman"/>
        </w:rPr>
        <w:t>(B)</w:t>
      </w:r>
      <w:r w:rsidRPr="007C263C">
        <w:rPr>
          <w:rFonts w:ascii="Times New Roman" w:hAnsi="Times New Roman" w:cs="Times New Roman"/>
        </w:rPr>
        <w:tab/>
        <w:t xml:space="preserve">Odběratel je provozovatelem </w:t>
      </w:r>
      <w:r w:rsidRPr="009448DA">
        <w:rPr>
          <w:rFonts w:ascii="Times New Roman" w:hAnsi="Times New Roman" w:cs="Times New Roman"/>
          <w:color w:val="000000" w:themeColor="text1"/>
        </w:rPr>
        <w:t xml:space="preserve">zdravotnického zařízení </w:t>
      </w:r>
      <w:r w:rsidRPr="007C263C">
        <w:rPr>
          <w:rFonts w:ascii="Times New Roman" w:hAnsi="Times New Roman" w:cs="Times New Roman"/>
        </w:rPr>
        <w:t>a zákazníkem společnosti AbbVie při odběru Produktů od distributorů léčivých přípravků společnosti AbbVie nebo od společnosti AbbVie napřímo;</w:t>
      </w:r>
    </w:p>
    <w:p w14:paraId="19D6AEDB" w14:textId="77777777" w:rsidR="0064060B" w:rsidRPr="007C263C" w:rsidRDefault="0064060B" w:rsidP="0064060B">
      <w:pPr>
        <w:outlineLvl w:val="0"/>
        <w:rPr>
          <w:rFonts w:ascii="Times New Roman" w:hAnsi="Times New Roman" w:cs="Times New Roman"/>
        </w:rPr>
      </w:pPr>
      <w:r w:rsidRPr="007C263C">
        <w:rPr>
          <w:rFonts w:ascii="Times New Roman" w:hAnsi="Times New Roman" w:cs="Times New Roman"/>
        </w:rPr>
        <w:t>SE STRANY DOHODLY TAKTO:</w:t>
      </w:r>
    </w:p>
    <w:p w14:paraId="5BFECD9D" w14:textId="77777777" w:rsidR="0064060B" w:rsidRPr="007C263C" w:rsidRDefault="0064060B" w:rsidP="0064060B">
      <w:pPr>
        <w:outlineLvl w:val="0"/>
        <w:rPr>
          <w:rFonts w:ascii="Times New Roman" w:hAnsi="Times New Roman" w:cs="Times New Roman"/>
          <w:b/>
        </w:rPr>
      </w:pPr>
      <w:r w:rsidRPr="007C263C">
        <w:rPr>
          <w:rFonts w:ascii="Times New Roman" w:hAnsi="Times New Roman" w:cs="Times New Roman"/>
          <w:b/>
        </w:rPr>
        <w:t>1.</w:t>
      </w:r>
      <w:r w:rsidRPr="007C263C">
        <w:rPr>
          <w:rFonts w:ascii="Times New Roman" w:hAnsi="Times New Roman" w:cs="Times New Roman"/>
          <w:b/>
        </w:rPr>
        <w:tab/>
        <w:t>VYMEZENÍ POJMŮ</w:t>
      </w:r>
    </w:p>
    <w:p w14:paraId="5922F9DE" w14:textId="77777777" w:rsidR="0064060B" w:rsidRPr="007C263C" w:rsidRDefault="0064060B" w:rsidP="0064060B">
      <w:pPr>
        <w:ind w:left="705" w:hanging="705"/>
        <w:rPr>
          <w:rFonts w:ascii="Times New Roman" w:hAnsi="Times New Roman" w:cs="Times New Roman"/>
        </w:rPr>
      </w:pPr>
      <w:r w:rsidRPr="007C263C">
        <w:rPr>
          <w:rFonts w:ascii="Times New Roman" w:hAnsi="Times New Roman" w:cs="Times New Roman"/>
        </w:rPr>
        <w:t>1.1</w:t>
      </w:r>
      <w:r w:rsidRPr="007C263C">
        <w:rPr>
          <w:rFonts w:ascii="Times New Roman" w:hAnsi="Times New Roman" w:cs="Times New Roman"/>
        </w:rPr>
        <w:tab/>
        <w:t>Nevyplývá-li z kontextu, v němž je příslušný výraz použit, zcela nepochybně něco jiného, mají následující výrazy použité v této Smlouvě tento význam:</w:t>
      </w:r>
    </w:p>
    <w:p w14:paraId="2DD8A0D3" w14:textId="77777777" w:rsidR="0064060B" w:rsidRPr="007C263C" w:rsidRDefault="0064060B" w:rsidP="0064060B">
      <w:pPr>
        <w:shd w:val="clear" w:color="auto" w:fill="FFFFFF" w:themeFill="background1"/>
        <w:ind w:left="1416" w:hanging="1416"/>
        <w:rPr>
          <w:rFonts w:ascii="Times New Roman" w:hAnsi="Times New Roman" w:cs="Times New Roman"/>
        </w:rPr>
      </w:pPr>
      <w:r w:rsidRPr="007C263C">
        <w:rPr>
          <w:rFonts w:ascii="Times New Roman" w:hAnsi="Times New Roman" w:cs="Times New Roman"/>
        </w:rPr>
        <w:t>„</w:t>
      </w:r>
      <w:r w:rsidRPr="007C263C">
        <w:rPr>
          <w:rFonts w:ascii="Times New Roman" w:hAnsi="Times New Roman" w:cs="Times New Roman"/>
          <w:b/>
        </w:rPr>
        <w:t>Produkty</w:t>
      </w:r>
      <w:r w:rsidRPr="007C263C">
        <w:rPr>
          <w:rFonts w:ascii="Times New Roman" w:hAnsi="Times New Roman" w:cs="Times New Roman"/>
        </w:rPr>
        <w:t>”</w:t>
      </w:r>
      <w:r w:rsidRPr="007C263C">
        <w:rPr>
          <w:rFonts w:ascii="Times New Roman" w:hAnsi="Times New Roman" w:cs="Times New Roman"/>
        </w:rPr>
        <w:tab/>
        <w:t xml:space="preserve">znamenají léčivé přípravky společnosti </w:t>
      </w:r>
      <w:r>
        <w:rPr>
          <w:rFonts w:ascii="Times New Roman" w:hAnsi="Times New Roman" w:cs="Times New Roman"/>
        </w:rPr>
        <w:t>AbbVi</w:t>
      </w:r>
      <w:r w:rsidRPr="007C263C">
        <w:rPr>
          <w:rFonts w:ascii="Times New Roman" w:hAnsi="Times New Roman" w:cs="Times New Roman"/>
        </w:rPr>
        <w:t>e uvedené v Příloze č. 1 této Smlouvy; tato příloha může být průběžně měněna dodatky ke Smlouvě;</w:t>
      </w:r>
    </w:p>
    <w:p w14:paraId="6A9E9D0F" w14:textId="77777777" w:rsidR="0064060B" w:rsidRPr="007C263C" w:rsidRDefault="0064060B" w:rsidP="0064060B">
      <w:pPr>
        <w:ind w:left="1416" w:hanging="1416"/>
        <w:rPr>
          <w:rFonts w:ascii="Times New Roman" w:hAnsi="Times New Roman" w:cs="Times New Roman"/>
        </w:rPr>
      </w:pPr>
      <w:r w:rsidRPr="007C263C">
        <w:rPr>
          <w:rFonts w:ascii="Times New Roman" w:hAnsi="Times New Roman" w:cs="Times New Roman"/>
        </w:rPr>
        <w:lastRenderedPageBreak/>
        <w:t>„</w:t>
      </w:r>
      <w:r w:rsidRPr="007C263C">
        <w:rPr>
          <w:rFonts w:ascii="Times New Roman" w:hAnsi="Times New Roman" w:cs="Times New Roman"/>
          <w:b/>
        </w:rPr>
        <w:t>Nákupy</w:t>
      </w:r>
      <w:r w:rsidRPr="007C263C">
        <w:rPr>
          <w:rFonts w:ascii="Times New Roman" w:hAnsi="Times New Roman" w:cs="Times New Roman"/>
        </w:rPr>
        <w:t>”</w:t>
      </w:r>
      <w:r w:rsidRPr="007C263C">
        <w:rPr>
          <w:rFonts w:ascii="Times New Roman" w:hAnsi="Times New Roman" w:cs="Times New Roman"/>
        </w:rPr>
        <w:tab/>
        <w:t xml:space="preserve">znamenají nákupy Produktů Odběratelem v konkrétním </w:t>
      </w:r>
      <w:r w:rsidRPr="0057783F">
        <w:rPr>
          <w:rFonts w:ascii="Times New Roman" w:hAnsi="Times New Roman" w:cs="Times New Roman"/>
        </w:rPr>
        <w:t>referenčním období</w:t>
      </w:r>
      <w:r w:rsidRPr="007C263C">
        <w:rPr>
          <w:rFonts w:ascii="Times New Roman" w:hAnsi="Times New Roman" w:cs="Times New Roman"/>
        </w:rPr>
        <w:t xml:space="preserve"> za konečnou cenu výrobce bez obchodní přirážky distributora a bez DPH;</w:t>
      </w:r>
    </w:p>
    <w:p w14:paraId="61FC438E" w14:textId="77777777" w:rsidR="0064060B" w:rsidRPr="007C263C" w:rsidRDefault="0064060B" w:rsidP="0064060B">
      <w:pPr>
        <w:ind w:left="1418" w:hanging="1418"/>
        <w:rPr>
          <w:rFonts w:ascii="Times New Roman" w:hAnsi="Times New Roman" w:cs="Times New Roman"/>
        </w:rPr>
      </w:pPr>
      <w:r w:rsidRPr="00393EA8">
        <w:rPr>
          <w:rFonts w:ascii="Times New Roman" w:hAnsi="Times New Roman" w:cs="Times New Roman"/>
        </w:rPr>
        <w:t>„</w:t>
      </w:r>
      <w:r w:rsidRPr="00393EA8">
        <w:rPr>
          <w:rFonts w:ascii="Times New Roman" w:hAnsi="Times New Roman" w:cs="Times New Roman"/>
          <w:b/>
        </w:rPr>
        <w:t>Bonus</w:t>
      </w:r>
      <w:r w:rsidRPr="00393EA8">
        <w:rPr>
          <w:rFonts w:ascii="Times New Roman" w:hAnsi="Times New Roman" w:cs="Times New Roman"/>
        </w:rPr>
        <w:t>“</w:t>
      </w:r>
      <w:r w:rsidRPr="007C263C">
        <w:rPr>
          <w:rFonts w:ascii="Times New Roman" w:hAnsi="Times New Roman" w:cs="Times New Roman"/>
        </w:rPr>
        <w:tab/>
        <w:t>znamená finanční plněn</w:t>
      </w:r>
      <w:r>
        <w:rPr>
          <w:rFonts w:ascii="Times New Roman" w:hAnsi="Times New Roman" w:cs="Times New Roman"/>
        </w:rPr>
        <w:t>í</w:t>
      </w:r>
      <w:r w:rsidRPr="007C263C">
        <w:rPr>
          <w:rFonts w:ascii="Times New Roman" w:hAnsi="Times New Roman" w:cs="Times New Roman"/>
        </w:rPr>
        <w:t xml:space="preserve"> pro Odběratele, stanovené dle podmínek odst. 3.2</w:t>
      </w:r>
      <w:r>
        <w:rPr>
          <w:rFonts w:ascii="Times New Roman" w:hAnsi="Times New Roman" w:cs="Times New Roman"/>
        </w:rPr>
        <w:t xml:space="preserve"> a Přílohy č. 2</w:t>
      </w:r>
      <w:r w:rsidRPr="007C263C">
        <w:rPr>
          <w:rFonts w:ascii="Times New Roman" w:hAnsi="Times New Roman" w:cs="Times New Roman"/>
        </w:rPr>
        <w:t xml:space="preserve"> této Smlouvy.</w:t>
      </w:r>
    </w:p>
    <w:p w14:paraId="25B88923" w14:textId="77777777" w:rsidR="0064060B" w:rsidRPr="007C263C" w:rsidRDefault="0064060B" w:rsidP="0064060B">
      <w:pPr>
        <w:outlineLvl w:val="0"/>
        <w:rPr>
          <w:rFonts w:ascii="Times New Roman" w:hAnsi="Times New Roman" w:cs="Times New Roman"/>
          <w:b/>
        </w:rPr>
      </w:pPr>
      <w:r w:rsidRPr="007C263C">
        <w:rPr>
          <w:rFonts w:ascii="Times New Roman" w:hAnsi="Times New Roman" w:cs="Times New Roman"/>
          <w:b/>
        </w:rPr>
        <w:t>2.</w:t>
      </w:r>
      <w:r w:rsidRPr="007C263C">
        <w:rPr>
          <w:rFonts w:ascii="Times New Roman" w:hAnsi="Times New Roman" w:cs="Times New Roman"/>
          <w:b/>
        </w:rPr>
        <w:tab/>
        <w:t>PŘEDMĚT SMLOUVY</w:t>
      </w:r>
    </w:p>
    <w:p w14:paraId="3371C26E" w14:textId="77777777" w:rsidR="0064060B" w:rsidRPr="007C263C" w:rsidRDefault="0064060B" w:rsidP="0064060B">
      <w:pPr>
        <w:ind w:left="705" w:hanging="705"/>
        <w:rPr>
          <w:rFonts w:ascii="Times New Roman" w:hAnsi="Times New Roman" w:cs="Times New Roman"/>
        </w:rPr>
      </w:pPr>
      <w:r w:rsidRPr="007C263C">
        <w:rPr>
          <w:rFonts w:ascii="Times New Roman" w:hAnsi="Times New Roman" w:cs="Times New Roman"/>
        </w:rPr>
        <w:t>2.1</w:t>
      </w:r>
      <w:r w:rsidRPr="007C263C">
        <w:rPr>
          <w:rFonts w:ascii="Times New Roman" w:hAnsi="Times New Roman" w:cs="Times New Roman"/>
        </w:rPr>
        <w:tab/>
        <w:t>Předmětem této Smlouvy jsou práva a povinnosti Stran týkající se poskytnutí Bonusu za Nákup Produktů Odběratelem dle podmínek dohodnutých v této Smlouvě.</w:t>
      </w:r>
      <w:r>
        <w:rPr>
          <w:rFonts w:ascii="Times New Roman" w:hAnsi="Times New Roman" w:cs="Times New Roman"/>
        </w:rPr>
        <w:t xml:space="preserve"> S</w:t>
      </w:r>
      <w:r w:rsidRPr="00A01D6D">
        <w:rPr>
          <w:rFonts w:ascii="Times New Roman" w:hAnsi="Times New Roman" w:cs="Times New Roman"/>
        </w:rPr>
        <w:t>mluvní strany</w:t>
      </w:r>
      <w:r>
        <w:rPr>
          <w:rFonts w:ascii="Times New Roman" w:hAnsi="Times New Roman" w:cs="Times New Roman"/>
        </w:rPr>
        <w:t xml:space="preserve"> prohlašují</w:t>
      </w:r>
      <w:r w:rsidRPr="00A01D6D">
        <w:rPr>
          <w:rFonts w:ascii="Times New Roman" w:hAnsi="Times New Roman" w:cs="Times New Roman"/>
        </w:rPr>
        <w:t xml:space="preserve">, že Odběratel odebírá v rámci své činnosti i výrobky </w:t>
      </w:r>
      <w:r>
        <w:rPr>
          <w:rFonts w:ascii="Times New Roman" w:hAnsi="Times New Roman" w:cs="Times New Roman"/>
        </w:rPr>
        <w:t>AbbVie</w:t>
      </w:r>
      <w:r w:rsidRPr="00A01D6D">
        <w:rPr>
          <w:rFonts w:ascii="Times New Roman" w:hAnsi="Times New Roman" w:cs="Times New Roman"/>
        </w:rPr>
        <w:t>, a to v takovém množství, které je pro činnost Odběratele potřebné.</w:t>
      </w:r>
    </w:p>
    <w:p w14:paraId="2E3CD113" w14:textId="77777777" w:rsidR="0064060B" w:rsidRPr="007C263C" w:rsidRDefault="0064060B" w:rsidP="0064060B">
      <w:pPr>
        <w:ind w:left="705" w:hanging="705"/>
        <w:rPr>
          <w:rFonts w:ascii="Times New Roman" w:hAnsi="Times New Roman" w:cs="Times New Roman"/>
        </w:rPr>
      </w:pPr>
      <w:r w:rsidRPr="007C263C">
        <w:rPr>
          <w:rFonts w:ascii="Times New Roman" w:hAnsi="Times New Roman" w:cs="Times New Roman"/>
        </w:rPr>
        <w:t>2.2</w:t>
      </w:r>
      <w:r w:rsidRPr="007C263C">
        <w:rPr>
          <w:rFonts w:ascii="Times New Roman" w:hAnsi="Times New Roman" w:cs="Times New Roman"/>
        </w:rPr>
        <w:tab/>
        <w:t>Pro vyloučení pochybností Strany prohlašují, že předmětem této Smlouvy není poskytování propagačních či reklamních služeb Odběratelem, a pokud bude Odběratel podporovat prodej Produktů formou propagace či reklamy v souladu se zákonem č. 40/1995 Sb., o regulaci reklamy, nevzniká mu dle této Smlouvy vedle Bonusu nárok na žádnou dodatečnou odměnu či kompenzaci.</w:t>
      </w:r>
    </w:p>
    <w:p w14:paraId="6E2D9AF2" w14:textId="77777777" w:rsidR="0064060B" w:rsidRPr="007C263C" w:rsidRDefault="0064060B" w:rsidP="0064060B">
      <w:pPr>
        <w:outlineLvl w:val="0"/>
        <w:rPr>
          <w:rFonts w:ascii="Times New Roman" w:hAnsi="Times New Roman" w:cs="Times New Roman"/>
          <w:b/>
        </w:rPr>
      </w:pPr>
      <w:r w:rsidRPr="007C263C">
        <w:rPr>
          <w:rFonts w:ascii="Times New Roman" w:hAnsi="Times New Roman" w:cs="Times New Roman"/>
          <w:b/>
        </w:rPr>
        <w:t>3.</w:t>
      </w:r>
      <w:r w:rsidRPr="007C263C">
        <w:rPr>
          <w:rFonts w:ascii="Times New Roman" w:hAnsi="Times New Roman" w:cs="Times New Roman"/>
          <w:b/>
        </w:rPr>
        <w:tab/>
        <w:t>PODMÍNKY POSKYTNUTÍ BONUSU</w:t>
      </w:r>
    </w:p>
    <w:p w14:paraId="669E15F8" w14:textId="77777777" w:rsidR="0064060B" w:rsidRPr="007C263C" w:rsidRDefault="0064060B" w:rsidP="0064060B">
      <w:pPr>
        <w:ind w:left="705" w:hanging="705"/>
        <w:rPr>
          <w:rFonts w:ascii="Times New Roman" w:hAnsi="Times New Roman" w:cs="Times New Roman"/>
        </w:rPr>
      </w:pPr>
      <w:r w:rsidRPr="007C263C">
        <w:rPr>
          <w:rFonts w:ascii="Times New Roman" w:hAnsi="Times New Roman" w:cs="Times New Roman"/>
        </w:rPr>
        <w:t>3.1</w:t>
      </w:r>
      <w:r w:rsidRPr="007C263C">
        <w:rPr>
          <w:rFonts w:ascii="Times New Roman" w:hAnsi="Times New Roman" w:cs="Times New Roman"/>
        </w:rPr>
        <w:tab/>
        <w:t>Společnost AbbVie se zavazuje poskytnout Odběrateli za Nákup Produktů při splnění podmínek vymezených níže v této Smlouvě Bonus.</w:t>
      </w:r>
    </w:p>
    <w:p w14:paraId="59BDC633" w14:textId="77777777" w:rsidR="0064060B" w:rsidRDefault="0064060B" w:rsidP="0064060B">
      <w:pPr>
        <w:ind w:left="705" w:hanging="705"/>
        <w:rPr>
          <w:rFonts w:ascii="Times New Roman" w:hAnsi="Times New Roman" w:cs="Times New Roman"/>
        </w:rPr>
      </w:pPr>
      <w:r w:rsidRPr="007C263C">
        <w:rPr>
          <w:rFonts w:ascii="Times New Roman" w:hAnsi="Times New Roman" w:cs="Times New Roman"/>
        </w:rPr>
        <w:t>3.2</w:t>
      </w:r>
      <w:r w:rsidRPr="007C263C">
        <w:rPr>
          <w:rFonts w:ascii="Times New Roman" w:hAnsi="Times New Roman" w:cs="Times New Roman"/>
        </w:rPr>
        <w:tab/>
      </w:r>
      <w:r w:rsidRPr="007C263C">
        <w:rPr>
          <w:rFonts w:ascii="Times New Roman" w:hAnsi="Times New Roman" w:cs="Times New Roman"/>
        </w:rPr>
        <w:tab/>
        <w:t>Bonus bude poskytnut ve výši</w:t>
      </w:r>
      <w:r>
        <w:rPr>
          <w:rFonts w:ascii="Times New Roman" w:hAnsi="Times New Roman" w:cs="Times New Roman"/>
        </w:rPr>
        <w:t xml:space="preserve"> a za podmínek upravených dále v této Smlouvě a v Příloze č. 2 této Smlouvy.</w:t>
      </w:r>
    </w:p>
    <w:p w14:paraId="60697D13" w14:textId="77777777" w:rsidR="0064060B" w:rsidRPr="007C263C" w:rsidRDefault="0064060B" w:rsidP="0064060B">
      <w:pPr>
        <w:ind w:left="705" w:hanging="705"/>
        <w:rPr>
          <w:rFonts w:ascii="Times New Roman" w:hAnsi="Times New Roman" w:cs="Times New Roman"/>
        </w:rPr>
      </w:pPr>
      <w:r w:rsidRPr="007C263C">
        <w:rPr>
          <w:rFonts w:ascii="Times New Roman" w:hAnsi="Times New Roman" w:cs="Times New Roman"/>
        </w:rPr>
        <w:t>3.3</w:t>
      </w:r>
      <w:r w:rsidRPr="007C263C">
        <w:rPr>
          <w:rFonts w:ascii="Times New Roman" w:hAnsi="Times New Roman" w:cs="Times New Roman"/>
        </w:rPr>
        <w:tab/>
      </w:r>
      <w:r w:rsidRPr="00B43E21">
        <w:rPr>
          <w:rFonts w:ascii="Times New Roman" w:hAnsi="Times New Roman" w:cs="Times New Roman"/>
        </w:rPr>
        <w:t>Veškeré částky zmiňované v této Smlouvě (včetně všech jejích příloh a dodatků) jsou bez DPH, spotřební daně a případných dalších daní a poplatků.</w:t>
      </w:r>
    </w:p>
    <w:p w14:paraId="49F026FB" w14:textId="77777777" w:rsidR="0064060B" w:rsidRPr="007C263C" w:rsidRDefault="0064060B" w:rsidP="0064060B">
      <w:pPr>
        <w:ind w:left="705" w:hanging="705"/>
        <w:rPr>
          <w:rFonts w:ascii="Times New Roman" w:hAnsi="Times New Roman" w:cs="Times New Roman"/>
        </w:rPr>
      </w:pPr>
      <w:r w:rsidRPr="007C263C">
        <w:rPr>
          <w:rFonts w:ascii="Times New Roman" w:hAnsi="Times New Roman" w:cs="Times New Roman"/>
        </w:rPr>
        <w:t>3.4</w:t>
      </w:r>
      <w:r w:rsidRPr="007C263C">
        <w:rPr>
          <w:rFonts w:ascii="Times New Roman" w:hAnsi="Times New Roman" w:cs="Times New Roman"/>
        </w:rPr>
        <w:tab/>
        <w:t>Strany berou na vědomí, že poskytování Bonusu dle této Smlouvy musí být průběžně posuzováno z hlediska souladu se soutěžními pravidly podle zákona č. 143/2001 Sb., o ochraně hospodářské soutěže, v platném znění (dále jen „</w:t>
      </w:r>
      <w:r w:rsidRPr="007C263C">
        <w:rPr>
          <w:rFonts w:ascii="Times New Roman" w:hAnsi="Times New Roman" w:cs="Times New Roman"/>
          <w:b/>
        </w:rPr>
        <w:t>Zákon</w:t>
      </w:r>
      <w:r w:rsidRPr="007C263C">
        <w:rPr>
          <w:rFonts w:ascii="Times New Roman" w:hAnsi="Times New Roman" w:cs="Times New Roman"/>
        </w:rPr>
        <w:t>“) nebo podle článků 101 a 102 Smlouvy o fungování Evropské unie (dále jen „</w:t>
      </w:r>
      <w:r w:rsidRPr="007C263C">
        <w:rPr>
          <w:rFonts w:ascii="Times New Roman" w:hAnsi="Times New Roman" w:cs="Times New Roman"/>
          <w:b/>
        </w:rPr>
        <w:t>Smlouva o EU</w:t>
      </w:r>
      <w:r w:rsidRPr="007C263C">
        <w:rPr>
          <w:rFonts w:ascii="Times New Roman" w:hAnsi="Times New Roman" w:cs="Times New Roman"/>
        </w:rPr>
        <w:t>“). Odběratel bere na vědomí, že společnost AbbVie má právo změnit podmínky poskytování Bonusu podle této Smlouvy, pokud by postup podle této Smlouvy mohl mít za následek nežádoucí účinky na hospodářskou soutěž v rozporu s platnými ustanoveními Zákona nebo Smlouvy o EU.</w:t>
      </w:r>
    </w:p>
    <w:p w14:paraId="1D14464D" w14:textId="77777777" w:rsidR="0064060B" w:rsidRPr="007C263C" w:rsidRDefault="0064060B" w:rsidP="0064060B">
      <w:pPr>
        <w:ind w:left="705" w:hanging="705"/>
        <w:rPr>
          <w:rFonts w:ascii="Times New Roman" w:hAnsi="Times New Roman" w:cs="Times New Roman"/>
        </w:rPr>
      </w:pPr>
      <w:r w:rsidRPr="007C263C">
        <w:rPr>
          <w:rFonts w:ascii="Times New Roman" w:hAnsi="Times New Roman" w:cs="Times New Roman"/>
        </w:rPr>
        <w:t>3.5</w:t>
      </w:r>
      <w:r w:rsidRPr="007C263C">
        <w:rPr>
          <w:rFonts w:ascii="Times New Roman" w:hAnsi="Times New Roman" w:cs="Times New Roman"/>
        </w:rPr>
        <w:tab/>
        <w:t>Pokud za trvání této Smlouvy tržní podíl kteréhokoliv z Produktů uvedených v Příloze č. 1 této Smlouvy dosáhne nebo překročí výši, která by mohla být považována za znak dominance společnosti AbbVie na relevantním trhu, a zároveň na tomtéž trhu nepůsobí soutěžitelé, kteří by zaujímali odpovídající tržní podíl zajišťující existenci účinné hospodářské soutěže, společnost AbbVie se zavazuje bez zbytečného odkladu informovat o této skutečnosti Odběratele a zahájit jednání o změně Přílohy č. 1 této Smlouvy, která bude mít za následek změnu nároku na Bonus týkající se Nákupů takového Produktu. Odběratel se v takovém případě zavazuje poskytnout společnosti AbbVie veškerou potřebnou součinnost, aby došlo k odpovídající změně Přílohy č. 1 a dosažení souladu s právními předpisy.</w:t>
      </w:r>
    </w:p>
    <w:p w14:paraId="2DD9A6A8" w14:textId="77777777" w:rsidR="0064060B" w:rsidRPr="007C263C" w:rsidRDefault="0064060B" w:rsidP="0064060B">
      <w:pPr>
        <w:ind w:left="705" w:hanging="705"/>
        <w:rPr>
          <w:rFonts w:ascii="Times New Roman" w:hAnsi="Times New Roman" w:cs="Times New Roman"/>
        </w:rPr>
      </w:pPr>
      <w:r w:rsidRPr="007C263C">
        <w:rPr>
          <w:rFonts w:ascii="Times New Roman" w:hAnsi="Times New Roman" w:cs="Times New Roman"/>
        </w:rPr>
        <w:t>3.6</w:t>
      </w:r>
      <w:r w:rsidRPr="007C263C">
        <w:rPr>
          <w:rFonts w:ascii="Times New Roman" w:hAnsi="Times New Roman" w:cs="Times New Roman"/>
        </w:rPr>
        <w:tab/>
        <w:t>Společnost AbbVie i Odběratel se zavazují postupovat způsobem uvedeným v odst. 3.5 této Smlouvy také na základě výzvy či uložených povinností ze strany kompetentního orgánu, zejména Úřadu pro ochranu hospodářské soutěže, příp. Evropské komise.</w:t>
      </w:r>
    </w:p>
    <w:p w14:paraId="11DB34BB" w14:textId="77777777" w:rsidR="0064060B" w:rsidRPr="007C263C" w:rsidRDefault="0064060B" w:rsidP="0064060B">
      <w:pPr>
        <w:ind w:left="705" w:hanging="705"/>
        <w:rPr>
          <w:rFonts w:ascii="Times New Roman" w:hAnsi="Times New Roman" w:cs="Times New Roman"/>
        </w:rPr>
      </w:pPr>
      <w:r w:rsidRPr="007C263C">
        <w:rPr>
          <w:rFonts w:ascii="Times New Roman" w:hAnsi="Times New Roman" w:cs="Times New Roman"/>
        </w:rPr>
        <w:lastRenderedPageBreak/>
        <w:t>3.7</w:t>
      </w:r>
      <w:r w:rsidRPr="007C263C">
        <w:rPr>
          <w:rFonts w:ascii="Times New Roman" w:hAnsi="Times New Roman" w:cs="Times New Roman"/>
        </w:rPr>
        <w:tab/>
        <w:t>Pokud dojde ke změně Přílohy č. 1 této Smlouvy podle odstavců 3.5 a 3.6 této Smlouvy, budou do celkové výše Nákupů započteny Produkty, které byly odebrány do dne, v němž společnost AbbVie informovala Odběratele o nutnosti změnit Přílohu č. 1 této Smlouvy z důvodů popsaných v odst. 3.5 nebo 3.6 této Smlouvy.</w:t>
      </w:r>
    </w:p>
    <w:p w14:paraId="2182982B" w14:textId="77777777" w:rsidR="0064060B" w:rsidRPr="007C263C" w:rsidRDefault="0064060B" w:rsidP="0064060B">
      <w:pPr>
        <w:ind w:left="705" w:hanging="705"/>
        <w:rPr>
          <w:rFonts w:ascii="Times New Roman" w:hAnsi="Times New Roman" w:cs="Times New Roman"/>
        </w:rPr>
      </w:pPr>
      <w:r w:rsidRPr="007C263C">
        <w:rPr>
          <w:rFonts w:ascii="Times New Roman" w:hAnsi="Times New Roman" w:cs="Times New Roman"/>
        </w:rPr>
        <w:t>3.8</w:t>
      </w:r>
      <w:r w:rsidRPr="007C263C">
        <w:rPr>
          <w:rFonts w:ascii="Times New Roman" w:hAnsi="Times New Roman" w:cs="Times New Roman"/>
        </w:rPr>
        <w:tab/>
        <w:t>Strany výslovně prohlašují, že postupem podle odstavců 3.5 a 3.6 této Smlouvy nedojde k porušení žádného závazku společnosti AbbVie dle této Smlouvy a Odběrateli nevznikne nárok na náhradu škody ani jinou kompenzaci.</w:t>
      </w:r>
    </w:p>
    <w:p w14:paraId="2A145FDF" w14:textId="77777777" w:rsidR="0064060B" w:rsidRPr="007C263C" w:rsidRDefault="0064060B" w:rsidP="0064060B">
      <w:pPr>
        <w:ind w:left="705" w:hanging="705"/>
        <w:rPr>
          <w:rFonts w:ascii="Times New Roman" w:hAnsi="Times New Roman" w:cs="Times New Roman"/>
        </w:rPr>
      </w:pPr>
      <w:r w:rsidRPr="0015254D">
        <w:rPr>
          <w:rFonts w:ascii="Times New Roman" w:hAnsi="Times New Roman" w:cs="Times New Roman"/>
        </w:rPr>
        <w:t>3.9</w:t>
      </w:r>
      <w:r w:rsidRPr="0015254D">
        <w:rPr>
          <w:rFonts w:ascii="Times New Roman" w:hAnsi="Times New Roman" w:cs="Times New Roman"/>
        </w:rPr>
        <w:tab/>
        <w:t>K výplatě Bonusu dojde při splnění podmínek na základě poskytnutí přehledu Nákupů Produktů Odběratelem v daném referenčním období. Přehled Odběratel poskytne společnosti AbbVie nejpozději do 30. dne následujícího po konci referenčního období. Přehled Nákupů (vratky jsou brány jako záporné prodeje a musí být součástí přehledu) bude zasílán v elektronické podobě společnosti AbbVie a bude obsahovat minimálně následující položky: (i) SUKL kód Produktů, (ii) Specifikace Produktu, (iii) Odebrané množství, a (iv) Distributor.</w:t>
      </w:r>
    </w:p>
    <w:p w14:paraId="6AAEB4F7" w14:textId="77777777" w:rsidR="0064060B" w:rsidRPr="007C263C" w:rsidRDefault="0064060B" w:rsidP="0064060B">
      <w:pPr>
        <w:ind w:left="705" w:hanging="705"/>
        <w:rPr>
          <w:rFonts w:ascii="Times New Roman" w:hAnsi="Times New Roman" w:cs="Times New Roman"/>
        </w:rPr>
      </w:pPr>
      <w:r w:rsidRPr="007C263C">
        <w:rPr>
          <w:rFonts w:ascii="Times New Roman" w:hAnsi="Times New Roman" w:cs="Times New Roman"/>
        </w:rPr>
        <w:t>3.1</w:t>
      </w:r>
      <w:r>
        <w:rPr>
          <w:rFonts w:ascii="Times New Roman" w:hAnsi="Times New Roman" w:cs="Times New Roman"/>
        </w:rPr>
        <w:t>0</w:t>
      </w:r>
      <w:r w:rsidRPr="007C263C">
        <w:rPr>
          <w:rFonts w:ascii="Times New Roman" w:hAnsi="Times New Roman" w:cs="Times New Roman"/>
        </w:rPr>
        <w:tab/>
        <w:t>Smluvní strany berou na vědomí, že v případě nákupů Produktů od třetí osoby (distributora), může taková třetí osoba poskytnout slevu nebo Bonus nad rámec Bonusu upraveného v této Smlouvě.</w:t>
      </w:r>
    </w:p>
    <w:p w14:paraId="4B616875" w14:textId="77777777" w:rsidR="0064060B" w:rsidRPr="007C263C" w:rsidRDefault="0064060B" w:rsidP="0064060B">
      <w:pPr>
        <w:ind w:left="705" w:hanging="705"/>
        <w:rPr>
          <w:rFonts w:ascii="Times New Roman" w:hAnsi="Times New Roman" w:cs="Times New Roman"/>
        </w:rPr>
      </w:pPr>
      <w:r w:rsidRPr="009448DA">
        <w:rPr>
          <w:rFonts w:ascii="Times New Roman" w:hAnsi="Times New Roman" w:cs="Times New Roman"/>
        </w:rPr>
        <w:t>3.11</w:t>
      </w:r>
      <w:r w:rsidRPr="009448DA">
        <w:rPr>
          <w:rFonts w:ascii="Times New Roman" w:hAnsi="Times New Roman" w:cs="Times New Roman"/>
        </w:rPr>
        <w:tab/>
        <w:t>V žádném případě nebude zveřejněna žádná informace, který tvoří obchodní tajemství společnosti AbbVie, t.j. žádné ustanovení o podmínkách nebo výši Bonusu (všechna ustanovení čl. 3 a Přílohy č. 2 této Smlouvy) nebo informace o Produktech, na které se Bonus vztahuje.</w:t>
      </w:r>
    </w:p>
    <w:p w14:paraId="72F12C97" w14:textId="77777777" w:rsidR="0064060B" w:rsidRPr="007C263C" w:rsidRDefault="0064060B" w:rsidP="0064060B">
      <w:pPr>
        <w:ind w:left="705" w:hanging="705"/>
        <w:rPr>
          <w:rFonts w:ascii="Times New Roman" w:hAnsi="Times New Roman" w:cs="Times New Roman"/>
        </w:rPr>
      </w:pPr>
      <w:r w:rsidRPr="007C263C">
        <w:rPr>
          <w:rFonts w:ascii="Times New Roman" w:hAnsi="Times New Roman" w:cs="Times New Roman"/>
        </w:rPr>
        <w:t>3.13</w:t>
      </w:r>
      <w:r>
        <w:rPr>
          <w:rFonts w:ascii="Times New Roman" w:hAnsi="Times New Roman" w:cs="Times New Roman"/>
        </w:rPr>
        <w:tab/>
        <w:t>Dojde-</w:t>
      </w:r>
      <w:r w:rsidRPr="007C263C">
        <w:rPr>
          <w:rFonts w:ascii="Times New Roman" w:hAnsi="Times New Roman" w:cs="Times New Roman"/>
        </w:rPr>
        <w:t>li v referenčním období k významným změnám cen Produktů, vstoupí obě Smluvní strany do jednání o případném podmínek Bonusu.</w:t>
      </w:r>
    </w:p>
    <w:p w14:paraId="29487FC3" w14:textId="77777777" w:rsidR="0064060B" w:rsidRPr="007C263C" w:rsidRDefault="0064060B" w:rsidP="0064060B">
      <w:pPr>
        <w:outlineLvl w:val="0"/>
        <w:rPr>
          <w:rFonts w:ascii="Times New Roman" w:hAnsi="Times New Roman" w:cs="Times New Roman"/>
          <w:b/>
        </w:rPr>
      </w:pPr>
      <w:r w:rsidRPr="007C263C">
        <w:rPr>
          <w:rFonts w:ascii="Times New Roman" w:hAnsi="Times New Roman" w:cs="Times New Roman"/>
          <w:b/>
        </w:rPr>
        <w:t>4.</w:t>
      </w:r>
      <w:r w:rsidRPr="007C263C">
        <w:rPr>
          <w:rFonts w:ascii="Times New Roman" w:hAnsi="Times New Roman" w:cs="Times New Roman"/>
          <w:b/>
        </w:rPr>
        <w:tab/>
        <w:t>DOBA TRVÁNÍ SMLOUVY</w:t>
      </w:r>
    </w:p>
    <w:p w14:paraId="5D5A2CB0" w14:textId="5B46A56A" w:rsidR="0064060B" w:rsidRPr="007C263C" w:rsidRDefault="0064060B" w:rsidP="00B01A5B">
      <w:pPr>
        <w:ind w:left="705" w:hanging="705"/>
        <w:rPr>
          <w:rFonts w:ascii="Times New Roman" w:hAnsi="Times New Roman" w:cs="Times New Roman"/>
        </w:rPr>
      </w:pPr>
      <w:r w:rsidRPr="007C263C">
        <w:rPr>
          <w:rFonts w:ascii="Times New Roman" w:hAnsi="Times New Roman" w:cs="Times New Roman"/>
        </w:rPr>
        <w:t>4.1</w:t>
      </w:r>
      <w:r w:rsidRPr="007C263C">
        <w:rPr>
          <w:rFonts w:ascii="Times New Roman" w:hAnsi="Times New Roman" w:cs="Times New Roman"/>
        </w:rPr>
        <w:tab/>
      </w:r>
      <w:r w:rsidR="00B01A5B" w:rsidRPr="007C263C">
        <w:rPr>
          <w:rFonts w:ascii="Times New Roman" w:hAnsi="Times New Roman" w:cs="Times New Roman"/>
        </w:rPr>
        <w:t xml:space="preserve">Tato </w:t>
      </w:r>
      <w:r w:rsidR="00B01A5B">
        <w:rPr>
          <w:rFonts w:ascii="Times New Roman" w:hAnsi="Times New Roman" w:cs="Times New Roman"/>
        </w:rPr>
        <w:t>Smlouva se uzavírá p</w:t>
      </w:r>
      <w:r w:rsidR="00B01A5B" w:rsidRPr="007C263C">
        <w:rPr>
          <w:rFonts w:ascii="Times New Roman" w:hAnsi="Times New Roman" w:cs="Times New Roman"/>
        </w:rPr>
        <w:t xml:space="preserve">o dobu </w:t>
      </w:r>
      <w:r w:rsidR="00B01A5B">
        <w:rPr>
          <w:rFonts w:ascii="Times New Roman" w:hAnsi="Times New Roman" w:cs="Times New Roman"/>
        </w:rPr>
        <w:t>ne</w:t>
      </w:r>
      <w:r w:rsidR="00B01A5B" w:rsidRPr="007C263C">
        <w:rPr>
          <w:rFonts w:ascii="Times New Roman" w:hAnsi="Times New Roman" w:cs="Times New Roman"/>
        </w:rPr>
        <w:t>urči</w:t>
      </w:r>
      <w:r w:rsidR="00B01A5B">
        <w:rPr>
          <w:rFonts w:ascii="Times New Roman" w:hAnsi="Times New Roman" w:cs="Times New Roman"/>
        </w:rPr>
        <w:t xml:space="preserve">tou od podpisu této Smlouvy </w:t>
      </w:r>
      <w:r w:rsidR="00B01A5B" w:rsidRPr="007C263C">
        <w:rPr>
          <w:rFonts w:ascii="Times New Roman" w:hAnsi="Times New Roman" w:cs="Times New Roman"/>
        </w:rPr>
        <w:t>(dále jen „</w:t>
      </w:r>
      <w:r w:rsidR="00B01A5B" w:rsidRPr="007C263C">
        <w:rPr>
          <w:rFonts w:ascii="Times New Roman" w:hAnsi="Times New Roman" w:cs="Times New Roman"/>
          <w:b/>
        </w:rPr>
        <w:t>Doba trvání</w:t>
      </w:r>
      <w:r w:rsidR="00B01A5B" w:rsidRPr="007C263C">
        <w:rPr>
          <w:rFonts w:ascii="Times New Roman" w:hAnsi="Times New Roman" w:cs="Times New Roman"/>
        </w:rPr>
        <w:t xml:space="preserve">“). </w:t>
      </w:r>
      <w:r w:rsidRPr="007C263C">
        <w:rPr>
          <w:rFonts w:ascii="Times New Roman" w:hAnsi="Times New Roman" w:cs="Times New Roman"/>
        </w:rPr>
        <w:t xml:space="preserve"> </w:t>
      </w:r>
    </w:p>
    <w:p w14:paraId="67713566" w14:textId="77777777" w:rsidR="0064060B" w:rsidRPr="007C263C" w:rsidRDefault="0064060B" w:rsidP="0064060B">
      <w:pPr>
        <w:outlineLvl w:val="0"/>
        <w:rPr>
          <w:rFonts w:ascii="Times New Roman" w:hAnsi="Times New Roman" w:cs="Times New Roman"/>
          <w:b/>
        </w:rPr>
      </w:pPr>
      <w:r w:rsidRPr="007C263C">
        <w:rPr>
          <w:rFonts w:ascii="Times New Roman" w:hAnsi="Times New Roman" w:cs="Times New Roman"/>
          <w:b/>
        </w:rPr>
        <w:t>5.</w:t>
      </w:r>
      <w:r w:rsidRPr="007C263C">
        <w:rPr>
          <w:rFonts w:ascii="Times New Roman" w:hAnsi="Times New Roman" w:cs="Times New Roman"/>
          <w:b/>
        </w:rPr>
        <w:tab/>
        <w:t>PROHLÁŠENÍ A ZÁVAZKY ODBĚRATELE</w:t>
      </w:r>
    </w:p>
    <w:p w14:paraId="7D1A859C" w14:textId="77777777" w:rsidR="0064060B" w:rsidRPr="007C263C" w:rsidRDefault="0064060B" w:rsidP="0064060B">
      <w:pPr>
        <w:ind w:left="705" w:hanging="705"/>
        <w:rPr>
          <w:rFonts w:ascii="Times New Roman" w:hAnsi="Times New Roman" w:cs="Times New Roman"/>
        </w:rPr>
      </w:pPr>
      <w:r w:rsidRPr="007C263C">
        <w:rPr>
          <w:rFonts w:ascii="Times New Roman" w:hAnsi="Times New Roman" w:cs="Times New Roman"/>
        </w:rPr>
        <w:t>5.1</w:t>
      </w:r>
      <w:r w:rsidRPr="007C263C">
        <w:rPr>
          <w:rFonts w:ascii="Times New Roman" w:hAnsi="Times New Roman" w:cs="Times New Roman"/>
        </w:rPr>
        <w:tab/>
        <w:t>Odběratel prohlašuje, že je způsobilý uzavřít tuto Smlouvu, že získal veškerá potřebná povolení a souhlasy k podpisu této Smlouvy a k plnění závazků z ní vyplývajících, a tato povolení a souhlasy jsou platná a účinná v plném rozsahu.</w:t>
      </w:r>
    </w:p>
    <w:p w14:paraId="7D849FAA" w14:textId="77777777" w:rsidR="0064060B" w:rsidRPr="007C263C" w:rsidRDefault="0064060B" w:rsidP="0064060B">
      <w:pPr>
        <w:ind w:left="705" w:hanging="705"/>
        <w:rPr>
          <w:rFonts w:ascii="Times New Roman" w:hAnsi="Times New Roman" w:cs="Times New Roman"/>
        </w:rPr>
      </w:pPr>
      <w:r w:rsidRPr="007C263C">
        <w:rPr>
          <w:rFonts w:ascii="Times New Roman" w:hAnsi="Times New Roman" w:cs="Times New Roman"/>
        </w:rPr>
        <w:t>5.2</w:t>
      </w:r>
      <w:r w:rsidRPr="007C263C">
        <w:rPr>
          <w:rFonts w:ascii="Times New Roman" w:hAnsi="Times New Roman" w:cs="Times New Roman"/>
        </w:rPr>
        <w:tab/>
        <w:t>Odběratel prohlašuje, že neexistuje žádný nárok, žaloba, řízení nebo šetření státních orgánů, který by měl nepříznivý dopad na jeho schopnost plnit jeho povinnosti podle této Smlouvy nebo který by způsoboval neplatnost nebo nevynutitelnost této Smlouvy, ani dle vědomí Odběratele takový nárok, žaloba, řízení nebo šetření státních orgánů nehrozí.</w:t>
      </w:r>
    </w:p>
    <w:p w14:paraId="63EE2F79" w14:textId="77777777" w:rsidR="0064060B" w:rsidRPr="007C263C" w:rsidRDefault="0064060B" w:rsidP="0064060B">
      <w:pPr>
        <w:ind w:left="705" w:hanging="705"/>
        <w:rPr>
          <w:rFonts w:ascii="Times New Roman" w:hAnsi="Times New Roman" w:cs="Times New Roman"/>
        </w:rPr>
      </w:pPr>
      <w:r w:rsidRPr="007C263C">
        <w:rPr>
          <w:rFonts w:ascii="Times New Roman" w:hAnsi="Times New Roman" w:cs="Times New Roman"/>
        </w:rPr>
        <w:t>5.3</w:t>
      </w:r>
      <w:r w:rsidRPr="007C263C">
        <w:rPr>
          <w:rFonts w:ascii="Times New Roman" w:hAnsi="Times New Roman" w:cs="Times New Roman"/>
        </w:rPr>
        <w:tab/>
        <w:t>Během Doby trvání bude Odběratel společnosti AbbVie okamžitě předávat veškeré podstatné informace týkající se plnění této Smlouvy. Za podstatnou informaci se považuje taková informace, u které se lze odůvodněně domnívat, že by ji společnost AbbVie chtěla či měla znát.</w:t>
      </w:r>
    </w:p>
    <w:p w14:paraId="43A01265" w14:textId="77777777" w:rsidR="0064060B" w:rsidRPr="007C263C" w:rsidRDefault="0064060B" w:rsidP="0064060B">
      <w:pPr>
        <w:ind w:left="705" w:hanging="705"/>
        <w:rPr>
          <w:rFonts w:ascii="Times New Roman" w:hAnsi="Times New Roman" w:cs="Times New Roman"/>
        </w:rPr>
      </w:pPr>
      <w:r w:rsidRPr="007C263C">
        <w:rPr>
          <w:rFonts w:ascii="Times New Roman" w:hAnsi="Times New Roman" w:cs="Times New Roman"/>
        </w:rPr>
        <w:t>5.4</w:t>
      </w:r>
      <w:r w:rsidRPr="007C263C">
        <w:rPr>
          <w:rFonts w:ascii="Times New Roman" w:hAnsi="Times New Roman" w:cs="Times New Roman"/>
        </w:rPr>
        <w:tab/>
        <w:t xml:space="preserve">Odběratel prohlašuje, že si je vědom postavení společnosti AbbVie jako farmaceutické společnosti a charakteru jejích Produktů a s tímto vědomím se zavazuje postupovat při realizaci této Smlouvy výlučně v souladu s platnými právními předpisy, zejména zákonem č. 40/1995 Sb., o regulaci reklamy, v platném znění, Občanským zákoníkem a zákonem č. 40/2009 Sb., trestní zákoník, v platném znění, jakož i dalšími příslušnými předpisy, stejně jako veškerými etickými kodexy vztahujícími se na činnost společnosti AbbVie a její Produkty. </w:t>
      </w:r>
    </w:p>
    <w:p w14:paraId="6EEE7392" w14:textId="77777777" w:rsidR="0064060B" w:rsidRPr="007C263C" w:rsidRDefault="0064060B" w:rsidP="0064060B">
      <w:pPr>
        <w:ind w:left="705" w:hanging="705"/>
        <w:rPr>
          <w:rFonts w:ascii="Times New Roman" w:hAnsi="Times New Roman" w:cs="Times New Roman"/>
        </w:rPr>
      </w:pPr>
      <w:r w:rsidRPr="007C263C">
        <w:rPr>
          <w:rFonts w:ascii="Times New Roman" w:hAnsi="Times New Roman" w:cs="Times New Roman"/>
        </w:rPr>
        <w:lastRenderedPageBreak/>
        <w:t xml:space="preserve"> 5.</w:t>
      </w:r>
      <w:r>
        <w:rPr>
          <w:rFonts w:ascii="Times New Roman" w:hAnsi="Times New Roman" w:cs="Times New Roman"/>
        </w:rPr>
        <w:t>5</w:t>
      </w:r>
      <w:r w:rsidRPr="007C263C">
        <w:rPr>
          <w:rFonts w:ascii="Times New Roman" w:hAnsi="Times New Roman" w:cs="Times New Roman"/>
        </w:rPr>
        <w:tab/>
        <w:t>Odběratel se zavazuje nepropagovat Produkty či jiné výrobky společnosti AbbVie (i) nad rámec jejich oficiálně povoleného užití v České republice (tzv. off-label promotion) nebo (ii) pokud nebyly řádně registrovány pro použití v České republice nebo (iii) vůči široké veřejnosti, pokud se jedná o Produkty či jiné výrobky, které mohou být vydávány pouze na lékařský předpis nebo pokud obsahují omamné či psychotropní látky.</w:t>
      </w:r>
    </w:p>
    <w:p w14:paraId="4CD4A1CC" w14:textId="77777777" w:rsidR="0064060B" w:rsidRPr="007C263C" w:rsidRDefault="0064060B" w:rsidP="0064060B">
      <w:pPr>
        <w:ind w:left="705" w:hanging="705"/>
        <w:rPr>
          <w:rFonts w:ascii="Times New Roman" w:hAnsi="Times New Roman" w:cs="Times New Roman"/>
        </w:rPr>
      </w:pPr>
      <w:r w:rsidRPr="007C263C">
        <w:rPr>
          <w:rFonts w:ascii="Times New Roman" w:hAnsi="Times New Roman" w:cs="Times New Roman"/>
        </w:rPr>
        <w:t>5.</w:t>
      </w:r>
      <w:r>
        <w:rPr>
          <w:rFonts w:ascii="Times New Roman" w:hAnsi="Times New Roman" w:cs="Times New Roman"/>
        </w:rPr>
        <w:t>6</w:t>
      </w:r>
      <w:r w:rsidRPr="0015254D">
        <w:rPr>
          <w:rFonts w:ascii="Times New Roman" w:hAnsi="Times New Roman" w:cs="Times New Roman"/>
        </w:rPr>
        <w:tab/>
        <w:t>Odběratel u Produktů uvedených v Příloze č. 1, které jsou hrazeny z prostředků veřejného zdravotního pojištění, zaručuje, že při uplatňování úhrad z těchto prostředků bude uplatňovat pouze skutečně zaplacenou cenu za Produkty a bude postupovat výlučně v souladu s příslušnými právními předpisy (zejména zákona č. 48/1997 Sb., o veřejném zdravotním pojištění, zákona č. 526/1990 Sb., o cenách, zákona č. 265/1991 Sb., o působnosti orgánů České republiky v oblasti cen, jakož i jejich prováděcími předpisy).</w:t>
      </w:r>
      <w:r w:rsidRPr="007C263C">
        <w:rPr>
          <w:rFonts w:ascii="Times New Roman" w:hAnsi="Times New Roman" w:cs="Times New Roman"/>
        </w:rPr>
        <w:t xml:space="preserve"> </w:t>
      </w:r>
    </w:p>
    <w:p w14:paraId="144FEF65" w14:textId="77777777" w:rsidR="0064060B" w:rsidRPr="007C263C" w:rsidRDefault="0064060B" w:rsidP="0064060B">
      <w:pPr>
        <w:ind w:left="705" w:hanging="705"/>
        <w:rPr>
          <w:rFonts w:ascii="Times New Roman" w:hAnsi="Times New Roman" w:cs="Times New Roman"/>
        </w:rPr>
      </w:pPr>
      <w:r w:rsidRPr="007C263C">
        <w:rPr>
          <w:rFonts w:ascii="Times New Roman" w:hAnsi="Times New Roman" w:cs="Times New Roman"/>
        </w:rPr>
        <w:t>5.</w:t>
      </w:r>
      <w:r>
        <w:rPr>
          <w:rFonts w:ascii="Times New Roman" w:hAnsi="Times New Roman" w:cs="Times New Roman"/>
        </w:rPr>
        <w:t>7</w:t>
      </w:r>
      <w:r w:rsidRPr="007C263C">
        <w:rPr>
          <w:rFonts w:ascii="Times New Roman" w:hAnsi="Times New Roman" w:cs="Times New Roman"/>
        </w:rPr>
        <w:tab/>
        <w:t>Odběratel prohlašuje, že uzavření této Smlouvy není v rozporu s podmínkami stanovenými v jakékoliv smlouvě uzavřené Odběratelem se třetí stranou, její plnění z jeho strany nepovede k porušení práv třetích osob, etických zásad ani obecně závazných právních předpisů, včetně zákona č. 134/2016 Sb., o zadávání veřejných zakázek, ve znění pozdějších předpisů.</w:t>
      </w:r>
    </w:p>
    <w:p w14:paraId="599FB8D3" w14:textId="77777777" w:rsidR="0064060B" w:rsidRPr="007C263C" w:rsidRDefault="0064060B" w:rsidP="0064060B">
      <w:pPr>
        <w:outlineLvl w:val="0"/>
        <w:rPr>
          <w:rFonts w:ascii="Times New Roman" w:hAnsi="Times New Roman" w:cs="Times New Roman"/>
          <w:b/>
        </w:rPr>
      </w:pPr>
      <w:r w:rsidRPr="007C263C">
        <w:rPr>
          <w:rFonts w:ascii="Times New Roman" w:hAnsi="Times New Roman" w:cs="Times New Roman"/>
          <w:b/>
        </w:rPr>
        <w:t>6.</w:t>
      </w:r>
      <w:r w:rsidRPr="007C263C">
        <w:rPr>
          <w:rFonts w:ascii="Times New Roman" w:hAnsi="Times New Roman" w:cs="Times New Roman"/>
          <w:b/>
        </w:rPr>
        <w:tab/>
        <w:t>PROHLÁŠENÍ A ZÁVAZKY SPOLEČNOSTI ABBVIE</w:t>
      </w:r>
    </w:p>
    <w:p w14:paraId="5F826D43" w14:textId="77777777" w:rsidR="0064060B" w:rsidRPr="007C263C" w:rsidRDefault="0064060B" w:rsidP="0064060B">
      <w:pPr>
        <w:ind w:left="705" w:hanging="705"/>
        <w:rPr>
          <w:rFonts w:ascii="Times New Roman" w:hAnsi="Times New Roman" w:cs="Times New Roman"/>
        </w:rPr>
      </w:pPr>
      <w:r w:rsidRPr="007C263C">
        <w:rPr>
          <w:rFonts w:ascii="Times New Roman" w:hAnsi="Times New Roman" w:cs="Times New Roman"/>
        </w:rPr>
        <w:t>6.1</w:t>
      </w:r>
      <w:r w:rsidRPr="007C263C">
        <w:rPr>
          <w:rFonts w:ascii="Times New Roman" w:hAnsi="Times New Roman" w:cs="Times New Roman"/>
        </w:rPr>
        <w:tab/>
        <w:t>Společnost AbbVie prohlašuje, že je způsobilá uzavřít tuto Smlouvu, že získala veškerá potřebná povolení a souhlasy k podpisu této Smlouvy a k plnění závazků z ní vyplývajících, a tato povolení a souhlasy jsou platná a účinná v plném rozsahu.</w:t>
      </w:r>
    </w:p>
    <w:p w14:paraId="29A691C9" w14:textId="77777777" w:rsidR="0064060B" w:rsidRPr="007C263C" w:rsidRDefault="0064060B" w:rsidP="0064060B">
      <w:pPr>
        <w:ind w:left="705" w:hanging="705"/>
        <w:rPr>
          <w:rFonts w:ascii="Times New Roman" w:hAnsi="Times New Roman" w:cs="Times New Roman"/>
        </w:rPr>
      </w:pPr>
      <w:r w:rsidRPr="007C263C">
        <w:rPr>
          <w:rFonts w:ascii="Times New Roman" w:hAnsi="Times New Roman" w:cs="Times New Roman"/>
        </w:rPr>
        <w:t>6.2</w:t>
      </w:r>
      <w:r w:rsidRPr="007C263C">
        <w:rPr>
          <w:rFonts w:ascii="Times New Roman" w:hAnsi="Times New Roman" w:cs="Times New Roman"/>
        </w:rPr>
        <w:tab/>
        <w:t>Společnost AbbVie prohlašuje, že neexistuje žádný nárok, žaloba, řízení nebo šetření státních orgánů, který by měl nepříznivý dopad na schopnost plnit povinnosti podle této Smlouvy nebo který by způsoboval neplatnost nebo nevynutitelnost této Smlouvy.</w:t>
      </w:r>
    </w:p>
    <w:p w14:paraId="76339BD1" w14:textId="77777777" w:rsidR="0064060B" w:rsidRPr="007C263C" w:rsidRDefault="0064060B" w:rsidP="0064060B">
      <w:pPr>
        <w:outlineLvl w:val="0"/>
        <w:rPr>
          <w:rFonts w:ascii="Times New Roman" w:hAnsi="Times New Roman" w:cs="Times New Roman"/>
          <w:b/>
        </w:rPr>
      </w:pPr>
      <w:r>
        <w:rPr>
          <w:rFonts w:ascii="Times New Roman" w:hAnsi="Times New Roman" w:cs="Times New Roman"/>
          <w:b/>
        </w:rPr>
        <w:t>7</w:t>
      </w:r>
      <w:r w:rsidRPr="007C263C">
        <w:rPr>
          <w:rFonts w:ascii="Times New Roman" w:hAnsi="Times New Roman" w:cs="Times New Roman"/>
          <w:b/>
        </w:rPr>
        <w:t>.</w:t>
      </w:r>
      <w:r w:rsidRPr="007C263C">
        <w:rPr>
          <w:rFonts w:ascii="Times New Roman" w:hAnsi="Times New Roman" w:cs="Times New Roman"/>
          <w:b/>
        </w:rPr>
        <w:tab/>
        <w:t>UKONČENÍ SMLOUVY</w:t>
      </w:r>
    </w:p>
    <w:p w14:paraId="34ED8BED" w14:textId="77777777" w:rsidR="0064060B" w:rsidRPr="007C263C" w:rsidRDefault="0064060B" w:rsidP="0064060B">
      <w:pPr>
        <w:ind w:left="705" w:hanging="705"/>
        <w:rPr>
          <w:rFonts w:ascii="Times New Roman" w:hAnsi="Times New Roman" w:cs="Times New Roman"/>
        </w:rPr>
      </w:pPr>
      <w:r>
        <w:rPr>
          <w:rFonts w:ascii="Times New Roman" w:hAnsi="Times New Roman" w:cs="Times New Roman"/>
        </w:rPr>
        <w:t>7</w:t>
      </w:r>
      <w:r w:rsidRPr="007C263C">
        <w:rPr>
          <w:rFonts w:ascii="Times New Roman" w:hAnsi="Times New Roman" w:cs="Times New Roman"/>
        </w:rPr>
        <w:t>.1</w:t>
      </w:r>
      <w:r w:rsidRPr="007C263C">
        <w:rPr>
          <w:rFonts w:ascii="Times New Roman" w:hAnsi="Times New Roman" w:cs="Times New Roman"/>
        </w:rPr>
        <w:tab/>
        <w:t xml:space="preserve">Obě Smluvní strany mají právo tuto Smlouvu ukončit písemnou výpovědí doručenou druhé Smluvní straně s tříměsíční výpovědní lhůtou počínající prvním dnem kalendářního </w:t>
      </w:r>
      <w:r>
        <w:rPr>
          <w:rFonts w:ascii="Times New Roman" w:hAnsi="Times New Roman" w:cs="Times New Roman"/>
        </w:rPr>
        <w:t>měsíce</w:t>
      </w:r>
      <w:r w:rsidRPr="007C263C">
        <w:rPr>
          <w:rFonts w:ascii="Times New Roman" w:hAnsi="Times New Roman" w:cs="Times New Roman"/>
        </w:rPr>
        <w:t xml:space="preserve"> následujícího po doručení výpovědi.</w:t>
      </w:r>
    </w:p>
    <w:p w14:paraId="181DC543" w14:textId="77777777" w:rsidR="0064060B" w:rsidRPr="007C263C" w:rsidRDefault="0064060B" w:rsidP="0064060B">
      <w:pPr>
        <w:ind w:left="705" w:hanging="705"/>
        <w:rPr>
          <w:rFonts w:ascii="Times New Roman" w:hAnsi="Times New Roman" w:cs="Times New Roman"/>
        </w:rPr>
      </w:pPr>
      <w:r>
        <w:rPr>
          <w:rFonts w:ascii="Times New Roman" w:hAnsi="Times New Roman" w:cs="Times New Roman"/>
        </w:rPr>
        <w:t>7</w:t>
      </w:r>
      <w:r w:rsidRPr="007C263C">
        <w:rPr>
          <w:rFonts w:ascii="Times New Roman" w:hAnsi="Times New Roman" w:cs="Times New Roman"/>
        </w:rPr>
        <w:t>.2</w:t>
      </w:r>
      <w:r w:rsidRPr="007C263C">
        <w:rPr>
          <w:rFonts w:ascii="Times New Roman" w:hAnsi="Times New Roman" w:cs="Times New Roman"/>
        </w:rPr>
        <w:tab/>
        <w:t>Odběratel může od této Smlouvy odstoupit na základě písemného oznámení doručeného společnosti AbbVie a účinného okamžikem doručení v případě podstatného porušení této Smlouvy společností AbbVie, přičemž takové podstatné porušení nastane, jestliže:</w:t>
      </w:r>
    </w:p>
    <w:p w14:paraId="49255DBA" w14:textId="77777777" w:rsidR="0064060B" w:rsidRPr="007C263C" w:rsidRDefault="0064060B" w:rsidP="0064060B">
      <w:pPr>
        <w:ind w:left="1413" w:hanging="708"/>
        <w:rPr>
          <w:rFonts w:ascii="Times New Roman" w:hAnsi="Times New Roman" w:cs="Times New Roman"/>
        </w:rPr>
      </w:pPr>
      <w:r w:rsidRPr="007C263C">
        <w:rPr>
          <w:rFonts w:ascii="Times New Roman" w:hAnsi="Times New Roman" w:cs="Times New Roman"/>
        </w:rPr>
        <w:t>(a)</w:t>
      </w:r>
      <w:r w:rsidRPr="007C263C">
        <w:rPr>
          <w:rFonts w:ascii="Times New Roman" w:hAnsi="Times New Roman" w:cs="Times New Roman"/>
        </w:rPr>
        <w:tab/>
        <w:t>společnost AbbVie poruší tuto Smlouvu a vzniklý stav nenapraví do třiceti (30) pracovních dnů poté, kdy od Odběratele obdrží písemné oznámení s popisem porušení a výzvou k jeho nápravě, přičemž platí, že nelze-li porušení napravit, takové oznámení se nevyžaduje, nebo</w:t>
      </w:r>
    </w:p>
    <w:p w14:paraId="39897FDD" w14:textId="77777777" w:rsidR="0064060B" w:rsidRPr="007C263C" w:rsidRDefault="0064060B" w:rsidP="0064060B">
      <w:pPr>
        <w:ind w:left="1413" w:hanging="708"/>
        <w:rPr>
          <w:rFonts w:ascii="Times New Roman" w:hAnsi="Times New Roman" w:cs="Times New Roman"/>
        </w:rPr>
      </w:pPr>
      <w:r w:rsidRPr="007C263C">
        <w:rPr>
          <w:rFonts w:ascii="Times New Roman" w:hAnsi="Times New Roman" w:cs="Times New Roman"/>
        </w:rPr>
        <w:t>(b)</w:t>
      </w:r>
      <w:r w:rsidRPr="007C263C">
        <w:rPr>
          <w:rFonts w:ascii="Times New Roman" w:hAnsi="Times New Roman" w:cs="Times New Roman"/>
        </w:rPr>
        <w:tab/>
        <w:t>vůči společnosti AbbVie bude zahájeno insolvenční řízení, vydáno rozhodnutí o likvidaci, či se ocitne v úpadku.</w:t>
      </w:r>
    </w:p>
    <w:p w14:paraId="6AFB0C36" w14:textId="77777777" w:rsidR="0064060B" w:rsidRPr="007C263C" w:rsidRDefault="0064060B" w:rsidP="0064060B">
      <w:pPr>
        <w:ind w:left="705" w:hanging="705"/>
        <w:rPr>
          <w:rFonts w:ascii="Times New Roman" w:hAnsi="Times New Roman" w:cs="Times New Roman"/>
        </w:rPr>
      </w:pPr>
      <w:r>
        <w:rPr>
          <w:rFonts w:ascii="Times New Roman" w:hAnsi="Times New Roman" w:cs="Times New Roman"/>
        </w:rPr>
        <w:t>7</w:t>
      </w:r>
      <w:r w:rsidRPr="007C263C">
        <w:rPr>
          <w:rFonts w:ascii="Times New Roman" w:hAnsi="Times New Roman" w:cs="Times New Roman"/>
        </w:rPr>
        <w:t>.3</w:t>
      </w:r>
      <w:r w:rsidRPr="007C263C">
        <w:rPr>
          <w:rFonts w:ascii="Times New Roman" w:hAnsi="Times New Roman" w:cs="Times New Roman"/>
        </w:rPr>
        <w:tab/>
        <w:t>Společnosti AbbVie může od této Smlouvy odstoupit na základě písemného oznámení doručeného Odběrateli a účinného okamžikem doručení v případě podstatného porušení této Smlouvy Odběratelem, přičemž takové podstatné porušení nastane, jestliže:</w:t>
      </w:r>
    </w:p>
    <w:p w14:paraId="3C106609" w14:textId="77777777" w:rsidR="0064060B" w:rsidRPr="007C263C" w:rsidRDefault="0064060B" w:rsidP="0064060B">
      <w:pPr>
        <w:ind w:left="1413" w:hanging="708"/>
        <w:rPr>
          <w:rFonts w:ascii="Times New Roman" w:hAnsi="Times New Roman" w:cs="Times New Roman"/>
        </w:rPr>
      </w:pPr>
      <w:r w:rsidRPr="007C263C">
        <w:rPr>
          <w:rFonts w:ascii="Times New Roman" w:hAnsi="Times New Roman" w:cs="Times New Roman"/>
        </w:rPr>
        <w:t>(a)</w:t>
      </w:r>
      <w:r w:rsidRPr="007C263C">
        <w:rPr>
          <w:rFonts w:ascii="Times New Roman" w:hAnsi="Times New Roman" w:cs="Times New Roman"/>
        </w:rPr>
        <w:tab/>
        <w:t>Odběratel poruší jakoukoliv povinnost či prohlášení stanovené v odst. 5.4 až 5.</w:t>
      </w:r>
      <w:r>
        <w:rPr>
          <w:rFonts w:ascii="Times New Roman" w:hAnsi="Times New Roman" w:cs="Times New Roman"/>
        </w:rPr>
        <w:t>8</w:t>
      </w:r>
      <w:r w:rsidRPr="007C263C">
        <w:rPr>
          <w:rFonts w:ascii="Times New Roman" w:hAnsi="Times New Roman" w:cs="Times New Roman"/>
        </w:rPr>
        <w:t xml:space="preserve"> nebo </w:t>
      </w:r>
      <w:r>
        <w:rPr>
          <w:rFonts w:ascii="Times New Roman" w:hAnsi="Times New Roman" w:cs="Times New Roman"/>
        </w:rPr>
        <w:t>8</w:t>
      </w:r>
      <w:r w:rsidRPr="007C263C">
        <w:rPr>
          <w:rFonts w:ascii="Times New Roman" w:hAnsi="Times New Roman" w:cs="Times New Roman"/>
        </w:rPr>
        <w:t>.1 této Smlouvy, nebo</w:t>
      </w:r>
    </w:p>
    <w:p w14:paraId="5C2728D5" w14:textId="77777777" w:rsidR="0064060B" w:rsidRPr="007C263C" w:rsidRDefault="0064060B" w:rsidP="0064060B">
      <w:pPr>
        <w:ind w:left="1413" w:hanging="708"/>
        <w:rPr>
          <w:rFonts w:ascii="Times New Roman" w:hAnsi="Times New Roman" w:cs="Times New Roman"/>
        </w:rPr>
      </w:pPr>
      <w:r w:rsidRPr="007C263C">
        <w:rPr>
          <w:rFonts w:ascii="Times New Roman" w:hAnsi="Times New Roman" w:cs="Times New Roman"/>
        </w:rPr>
        <w:lastRenderedPageBreak/>
        <w:t>(b)</w:t>
      </w:r>
      <w:r w:rsidRPr="007C263C">
        <w:rPr>
          <w:rFonts w:ascii="Times New Roman" w:hAnsi="Times New Roman" w:cs="Times New Roman"/>
        </w:rPr>
        <w:tab/>
        <w:t>Odběratel poruší jakoukoliv povinnost (s výjimkou povinností uvedených v písm. (a) tohoto odstavce výše), prohlášení či záruku uvedenou v této Smlouvě a nezjedná nápravu do třiceti (30) pracovních dnů poté, kdy od společnosti AbbVie obdrží písemné oznámení s popisem porušení a výzvou k jeho nápravě, přičemž platí, že nelze-li porušení napravit, uvedené oznámení se nevyžaduje, nebo</w:t>
      </w:r>
    </w:p>
    <w:p w14:paraId="65564ABE" w14:textId="77777777" w:rsidR="0064060B" w:rsidRPr="007C263C" w:rsidRDefault="0064060B" w:rsidP="0064060B">
      <w:pPr>
        <w:ind w:left="1413" w:hanging="708"/>
        <w:rPr>
          <w:rFonts w:ascii="Times New Roman" w:hAnsi="Times New Roman" w:cs="Times New Roman"/>
        </w:rPr>
      </w:pPr>
      <w:r w:rsidRPr="007C263C">
        <w:rPr>
          <w:rFonts w:ascii="Times New Roman" w:hAnsi="Times New Roman" w:cs="Times New Roman"/>
        </w:rPr>
        <w:t>(c)</w:t>
      </w:r>
      <w:r w:rsidRPr="007C263C">
        <w:rPr>
          <w:rFonts w:ascii="Times New Roman" w:hAnsi="Times New Roman" w:cs="Times New Roman"/>
        </w:rPr>
        <w:tab/>
        <w:t xml:space="preserve">vůči Odběrateli bude zahájeno insolvenční řízení, vydáno rozhodnutí o likvidaci, či se ocitne v úpadku. </w:t>
      </w:r>
    </w:p>
    <w:p w14:paraId="3A7E5349" w14:textId="77777777" w:rsidR="0064060B" w:rsidRPr="007C263C" w:rsidRDefault="0064060B" w:rsidP="0064060B">
      <w:pPr>
        <w:ind w:left="705"/>
        <w:rPr>
          <w:rFonts w:ascii="Times New Roman" w:hAnsi="Times New Roman" w:cs="Times New Roman"/>
        </w:rPr>
      </w:pPr>
      <w:r w:rsidRPr="007C263C">
        <w:rPr>
          <w:rFonts w:ascii="Times New Roman" w:hAnsi="Times New Roman" w:cs="Times New Roman"/>
        </w:rPr>
        <w:t xml:space="preserve">Smluvní strany se výslovně dohodly, že pro účely tohoto odst. </w:t>
      </w:r>
      <w:r>
        <w:rPr>
          <w:rFonts w:ascii="Times New Roman" w:hAnsi="Times New Roman" w:cs="Times New Roman"/>
        </w:rPr>
        <w:t>7</w:t>
      </w:r>
      <w:r w:rsidRPr="007C263C">
        <w:rPr>
          <w:rFonts w:ascii="Times New Roman" w:hAnsi="Times New Roman" w:cs="Times New Roman"/>
        </w:rPr>
        <w:t>.3 se podstatným porušením této Smlouvy Odběratelem rozumí i porušení způsobené jakýmkoliv zaměstnancem či zástupcem Odběratele.</w:t>
      </w:r>
    </w:p>
    <w:p w14:paraId="1B4DDF74" w14:textId="77777777" w:rsidR="0064060B" w:rsidRPr="007C263C" w:rsidRDefault="0064060B" w:rsidP="0064060B">
      <w:pPr>
        <w:ind w:left="705" w:firstLine="4"/>
        <w:rPr>
          <w:rFonts w:ascii="Times New Roman" w:hAnsi="Times New Roman" w:cs="Times New Roman"/>
        </w:rPr>
      </w:pPr>
      <w:r w:rsidRPr="007C263C">
        <w:rPr>
          <w:rFonts w:ascii="Times New Roman" w:hAnsi="Times New Roman" w:cs="Times New Roman"/>
        </w:rPr>
        <w:t xml:space="preserve">V případě ukončení této Smlouvy odstoupením společností AbbVie za podmínek tohoto odst. </w:t>
      </w:r>
      <w:r>
        <w:rPr>
          <w:rFonts w:ascii="Times New Roman" w:hAnsi="Times New Roman" w:cs="Times New Roman"/>
        </w:rPr>
        <w:t>7</w:t>
      </w:r>
      <w:r w:rsidRPr="007C263C">
        <w:rPr>
          <w:rFonts w:ascii="Times New Roman" w:hAnsi="Times New Roman" w:cs="Times New Roman"/>
        </w:rPr>
        <w:t>.3 zanikají Odběrateli okamžikem odstoupení veškeré nároky na jakékoliv úhrady Bonusu či jiná plnění dle této Smlouvy, jejichž splatnost má nastat po dni odstoupení, a to bez ohledu na jakoukoliv podniknutou činnost nebo smlouvy s dalšími třetími stranami uzavřenými před odstoupením společností AbbVie od této Smlouvy, a zároveň Odběratel nese odpovědnost za škodu či prostředky nápravy dle příslušných právních předpisů.</w:t>
      </w:r>
    </w:p>
    <w:p w14:paraId="15822701" w14:textId="77777777" w:rsidR="0064060B" w:rsidRPr="007C263C" w:rsidRDefault="0064060B" w:rsidP="0064060B">
      <w:pPr>
        <w:ind w:left="705" w:hanging="705"/>
        <w:rPr>
          <w:rFonts w:ascii="Times New Roman" w:hAnsi="Times New Roman" w:cs="Times New Roman"/>
        </w:rPr>
      </w:pPr>
      <w:r>
        <w:rPr>
          <w:rFonts w:ascii="Times New Roman" w:hAnsi="Times New Roman" w:cs="Times New Roman"/>
        </w:rPr>
        <w:t>7</w:t>
      </w:r>
      <w:r w:rsidRPr="007C263C">
        <w:rPr>
          <w:rFonts w:ascii="Times New Roman" w:hAnsi="Times New Roman" w:cs="Times New Roman"/>
        </w:rPr>
        <w:t>.4</w:t>
      </w:r>
      <w:r w:rsidRPr="007C263C">
        <w:rPr>
          <w:rFonts w:ascii="Times New Roman" w:hAnsi="Times New Roman" w:cs="Times New Roman"/>
        </w:rPr>
        <w:tab/>
        <w:t xml:space="preserve">Práva na ukončení platnosti této Smlouvy uvedená v odst. </w:t>
      </w:r>
      <w:r>
        <w:rPr>
          <w:rFonts w:ascii="Times New Roman" w:hAnsi="Times New Roman" w:cs="Times New Roman"/>
        </w:rPr>
        <w:t>7</w:t>
      </w:r>
      <w:r w:rsidRPr="007C263C">
        <w:rPr>
          <w:rFonts w:ascii="Times New Roman" w:hAnsi="Times New Roman" w:cs="Times New Roman"/>
        </w:rPr>
        <w:t xml:space="preserve">.1 až </w:t>
      </w:r>
      <w:r>
        <w:rPr>
          <w:rFonts w:ascii="Times New Roman" w:hAnsi="Times New Roman" w:cs="Times New Roman"/>
        </w:rPr>
        <w:t>7</w:t>
      </w:r>
      <w:r w:rsidRPr="007C263C">
        <w:rPr>
          <w:rFonts w:ascii="Times New Roman" w:hAnsi="Times New Roman" w:cs="Times New Roman"/>
        </w:rPr>
        <w:t>.3 výše se nijak nedotýkají jakýchkoliv jiných práv Smluvních stran ve vztahu k uvedenému případnému porušení nebo jakémukoliv jinému porušení této Smlouvy (zejména práva na náhradu škody).</w:t>
      </w:r>
    </w:p>
    <w:p w14:paraId="3D1F1E3D" w14:textId="77777777" w:rsidR="0064060B" w:rsidRPr="007C263C" w:rsidRDefault="0064060B" w:rsidP="0064060B">
      <w:pPr>
        <w:ind w:left="705" w:hanging="705"/>
        <w:rPr>
          <w:rFonts w:ascii="Times New Roman" w:hAnsi="Times New Roman" w:cs="Times New Roman"/>
        </w:rPr>
      </w:pPr>
      <w:r>
        <w:rPr>
          <w:rFonts w:ascii="Times New Roman" w:hAnsi="Times New Roman" w:cs="Times New Roman"/>
        </w:rPr>
        <w:t>7</w:t>
      </w:r>
      <w:r w:rsidRPr="007C263C">
        <w:rPr>
          <w:rFonts w:ascii="Times New Roman" w:hAnsi="Times New Roman" w:cs="Times New Roman"/>
        </w:rPr>
        <w:t>.5</w:t>
      </w:r>
      <w:r w:rsidRPr="007C263C">
        <w:rPr>
          <w:rFonts w:ascii="Times New Roman" w:hAnsi="Times New Roman" w:cs="Times New Roman"/>
        </w:rPr>
        <w:tab/>
        <w:t>Bez ohledu na výše uvedené je společnost AbbVie dále oprávněna jednostranně od této Smlouvy odstoupit i bez udání důvodu, a to písemným oznámením doručeným Odběrateli, účinným okamžikem doručení. V takovém případě je společnost AbbVie povinna uhradit Odběrateli poměrnou část Bonusu vypočítaného ke dni účinnosti odstoupení.</w:t>
      </w:r>
    </w:p>
    <w:p w14:paraId="6DD7F1EF" w14:textId="77777777" w:rsidR="0064060B" w:rsidRPr="007C263C" w:rsidRDefault="0064060B" w:rsidP="0064060B">
      <w:pPr>
        <w:ind w:left="705" w:hanging="705"/>
        <w:rPr>
          <w:rFonts w:ascii="Times New Roman" w:hAnsi="Times New Roman" w:cs="Times New Roman"/>
        </w:rPr>
      </w:pPr>
      <w:r>
        <w:rPr>
          <w:rFonts w:ascii="Times New Roman" w:hAnsi="Times New Roman" w:cs="Times New Roman"/>
        </w:rPr>
        <w:t>7</w:t>
      </w:r>
      <w:r w:rsidRPr="007C263C">
        <w:rPr>
          <w:rFonts w:ascii="Times New Roman" w:hAnsi="Times New Roman" w:cs="Times New Roman"/>
        </w:rPr>
        <w:t>.6</w:t>
      </w:r>
      <w:r w:rsidRPr="007C263C">
        <w:rPr>
          <w:rFonts w:ascii="Times New Roman" w:hAnsi="Times New Roman" w:cs="Times New Roman"/>
        </w:rPr>
        <w:tab/>
        <w:t>V případě ukončení této Smlouvy jsou veškeré částky, které si Smluvní strany mají vzájemné plnit dle této Smlouvy, splatné nejpozději do deseti (10) pracovních dnů ode dne ukončení této Smlouvy.</w:t>
      </w:r>
    </w:p>
    <w:p w14:paraId="10694D9F" w14:textId="77777777" w:rsidR="0064060B" w:rsidRPr="007C263C" w:rsidRDefault="0064060B" w:rsidP="0064060B">
      <w:pPr>
        <w:outlineLvl w:val="0"/>
        <w:rPr>
          <w:rFonts w:ascii="Times New Roman" w:hAnsi="Times New Roman" w:cs="Times New Roman"/>
          <w:b/>
        </w:rPr>
      </w:pPr>
      <w:r>
        <w:rPr>
          <w:rFonts w:ascii="Times New Roman" w:hAnsi="Times New Roman" w:cs="Times New Roman"/>
          <w:b/>
        </w:rPr>
        <w:t>8</w:t>
      </w:r>
      <w:r w:rsidRPr="007C263C">
        <w:rPr>
          <w:rFonts w:ascii="Times New Roman" w:hAnsi="Times New Roman" w:cs="Times New Roman"/>
          <w:b/>
        </w:rPr>
        <w:t>.</w:t>
      </w:r>
      <w:r w:rsidRPr="007C263C">
        <w:rPr>
          <w:rFonts w:ascii="Times New Roman" w:hAnsi="Times New Roman" w:cs="Times New Roman"/>
          <w:b/>
        </w:rPr>
        <w:tab/>
        <w:t>ZÁVAZEK MLČENLIVOSTI</w:t>
      </w:r>
    </w:p>
    <w:p w14:paraId="32D3808A" w14:textId="77777777" w:rsidR="0064060B" w:rsidRPr="007C263C" w:rsidRDefault="0064060B" w:rsidP="0064060B">
      <w:pPr>
        <w:ind w:left="705" w:hanging="705"/>
        <w:rPr>
          <w:rFonts w:ascii="Times New Roman" w:hAnsi="Times New Roman" w:cs="Times New Roman"/>
        </w:rPr>
      </w:pPr>
      <w:r>
        <w:rPr>
          <w:rFonts w:ascii="Times New Roman" w:hAnsi="Times New Roman" w:cs="Times New Roman"/>
        </w:rPr>
        <w:t>8</w:t>
      </w:r>
      <w:r w:rsidRPr="00DA1AFF">
        <w:rPr>
          <w:rFonts w:ascii="Times New Roman" w:hAnsi="Times New Roman" w:cs="Times New Roman"/>
        </w:rPr>
        <w:t>.1</w:t>
      </w:r>
      <w:r w:rsidRPr="00DA1AFF">
        <w:rPr>
          <w:rFonts w:ascii="Times New Roman" w:hAnsi="Times New Roman" w:cs="Times New Roman"/>
        </w:rPr>
        <w:tab/>
        <w:t>Každá ze Smluvní stran se zavazuje, že po dobu trvání této Smlouvy a po jejím ukončení bude zachovávat mlčenlivost a nesdělí ani nezpřístupní žádné informace sdělené jí druhou Smluvní stranou, ať již výslovně označené jako důvěrné či nikoli, a týkající se obsahu či účelu této Smlouvy, ve znění jejích případných dodatků a včetně veškerých příloh, ani informace o veškerých dokumentech, listinách či dalších nosičích informací souvisejících s plněním dle této Smlouvy, ať již v hmotné, elektronické či jiné formě (společně dále jen „</w:t>
      </w:r>
      <w:r w:rsidRPr="00DA1AFF">
        <w:rPr>
          <w:rFonts w:ascii="Times New Roman" w:hAnsi="Times New Roman" w:cs="Times New Roman"/>
          <w:b/>
        </w:rPr>
        <w:t>Důvěrné informace</w:t>
      </w:r>
      <w:r w:rsidRPr="00DA1AFF">
        <w:rPr>
          <w:rFonts w:ascii="Times New Roman" w:hAnsi="Times New Roman" w:cs="Times New Roman"/>
        </w:rPr>
        <w:t>“), a použije je pouze pro účely plnění této Smlouvy. Důvěrné informace budou Smluvními stranami považovány za obchodní tajemství ve smyslu Občanského zákoníku.</w:t>
      </w:r>
      <w:r w:rsidRPr="007C263C">
        <w:rPr>
          <w:rFonts w:ascii="Times New Roman" w:hAnsi="Times New Roman" w:cs="Times New Roman"/>
        </w:rPr>
        <w:t xml:space="preserve"> </w:t>
      </w:r>
    </w:p>
    <w:p w14:paraId="76F6F550" w14:textId="77777777" w:rsidR="0064060B" w:rsidRPr="007C263C" w:rsidRDefault="0064060B" w:rsidP="0064060B">
      <w:pPr>
        <w:outlineLvl w:val="0"/>
        <w:rPr>
          <w:rFonts w:ascii="Times New Roman" w:hAnsi="Times New Roman" w:cs="Times New Roman"/>
          <w:b/>
        </w:rPr>
      </w:pPr>
      <w:r>
        <w:rPr>
          <w:rFonts w:ascii="Times New Roman" w:hAnsi="Times New Roman" w:cs="Times New Roman"/>
          <w:b/>
        </w:rPr>
        <w:t>9</w:t>
      </w:r>
      <w:r w:rsidRPr="007C263C">
        <w:rPr>
          <w:rFonts w:ascii="Times New Roman" w:hAnsi="Times New Roman" w:cs="Times New Roman"/>
          <w:b/>
        </w:rPr>
        <w:t>.</w:t>
      </w:r>
      <w:r w:rsidRPr="007C263C">
        <w:rPr>
          <w:rFonts w:ascii="Times New Roman" w:hAnsi="Times New Roman" w:cs="Times New Roman"/>
          <w:b/>
        </w:rPr>
        <w:tab/>
        <w:t>ZÁVĚREČNÁ USTANOVENÍ</w:t>
      </w:r>
    </w:p>
    <w:p w14:paraId="7B2DED54" w14:textId="77777777" w:rsidR="0064060B" w:rsidRPr="007C263C" w:rsidRDefault="0064060B" w:rsidP="0064060B">
      <w:pPr>
        <w:ind w:left="705" w:hanging="705"/>
        <w:rPr>
          <w:rFonts w:ascii="Times New Roman" w:hAnsi="Times New Roman" w:cs="Times New Roman"/>
        </w:rPr>
      </w:pPr>
      <w:r>
        <w:rPr>
          <w:rFonts w:ascii="Times New Roman" w:hAnsi="Times New Roman" w:cs="Times New Roman"/>
        </w:rPr>
        <w:t>9</w:t>
      </w:r>
      <w:r w:rsidRPr="007C263C">
        <w:rPr>
          <w:rFonts w:ascii="Times New Roman" w:hAnsi="Times New Roman" w:cs="Times New Roman"/>
        </w:rPr>
        <w:t>.1</w:t>
      </w:r>
      <w:r w:rsidRPr="007C263C">
        <w:rPr>
          <w:rFonts w:ascii="Times New Roman" w:hAnsi="Times New Roman" w:cs="Times New Roman"/>
        </w:rPr>
        <w:tab/>
        <w:t>Smluvní strany se zavazují, že veškeré spory vzniklé v souvislosti s touto Smlouvou budou řešit smírně. Pokud by taková smírná dohoda nebyla možná, budou spory řešeny příslušnými soudy České republiky.</w:t>
      </w:r>
    </w:p>
    <w:p w14:paraId="2BF6A5AE" w14:textId="77777777" w:rsidR="0064060B" w:rsidRPr="007C263C" w:rsidRDefault="0064060B" w:rsidP="0064060B">
      <w:pPr>
        <w:ind w:left="705" w:hanging="705"/>
        <w:rPr>
          <w:rFonts w:ascii="Times New Roman" w:hAnsi="Times New Roman" w:cs="Times New Roman"/>
        </w:rPr>
      </w:pPr>
      <w:r>
        <w:rPr>
          <w:rFonts w:ascii="Times New Roman" w:hAnsi="Times New Roman" w:cs="Times New Roman"/>
        </w:rPr>
        <w:t>9</w:t>
      </w:r>
      <w:r w:rsidRPr="007C263C">
        <w:rPr>
          <w:rFonts w:ascii="Times New Roman" w:hAnsi="Times New Roman" w:cs="Times New Roman"/>
        </w:rPr>
        <w:t>.2</w:t>
      </w:r>
      <w:r w:rsidRPr="007C263C">
        <w:rPr>
          <w:rFonts w:ascii="Times New Roman" w:hAnsi="Times New Roman" w:cs="Times New Roman"/>
        </w:rPr>
        <w:tab/>
        <w:t xml:space="preserve">V případě, že by jakékoli ustanovení této Smlouvy bylo či se stalo neplatným, neúčinným či nevymahatelným, bude toto ustanovení považováno za oddělitelné od ostatního obsahu této </w:t>
      </w:r>
      <w:r w:rsidRPr="007C263C">
        <w:rPr>
          <w:rFonts w:ascii="Times New Roman" w:hAnsi="Times New Roman" w:cs="Times New Roman"/>
        </w:rPr>
        <w:lastRenderedPageBreak/>
        <w:t>Smlouvy nebude mít vliv na platnost, účinnost a vymahatelnost této Smlouvy jako celku. Smluvní strany se v takovém případě zavazují nahradit takové neplatné, neúčinné či nevymahatelné ustanovení jiným ustanovením, které bude odpovídat účelu této Smlouvy a bude svým obsahem nejbližší neplatnému, neúčinnému nebo nevymahatelnému ustanovení.</w:t>
      </w:r>
    </w:p>
    <w:p w14:paraId="303EC8EC" w14:textId="77777777" w:rsidR="0064060B" w:rsidRPr="007C263C" w:rsidRDefault="0064060B" w:rsidP="0064060B">
      <w:pPr>
        <w:ind w:left="705" w:hanging="705"/>
        <w:rPr>
          <w:rFonts w:ascii="Times New Roman" w:hAnsi="Times New Roman" w:cs="Times New Roman"/>
        </w:rPr>
      </w:pPr>
      <w:r>
        <w:rPr>
          <w:rFonts w:ascii="Times New Roman" w:hAnsi="Times New Roman" w:cs="Times New Roman"/>
        </w:rPr>
        <w:t>9</w:t>
      </w:r>
      <w:r w:rsidRPr="007C263C">
        <w:rPr>
          <w:rFonts w:ascii="Times New Roman" w:hAnsi="Times New Roman" w:cs="Times New Roman"/>
        </w:rPr>
        <w:t>.3</w:t>
      </w:r>
      <w:r w:rsidRPr="007C263C">
        <w:rPr>
          <w:rFonts w:ascii="Times New Roman" w:hAnsi="Times New Roman" w:cs="Times New Roman"/>
        </w:rPr>
        <w:tab/>
        <w:t xml:space="preserve">Tuto Smlouvu lze měnit nebo doplňovat pouze na základě písemných dodatků podepsaných oprávněnými zástupci obou Smluvních stran. </w:t>
      </w:r>
    </w:p>
    <w:p w14:paraId="73AECEDD" w14:textId="77777777" w:rsidR="0064060B" w:rsidRPr="007C263C" w:rsidRDefault="0064060B" w:rsidP="0064060B">
      <w:pPr>
        <w:ind w:left="705" w:hanging="705"/>
        <w:rPr>
          <w:rFonts w:ascii="Times New Roman" w:hAnsi="Times New Roman" w:cs="Times New Roman"/>
        </w:rPr>
      </w:pPr>
      <w:r>
        <w:rPr>
          <w:rFonts w:ascii="Times New Roman" w:hAnsi="Times New Roman" w:cs="Times New Roman"/>
        </w:rPr>
        <w:t>9</w:t>
      </w:r>
      <w:r w:rsidRPr="007C263C">
        <w:rPr>
          <w:rFonts w:ascii="Times New Roman" w:hAnsi="Times New Roman" w:cs="Times New Roman"/>
        </w:rPr>
        <w:t>.4</w:t>
      </w:r>
      <w:r w:rsidRPr="007C263C">
        <w:rPr>
          <w:rFonts w:ascii="Times New Roman" w:hAnsi="Times New Roman" w:cs="Times New Roman"/>
        </w:rPr>
        <w:tab/>
        <w:t xml:space="preserve">Není-li v této Smlouvě stanoveno jinak, nelze práva či závazky z této Smlouvy postupovat bez souhlasu druhé Smluvní strany na třetí osoby. Odběratel však souhlasí s tím, že společnost </w:t>
      </w:r>
      <w:r>
        <w:rPr>
          <w:rFonts w:ascii="Times New Roman" w:hAnsi="Times New Roman" w:cs="Times New Roman"/>
        </w:rPr>
        <w:t>AbbVi</w:t>
      </w:r>
      <w:r w:rsidRPr="007C263C">
        <w:rPr>
          <w:rFonts w:ascii="Times New Roman" w:hAnsi="Times New Roman" w:cs="Times New Roman"/>
        </w:rPr>
        <w:t>e je oprávněna postoupit jakékoli právo či závazek z této Smlouvy na osobu propojenou či jinak spřízněnou se společností AbbVie.</w:t>
      </w:r>
    </w:p>
    <w:p w14:paraId="1442D8EB" w14:textId="77777777" w:rsidR="0064060B" w:rsidRPr="007C263C" w:rsidRDefault="0064060B" w:rsidP="0064060B">
      <w:pPr>
        <w:rPr>
          <w:rFonts w:ascii="Times New Roman" w:hAnsi="Times New Roman" w:cs="Times New Roman"/>
        </w:rPr>
      </w:pPr>
      <w:r>
        <w:rPr>
          <w:rFonts w:ascii="Times New Roman" w:hAnsi="Times New Roman" w:cs="Times New Roman"/>
        </w:rPr>
        <w:t>9</w:t>
      </w:r>
      <w:r w:rsidRPr="007C263C">
        <w:rPr>
          <w:rFonts w:ascii="Times New Roman" w:hAnsi="Times New Roman" w:cs="Times New Roman"/>
        </w:rPr>
        <w:t>.5</w:t>
      </w:r>
      <w:r w:rsidRPr="007C263C">
        <w:rPr>
          <w:rFonts w:ascii="Times New Roman" w:hAnsi="Times New Roman" w:cs="Times New Roman"/>
        </w:rPr>
        <w:tab/>
        <w:t>Nedílnou součástí jsou následující přílohy:</w:t>
      </w:r>
    </w:p>
    <w:p w14:paraId="638860BF" w14:textId="77777777" w:rsidR="0064060B" w:rsidRPr="007C263C" w:rsidRDefault="0064060B" w:rsidP="0064060B">
      <w:pPr>
        <w:rPr>
          <w:rFonts w:ascii="Times New Roman" w:hAnsi="Times New Roman" w:cs="Times New Roman"/>
        </w:rPr>
      </w:pPr>
      <w:r w:rsidRPr="007C263C">
        <w:rPr>
          <w:rFonts w:ascii="Times New Roman" w:hAnsi="Times New Roman" w:cs="Times New Roman"/>
        </w:rPr>
        <w:t>Příloha č. 1 – Produkty</w:t>
      </w:r>
    </w:p>
    <w:p w14:paraId="01F47421" w14:textId="77777777" w:rsidR="0064060B" w:rsidRPr="007C263C" w:rsidRDefault="0064060B" w:rsidP="0064060B">
      <w:pPr>
        <w:rPr>
          <w:rFonts w:ascii="Times New Roman" w:hAnsi="Times New Roman" w:cs="Times New Roman"/>
        </w:rPr>
      </w:pPr>
      <w:r w:rsidRPr="007C263C">
        <w:rPr>
          <w:rFonts w:ascii="Times New Roman" w:hAnsi="Times New Roman" w:cs="Times New Roman"/>
        </w:rPr>
        <w:t xml:space="preserve">Příloha č. 2 – </w:t>
      </w:r>
      <w:r w:rsidRPr="007A3A78">
        <w:rPr>
          <w:rFonts w:ascii="Times New Roman" w:hAnsi="Times New Roman" w:cs="Times New Roman"/>
        </w:rPr>
        <w:t>Podmínky množstevního bonusu</w:t>
      </w:r>
    </w:p>
    <w:p w14:paraId="1A17C951" w14:textId="77777777" w:rsidR="0064060B" w:rsidRPr="007C263C" w:rsidRDefault="0064060B" w:rsidP="0064060B">
      <w:pPr>
        <w:rPr>
          <w:rFonts w:ascii="Times New Roman" w:hAnsi="Times New Roman" w:cs="Times New Roman"/>
        </w:rPr>
      </w:pPr>
      <w:r w:rsidRPr="009448DA">
        <w:rPr>
          <w:rFonts w:ascii="Times New Roman" w:hAnsi="Times New Roman" w:cs="Times New Roman"/>
        </w:rPr>
        <w:t>Příloha č. 3 – Znění Smlouvy ke zveřejnění v registru smluv</w:t>
      </w:r>
    </w:p>
    <w:p w14:paraId="1D92EC2A" w14:textId="77777777" w:rsidR="0064060B" w:rsidRPr="007C263C" w:rsidRDefault="0064060B" w:rsidP="0064060B">
      <w:pPr>
        <w:rPr>
          <w:rFonts w:ascii="Times New Roman" w:hAnsi="Times New Roman" w:cs="Times New Roman"/>
        </w:rPr>
      </w:pPr>
    </w:p>
    <w:p w14:paraId="287AD988" w14:textId="77777777" w:rsidR="0064060B" w:rsidRPr="007C263C" w:rsidRDefault="0064060B" w:rsidP="0064060B">
      <w:pPr>
        <w:rPr>
          <w:rFonts w:ascii="Times New Roman" w:hAnsi="Times New Roman" w:cs="Times New Roman"/>
        </w:rPr>
      </w:pPr>
      <w:r w:rsidRPr="007C263C">
        <w:rPr>
          <w:rFonts w:ascii="Times New Roman" w:hAnsi="Times New Roman" w:cs="Times New Roman"/>
        </w:rPr>
        <w:t>NA DŮKAZ ČEHOŽ Smluvní strany této Smlouvy zajistily, aby byla podepsána jejich řádně pověřenými zástupci v den uvedený níže.</w:t>
      </w:r>
    </w:p>
    <w:p w14:paraId="03189CBB" w14:textId="77777777" w:rsidR="000A6F9D" w:rsidRPr="007C263C" w:rsidRDefault="000A6F9D" w:rsidP="000A6F9D">
      <w:pPr>
        <w:rPr>
          <w:rFonts w:ascii="Times New Roman" w:hAnsi="Times New Roman" w:cs="Times New Roman"/>
        </w:rPr>
      </w:pPr>
    </w:p>
    <w:p w14:paraId="6241596B" w14:textId="77777777" w:rsidR="000A6F9D" w:rsidRPr="007C263C" w:rsidRDefault="000A6F9D" w:rsidP="000A6F9D">
      <w:pPr>
        <w:spacing w:after="0"/>
        <w:rPr>
          <w:rFonts w:ascii="Times New Roman" w:eastAsia="Calibri" w:hAnsi="Times New Roman" w:cs="Times New Roman"/>
        </w:rPr>
      </w:pPr>
      <w:r w:rsidRPr="007C263C">
        <w:rPr>
          <w:rFonts w:ascii="Times New Roman" w:hAnsi="Times New Roman" w:cs="Times New Roman"/>
          <w:b/>
        </w:rPr>
        <w:t>AbbVie s.r.o.</w:t>
      </w:r>
      <w:r w:rsidRPr="007C263C">
        <w:rPr>
          <w:rFonts w:ascii="Times New Roman" w:hAnsi="Times New Roman" w:cs="Times New Roman"/>
          <w:b/>
        </w:rPr>
        <w:tab/>
      </w:r>
      <w:r w:rsidRPr="007C263C">
        <w:rPr>
          <w:rFonts w:ascii="Times New Roman" w:hAnsi="Times New Roman" w:cs="Times New Roman"/>
          <w:b/>
        </w:rPr>
        <w:tab/>
      </w:r>
      <w:r w:rsidRPr="007C263C">
        <w:rPr>
          <w:rFonts w:ascii="Times New Roman" w:hAnsi="Times New Roman" w:cs="Times New Roman"/>
          <w:b/>
        </w:rPr>
        <w:tab/>
      </w:r>
      <w:r w:rsidRPr="007C263C">
        <w:rPr>
          <w:rFonts w:ascii="Times New Roman" w:hAnsi="Times New Roman" w:cs="Times New Roman"/>
          <w:b/>
        </w:rPr>
        <w:tab/>
      </w:r>
      <w:r>
        <w:rPr>
          <w:rFonts w:ascii="Times New Roman" w:hAnsi="Times New Roman" w:cs="Times New Roman"/>
          <w:b/>
        </w:rPr>
        <w:t xml:space="preserve">          </w:t>
      </w:r>
      <w:r>
        <w:rPr>
          <w:rFonts w:ascii="Times New Roman" w:eastAsia="Calibri" w:hAnsi="Times New Roman" w:cs="Times New Roman"/>
          <w:b/>
        </w:rPr>
        <w:t>nemocnice ve Frýdku-Místku, příspěvková organizace</w:t>
      </w:r>
    </w:p>
    <w:p w14:paraId="00105384" w14:textId="77777777" w:rsidR="000A6F9D" w:rsidRPr="007C263C" w:rsidRDefault="000A6F9D" w:rsidP="000A6F9D">
      <w:pPr>
        <w:spacing w:after="0"/>
        <w:rPr>
          <w:rFonts w:ascii="Times New Roman" w:eastAsia="Calibri" w:hAnsi="Times New Roman" w:cs="Times New Roman"/>
          <w:b/>
        </w:rPr>
      </w:pPr>
      <w:r>
        <w:rPr>
          <w:rFonts w:ascii="Times New Roman" w:eastAsia="Calibri" w:hAnsi="Times New Roman" w:cs="Times New Roman"/>
          <w:b/>
        </w:rPr>
        <w:t xml:space="preserve">                                                                            </w:t>
      </w:r>
    </w:p>
    <w:p w14:paraId="0D6099D1" w14:textId="77777777" w:rsidR="000A6F9D" w:rsidRPr="007C263C" w:rsidRDefault="000A6F9D" w:rsidP="000A6F9D">
      <w:pPr>
        <w:spacing w:after="0"/>
        <w:rPr>
          <w:rFonts w:ascii="Times New Roman" w:eastAsia="Calibri" w:hAnsi="Times New Roman" w:cs="Times New Roman"/>
          <w:b/>
        </w:rPr>
      </w:pPr>
    </w:p>
    <w:p w14:paraId="4DF99682" w14:textId="77777777" w:rsidR="000A6F9D" w:rsidRPr="007C263C" w:rsidRDefault="000A6F9D" w:rsidP="000A6F9D">
      <w:pPr>
        <w:rPr>
          <w:rFonts w:ascii="Times New Roman" w:hAnsi="Times New Roman" w:cs="Times New Roman"/>
          <w:b/>
        </w:rPr>
      </w:pPr>
    </w:p>
    <w:p w14:paraId="7B0FC778" w14:textId="77777777" w:rsidR="000A6F9D" w:rsidRPr="007C263C" w:rsidRDefault="000A6F9D" w:rsidP="000A6F9D">
      <w:pPr>
        <w:rPr>
          <w:rFonts w:ascii="Times New Roman" w:hAnsi="Times New Roman" w:cs="Times New Roman"/>
        </w:rPr>
      </w:pPr>
      <w:r w:rsidRPr="007C263C">
        <w:rPr>
          <w:rFonts w:ascii="Times New Roman" w:hAnsi="Times New Roman" w:cs="Times New Roman"/>
        </w:rPr>
        <w:t>Podpis:</w:t>
      </w:r>
      <w:r w:rsidRPr="007C263C">
        <w:rPr>
          <w:rFonts w:ascii="Times New Roman" w:hAnsi="Times New Roman" w:cs="Times New Roman"/>
        </w:rPr>
        <w:tab/>
        <w:t>_____________________</w:t>
      </w:r>
      <w:r w:rsidRPr="007C263C">
        <w:rPr>
          <w:rFonts w:ascii="Times New Roman" w:hAnsi="Times New Roman" w:cs="Times New Roman"/>
        </w:rPr>
        <w:tab/>
      </w:r>
      <w:r w:rsidRPr="007C263C">
        <w:rPr>
          <w:rFonts w:ascii="Times New Roman" w:hAnsi="Times New Roman" w:cs="Times New Roman"/>
        </w:rPr>
        <w:tab/>
        <w:t>Podpis:</w:t>
      </w:r>
      <w:r w:rsidRPr="007C263C">
        <w:rPr>
          <w:rFonts w:ascii="Times New Roman" w:hAnsi="Times New Roman" w:cs="Times New Roman"/>
        </w:rPr>
        <w:tab/>
        <w:t>_____________________</w:t>
      </w:r>
    </w:p>
    <w:p w14:paraId="51E069DE" w14:textId="77777777" w:rsidR="0064060B" w:rsidRDefault="0064060B" w:rsidP="0064060B">
      <w:pPr>
        <w:rPr>
          <w:rFonts w:ascii="Times New Roman" w:hAnsi="Times New Roman" w:cs="Times New Roman"/>
        </w:rPr>
      </w:pPr>
    </w:p>
    <w:p w14:paraId="3A05338C" w14:textId="77777777" w:rsidR="001D14DC" w:rsidRDefault="001D14DC" w:rsidP="0064060B">
      <w:pPr>
        <w:rPr>
          <w:rFonts w:ascii="Times New Roman" w:hAnsi="Times New Roman" w:cs="Times New Roman"/>
        </w:rPr>
      </w:pPr>
    </w:p>
    <w:p w14:paraId="74975F4B" w14:textId="77777777" w:rsidR="001D14DC" w:rsidRDefault="001D14DC" w:rsidP="0064060B">
      <w:pPr>
        <w:rPr>
          <w:rFonts w:ascii="Times New Roman" w:hAnsi="Times New Roman" w:cs="Times New Roman"/>
        </w:rPr>
      </w:pPr>
    </w:p>
    <w:p w14:paraId="6E2FAD7D" w14:textId="77777777" w:rsidR="001D14DC" w:rsidRDefault="001D14DC" w:rsidP="0064060B">
      <w:pPr>
        <w:rPr>
          <w:rFonts w:ascii="Times New Roman" w:hAnsi="Times New Roman" w:cs="Times New Roman"/>
        </w:rPr>
      </w:pPr>
    </w:p>
    <w:p w14:paraId="294A3B79" w14:textId="77777777" w:rsidR="0064060B" w:rsidRDefault="0064060B" w:rsidP="0064060B">
      <w:pPr>
        <w:rPr>
          <w:rFonts w:ascii="Times New Roman" w:hAnsi="Times New Roman" w:cs="Times New Roman"/>
        </w:rPr>
      </w:pPr>
    </w:p>
    <w:p w14:paraId="1FD851EC" w14:textId="77777777" w:rsidR="0064060B" w:rsidRDefault="0064060B" w:rsidP="0064060B">
      <w:pPr>
        <w:rPr>
          <w:rFonts w:ascii="Times New Roman" w:hAnsi="Times New Roman" w:cs="Times New Roman"/>
        </w:rPr>
      </w:pPr>
    </w:p>
    <w:p w14:paraId="48CB90B8" w14:textId="77777777" w:rsidR="0064060B" w:rsidRDefault="0064060B" w:rsidP="0064060B">
      <w:pPr>
        <w:rPr>
          <w:rFonts w:ascii="Times New Roman" w:hAnsi="Times New Roman" w:cs="Times New Roman"/>
        </w:rPr>
      </w:pPr>
    </w:p>
    <w:p w14:paraId="4027B908" w14:textId="77777777" w:rsidR="0064060B" w:rsidRDefault="0064060B" w:rsidP="0064060B">
      <w:pPr>
        <w:jc w:val="center"/>
        <w:outlineLvl w:val="0"/>
        <w:rPr>
          <w:rFonts w:ascii="Times New Roman" w:hAnsi="Times New Roman" w:cs="Times New Roman"/>
          <w:b/>
        </w:rPr>
      </w:pPr>
    </w:p>
    <w:p w14:paraId="247D8F40" w14:textId="77777777" w:rsidR="00465BA5" w:rsidRDefault="00465BA5" w:rsidP="0064060B">
      <w:pPr>
        <w:jc w:val="center"/>
        <w:outlineLvl w:val="0"/>
        <w:rPr>
          <w:rFonts w:ascii="Times New Roman" w:hAnsi="Times New Roman" w:cs="Times New Roman"/>
          <w:b/>
        </w:rPr>
      </w:pPr>
    </w:p>
    <w:p w14:paraId="7FED5F84" w14:textId="77777777" w:rsidR="00465BA5" w:rsidRDefault="00465BA5" w:rsidP="0064060B">
      <w:pPr>
        <w:jc w:val="center"/>
        <w:outlineLvl w:val="0"/>
        <w:rPr>
          <w:rFonts w:ascii="Times New Roman" w:hAnsi="Times New Roman" w:cs="Times New Roman"/>
          <w:b/>
        </w:rPr>
      </w:pPr>
    </w:p>
    <w:p w14:paraId="4EF24C62" w14:textId="77777777" w:rsidR="0064060B" w:rsidRPr="007C263C" w:rsidRDefault="0064060B" w:rsidP="0064060B">
      <w:pPr>
        <w:jc w:val="center"/>
        <w:outlineLvl w:val="0"/>
        <w:rPr>
          <w:rFonts w:ascii="Times New Roman" w:hAnsi="Times New Roman" w:cs="Times New Roman"/>
          <w:b/>
        </w:rPr>
      </w:pPr>
      <w:r w:rsidRPr="007C263C">
        <w:rPr>
          <w:rFonts w:ascii="Times New Roman" w:hAnsi="Times New Roman" w:cs="Times New Roman"/>
          <w:b/>
        </w:rPr>
        <w:lastRenderedPageBreak/>
        <w:t>PŘÍLOHA Č. 1</w:t>
      </w:r>
    </w:p>
    <w:p w14:paraId="11DF15D6" w14:textId="77777777" w:rsidR="009E7BC2" w:rsidRDefault="009E7BC2" w:rsidP="009E7BC2">
      <w:pPr>
        <w:tabs>
          <w:tab w:val="left" w:pos="3255"/>
        </w:tabs>
        <w:jc w:val="center"/>
        <w:rPr>
          <w:rFonts w:ascii="Times New Roman" w:hAnsi="Times New Roman"/>
          <w:b/>
        </w:rPr>
      </w:pPr>
      <w:r>
        <w:rPr>
          <w:rFonts w:ascii="Times New Roman" w:hAnsi="Times New Roman"/>
          <w:b/>
        </w:rPr>
        <w:t>PRODUKTY</w:t>
      </w:r>
    </w:p>
    <w:p w14:paraId="36556638" w14:textId="77777777" w:rsidR="009E7BC2" w:rsidRDefault="009E7BC2" w:rsidP="009E7BC2">
      <w:pPr>
        <w:tabs>
          <w:tab w:val="left" w:pos="3255"/>
        </w:tabs>
        <w:rPr>
          <w:rFonts w:ascii="Arial" w:hAnsi="Arial"/>
          <w:b/>
        </w:rPr>
      </w:pPr>
    </w:p>
    <w:p w14:paraId="053F4405" w14:textId="77777777" w:rsidR="009E7BC2" w:rsidRDefault="009E7BC2" w:rsidP="009E7BC2">
      <w:pPr>
        <w:tabs>
          <w:tab w:val="left" w:pos="3255"/>
        </w:tabs>
        <w:jc w:val="center"/>
        <w:rPr>
          <w:rFonts w:cs="Arial"/>
          <w:sz w:val="20"/>
        </w:rPr>
      </w:pPr>
    </w:p>
    <w:p w14:paraId="672126D7" w14:textId="77777777" w:rsidR="009E7BC2" w:rsidRDefault="009E7BC2" w:rsidP="009E7BC2">
      <w:pPr>
        <w:tabs>
          <w:tab w:val="left" w:pos="3255"/>
        </w:tabs>
        <w:jc w:val="center"/>
        <w:rPr>
          <w:rFonts w:cs="Arial"/>
          <w:sz w:val="20"/>
        </w:rPr>
      </w:pPr>
    </w:p>
    <w:tbl>
      <w:tblPr>
        <w:tblW w:w="7800" w:type="dxa"/>
        <w:tblInd w:w="55" w:type="dxa"/>
        <w:tblCellMar>
          <w:left w:w="70" w:type="dxa"/>
          <w:right w:w="70" w:type="dxa"/>
        </w:tblCellMar>
        <w:tblLook w:val="04A0" w:firstRow="1" w:lastRow="0" w:firstColumn="1" w:lastColumn="0" w:noHBand="0" w:noVBand="1"/>
      </w:tblPr>
      <w:tblGrid>
        <w:gridCol w:w="960"/>
        <w:gridCol w:w="2174"/>
        <w:gridCol w:w="2346"/>
        <w:gridCol w:w="2320"/>
      </w:tblGrid>
      <w:tr w:rsidR="009E7BC2" w14:paraId="2BC621C3" w14:textId="77777777" w:rsidTr="006B44B9">
        <w:trPr>
          <w:trHeight w:val="300"/>
        </w:trPr>
        <w:tc>
          <w:tcPr>
            <w:tcW w:w="960" w:type="dxa"/>
            <w:tcBorders>
              <w:top w:val="nil"/>
              <w:left w:val="single" w:sz="4" w:space="0" w:color="auto"/>
              <w:bottom w:val="single" w:sz="4" w:space="0" w:color="auto"/>
              <w:right w:val="single" w:sz="4" w:space="0" w:color="auto"/>
            </w:tcBorders>
            <w:noWrap/>
            <w:vAlign w:val="bottom"/>
            <w:hideMark/>
          </w:tcPr>
          <w:p w14:paraId="7DDBFAB1" w14:textId="77777777" w:rsidR="009E7BC2" w:rsidRDefault="009E7BC2" w:rsidP="006B44B9">
            <w:pPr>
              <w:keepNext/>
              <w:keepLines/>
              <w:jc w:val="center"/>
              <w:rPr>
                <w:rFonts w:ascii="Arial" w:hAnsi="Arial" w:cs="Arial"/>
                <w:b/>
                <w:bCs/>
                <w:sz w:val="20"/>
              </w:rPr>
            </w:pPr>
            <w:r>
              <w:rPr>
                <w:rFonts w:cs="Arial"/>
                <w:b/>
                <w:bCs/>
                <w:sz w:val="20"/>
              </w:rPr>
              <w:t>SUKL</w:t>
            </w:r>
          </w:p>
        </w:tc>
        <w:tc>
          <w:tcPr>
            <w:tcW w:w="2174" w:type="dxa"/>
            <w:tcBorders>
              <w:top w:val="nil"/>
              <w:left w:val="nil"/>
              <w:bottom w:val="single" w:sz="4" w:space="0" w:color="auto"/>
              <w:right w:val="single" w:sz="4" w:space="0" w:color="auto"/>
            </w:tcBorders>
            <w:noWrap/>
            <w:vAlign w:val="bottom"/>
            <w:hideMark/>
          </w:tcPr>
          <w:p w14:paraId="7B2D4A6A" w14:textId="77777777" w:rsidR="009E7BC2" w:rsidRDefault="009E7BC2" w:rsidP="006B44B9">
            <w:pPr>
              <w:keepNext/>
              <w:keepLines/>
              <w:jc w:val="center"/>
              <w:rPr>
                <w:rFonts w:ascii="Arial" w:hAnsi="Arial" w:cs="Arial"/>
                <w:b/>
                <w:bCs/>
                <w:sz w:val="20"/>
              </w:rPr>
            </w:pPr>
            <w:r>
              <w:rPr>
                <w:rFonts w:cs="Arial"/>
                <w:b/>
                <w:bCs/>
                <w:sz w:val="20"/>
              </w:rPr>
              <w:t>Přípravek</w:t>
            </w:r>
          </w:p>
        </w:tc>
        <w:tc>
          <w:tcPr>
            <w:tcW w:w="2346" w:type="dxa"/>
            <w:tcBorders>
              <w:top w:val="nil"/>
              <w:left w:val="nil"/>
              <w:bottom w:val="single" w:sz="4" w:space="0" w:color="auto"/>
              <w:right w:val="single" w:sz="4" w:space="0" w:color="auto"/>
            </w:tcBorders>
            <w:noWrap/>
            <w:vAlign w:val="bottom"/>
            <w:hideMark/>
          </w:tcPr>
          <w:p w14:paraId="138CB6ED" w14:textId="77777777" w:rsidR="009E7BC2" w:rsidRDefault="009E7BC2" w:rsidP="006B44B9">
            <w:pPr>
              <w:keepNext/>
              <w:keepLines/>
              <w:jc w:val="center"/>
              <w:rPr>
                <w:rFonts w:ascii="Arial" w:hAnsi="Arial" w:cs="Arial"/>
                <w:b/>
                <w:bCs/>
                <w:sz w:val="20"/>
              </w:rPr>
            </w:pPr>
            <w:r>
              <w:rPr>
                <w:rFonts w:cs="Arial"/>
                <w:b/>
                <w:bCs/>
                <w:sz w:val="20"/>
              </w:rPr>
              <w:t> </w:t>
            </w:r>
          </w:p>
        </w:tc>
        <w:tc>
          <w:tcPr>
            <w:tcW w:w="2320" w:type="dxa"/>
            <w:tcBorders>
              <w:top w:val="nil"/>
              <w:left w:val="nil"/>
              <w:bottom w:val="single" w:sz="4" w:space="0" w:color="auto"/>
              <w:right w:val="single" w:sz="4" w:space="0" w:color="auto"/>
            </w:tcBorders>
            <w:noWrap/>
            <w:vAlign w:val="bottom"/>
            <w:hideMark/>
          </w:tcPr>
          <w:p w14:paraId="185263AA" w14:textId="77777777" w:rsidR="009E7BC2" w:rsidRDefault="009E7BC2" w:rsidP="006B44B9">
            <w:pPr>
              <w:keepNext/>
              <w:keepLines/>
              <w:jc w:val="center"/>
              <w:rPr>
                <w:rFonts w:ascii="Arial" w:hAnsi="Arial" w:cs="Arial"/>
                <w:b/>
                <w:bCs/>
                <w:sz w:val="20"/>
              </w:rPr>
            </w:pPr>
            <w:r>
              <w:rPr>
                <w:rFonts w:cs="Arial"/>
                <w:b/>
                <w:bCs/>
                <w:sz w:val="20"/>
              </w:rPr>
              <w:t>Prodejní cena výrobce bez DPH</w:t>
            </w:r>
          </w:p>
        </w:tc>
      </w:tr>
      <w:tr w:rsidR="009E7BC2" w14:paraId="6E03D082" w14:textId="77777777" w:rsidTr="006B44B9">
        <w:trPr>
          <w:trHeight w:val="300"/>
        </w:trPr>
        <w:tc>
          <w:tcPr>
            <w:tcW w:w="960" w:type="dxa"/>
            <w:tcBorders>
              <w:top w:val="nil"/>
              <w:left w:val="single" w:sz="4" w:space="0" w:color="auto"/>
              <w:bottom w:val="single" w:sz="4" w:space="0" w:color="auto"/>
              <w:right w:val="single" w:sz="4" w:space="0" w:color="auto"/>
            </w:tcBorders>
            <w:noWrap/>
            <w:vAlign w:val="bottom"/>
            <w:hideMark/>
          </w:tcPr>
          <w:p w14:paraId="6B0A07BC" w14:textId="77777777" w:rsidR="009E7BC2" w:rsidRDefault="009E7BC2" w:rsidP="006B44B9">
            <w:pPr>
              <w:keepNext/>
              <w:keepLines/>
              <w:rPr>
                <w:rFonts w:ascii="Arial" w:hAnsi="Arial" w:cs="Arial"/>
                <w:sz w:val="20"/>
              </w:rPr>
            </w:pPr>
            <w:r>
              <w:rPr>
                <w:rFonts w:cs="Arial"/>
                <w:sz w:val="20"/>
              </w:rPr>
              <w:t>0210935</w:t>
            </w:r>
          </w:p>
        </w:tc>
        <w:tc>
          <w:tcPr>
            <w:tcW w:w="2174" w:type="dxa"/>
            <w:tcBorders>
              <w:top w:val="nil"/>
              <w:left w:val="nil"/>
              <w:bottom w:val="single" w:sz="4" w:space="0" w:color="auto"/>
              <w:right w:val="single" w:sz="4" w:space="0" w:color="auto"/>
            </w:tcBorders>
            <w:noWrap/>
            <w:vAlign w:val="bottom"/>
            <w:hideMark/>
          </w:tcPr>
          <w:p w14:paraId="7AD7A597" w14:textId="77777777" w:rsidR="009E7BC2" w:rsidRDefault="009E7BC2" w:rsidP="006B44B9">
            <w:pPr>
              <w:keepNext/>
              <w:keepLines/>
              <w:rPr>
                <w:rFonts w:ascii="Arial" w:hAnsi="Arial" w:cs="Arial"/>
                <w:sz w:val="20"/>
              </w:rPr>
            </w:pPr>
            <w:r>
              <w:rPr>
                <w:rFonts w:cs="Arial"/>
                <w:sz w:val="20"/>
              </w:rPr>
              <w:t>HUMIRA 40MG</w:t>
            </w:r>
          </w:p>
        </w:tc>
        <w:tc>
          <w:tcPr>
            <w:tcW w:w="2346" w:type="dxa"/>
            <w:tcBorders>
              <w:top w:val="nil"/>
              <w:left w:val="nil"/>
              <w:bottom w:val="single" w:sz="4" w:space="0" w:color="auto"/>
              <w:right w:val="single" w:sz="4" w:space="0" w:color="auto"/>
            </w:tcBorders>
            <w:noWrap/>
            <w:vAlign w:val="bottom"/>
            <w:hideMark/>
          </w:tcPr>
          <w:p w14:paraId="3DF87A15" w14:textId="77777777" w:rsidR="009E7BC2" w:rsidRDefault="009E7BC2" w:rsidP="006B44B9">
            <w:pPr>
              <w:keepNext/>
              <w:keepLines/>
              <w:rPr>
                <w:rFonts w:ascii="Arial" w:hAnsi="Arial" w:cs="Arial"/>
                <w:sz w:val="20"/>
              </w:rPr>
            </w:pPr>
            <w:r>
              <w:rPr>
                <w:rFonts w:cs="Arial"/>
                <w:sz w:val="20"/>
              </w:rPr>
              <w:t>SDR INJ SOL 2X0,4MLx40mg I</w:t>
            </w:r>
          </w:p>
        </w:tc>
        <w:tc>
          <w:tcPr>
            <w:tcW w:w="2320" w:type="dxa"/>
            <w:tcBorders>
              <w:top w:val="nil"/>
              <w:left w:val="nil"/>
              <w:bottom w:val="single" w:sz="4" w:space="0" w:color="auto"/>
              <w:right w:val="single" w:sz="4" w:space="0" w:color="auto"/>
            </w:tcBorders>
            <w:shd w:val="clear" w:color="auto" w:fill="FFFFFF"/>
            <w:noWrap/>
            <w:vAlign w:val="bottom"/>
            <w:hideMark/>
          </w:tcPr>
          <w:p w14:paraId="00704496" w14:textId="77777777" w:rsidR="009E7BC2" w:rsidRDefault="009E7BC2" w:rsidP="006B44B9">
            <w:pPr>
              <w:keepNext/>
              <w:keepLines/>
              <w:jc w:val="right"/>
              <w:rPr>
                <w:rFonts w:ascii="Arial" w:hAnsi="Arial" w:cs="Arial"/>
                <w:sz w:val="20"/>
              </w:rPr>
            </w:pPr>
            <w:r>
              <w:rPr>
                <w:rFonts w:cs="Arial"/>
                <w:sz w:val="20"/>
              </w:rPr>
              <w:t>17 364,00 Kč</w:t>
            </w:r>
          </w:p>
        </w:tc>
      </w:tr>
      <w:tr w:rsidR="009E7BC2" w14:paraId="3997F1D4" w14:textId="77777777" w:rsidTr="006B44B9">
        <w:trPr>
          <w:trHeight w:val="300"/>
        </w:trPr>
        <w:tc>
          <w:tcPr>
            <w:tcW w:w="960" w:type="dxa"/>
            <w:tcBorders>
              <w:top w:val="nil"/>
              <w:left w:val="single" w:sz="4" w:space="0" w:color="auto"/>
              <w:bottom w:val="single" w:sz="4" w:space="0" w:color="auto"/>
              <w:right w:val="single" w:sz="4" w:space="0" w:color="auto"/>
            </w:tcBorders>
            <w:noWrap/>
            <w:vAlign w:val="bottom"/>
            <w:hideMark/>
          </w:tcPr>
          <w:p w14:paraId="2362F6E7" w14:textId="77777777" w:rsidR="009E7BC2" w:rsidRDefault="009E7BC2" w:rsidP="006B44B9">
            <w:pPr>
              <w:keepNext/>
              <w:keepLines/>
              <w:rPr>
                <w:rFonts w:ascii="Arial" w:hAnsi="Arial" w:cs="Arial"/>
                <w:sz w:val="20"/>
              </w:rPr>
            </w:pPr>
            <w:r>
              <w:rPr>
                <w:rFonts w:cs="Arial"/>
                <w:sz w:val="20"/>
              </w:rPr>
              <w:t>0209097</w:t>
            </w:r>
          </w:p>
        </w:tc>
        <w:tc>
          <w:tcPr>
            <w:tcW w:w="2174" w:type="dxa"/>
            <w:tcBorders>
              <w:top w:val="nil"/>
              <w:left w:val="nil"/>
              <w:bottom w:val="single" w:sz="4" w:space="0" w:color="auto"/>
              <w:right w:val="single" w:sz="4" w:space="0" w:color="auto"/>
            </w:tcBorders>
            <w:noWrap/>
            <w:vAlign w:val="bottom"/>
            <w:hideMark/>
          </w:tcPr>
          <w:p w14:paraId="26A6BBAF" w14:textId="77777777" w:rsidR="009E7BC2" w:rsidRDefault="009E7BC2" w:rsidP="006B44B9">
            <w:pPr>
              <w:keepNext/>
              <w:keepLines/>
              <w:rPr>
                <w:rFonts w:ascii="Arial" w:hAnsi="Arial" w:cs="Arial"/>
                <w:sz w:val="20"/>
              </w:rPr>
            </w:pPr>
            <w:r>
              <w:rPr>
                <w:rFonts w:cs="Arial"/>
                <w:sz w:val="20"/>
              </w:rPr>
              <w:t xml:space="preserve">HUMIRA 40MG PEN </w:t>
            </w:r>
          </w:p>
        </w:tc>
        <w:tc>
          <w:tcPr>
            <w:tcW w:w="2346" w:type="dxa"/>
            <w:tcBorders>
              <w:top w:val="nil"/>
              <w:left w:val="nil"/>
              <w:bottom w:val="single" w:sz="4" w:space="0" w:color="auto"/>
              <w:right w:val="single" w:sz="4" w:space="0" w:color="auto"/>
            </w:tcBorders>
            <w:noWrap/>
            <w:vAlign w:val="bottom"/>
            <w:hideMark/>
          </w:tcPr>
          <w:p w14:paraId="657AF227" w14:textId="77777777" w:rsidR="009E7BC2" w:rsidRDefault="009E7BC2" w:rsidP="006B44B9">
            <w:pPr>
              <w:keepNext/>
              <w:keepLines/>
              <w:rPr>
                <w:rFonts w:ascii="Arial" w:hAnsi="Arial" w:cs="Arial"/>
                <w:sz w:val="20"/>
              </w:rPr>
            </w:pPr>
            <w:r>
              <w:rPr>
                <w:rFonts w:cs="Arial"/>
                <w:sz w:val="20"/>
              </w:rPr>
              <w:t xml:space="preserve">SDR INJ SOL 2X0,4MLx40mg </w:t>
            </w:r>
          </w:p>
        </w:tc>
        <w:tc>
          <w:tcPr>
            <w:tcW w:w="2320" w:type="dxa"/>
            <w:tcBorders>
              <w:top w:val="nil"/>
              <w:left w:val="nil"/>
              <w:bottom w:val="single" w:sz="4" w:space="0" w:color="auto"/>
              <w:right w:val="single" w:sz="4" w:space="0" w:color="auto"/>
            </w:tcBorders>
            <w:shd w:val="clear" w:color="auto" w:fill="FFFFFF"/>
            <w:noWrap/>
            <w:vAlign w:val="bottom"/>
            <w:hideMark/>
          </w:tcPr>
          <w:p w14:paraId="38A8AA3E" w14:textId="77777777" w:rsidR="009E7BC2" w:rsidRDefault="009E7BC2" w:rsidP="006B44B9">
            <w:pPr>
              <w:keepNext/>
              <w:keepLines/>
              <w:jc w:val="right"/>
              <w:rPr>
                <w:rFonts w:ascii="Arial" w:hAnsi="Arial" w:cs="Arial"/>
                <w:sz w:val="20"/>
              </w:rPr>
            </w:pPr>
            <w:r>
              <w:rPr>
                <w:rFonts w:cs="Arial"/>
                <w:sz w:val="20"/>
              </w:rPr>
              <w:t>17 364,00 Kč</w:t>
            </w:r>
          </w:p>
        </w:tc>
      </w:tr>
      <w:tr w:rsidR="009E7BC2" w14:paraId="317C81CA" w14:textId="77777777" w:rsidTr="006B44B9">
        <w:trPr>
          <w:trHeight w:val="300"/>
        </w:trPr>
        <w:tc>
          <w:tcPr>
            <w:tcW w:w="960" w:type="dxa"/>
            <w:tcBorders>
              <w:top w:val="nil"/>
              <w:left w:val="single" w:sz="4" w:space="0" w:color="auto"/>
              <w:bottom w:val="single" w:sz="4" w:space="0" w:color="auto"/>
              <w:right w:val="single" w:sz="4" w:space="0" w:color="auto"/>
            </w:tcBorders>
            <w:noWrap/>
            <w:vAlign w:val="bottom"/>
            <w:hideMark/>
          </w:tcPr>
          <w:p w14:paraId="15251BAC" w14:textId="77777777" w:rsidR="009E7BC2" w:rsidRDefault="009E7BC2" w:rsidP="006B44B9">
            <w:pPr>
              <w:keepNext/>
              <w:keepLines/>
              <w:rPr>
                <w:rFonts w:ascii="Arial" w:hAnsi="Arial" w:cs="Arial"/>
                <w:sz w:val="20"/>
              </w:rPr>
            </w:pPr>
            <w:r>
              <w:rPr>
                <w:rFonts w:cs="Arial"/>
                <w:sz w:val="20"/>
              </w:rPr>
              <w:t>0222100</w:t>
            </w:r>
          </w:p>
        </w:tc>
        <w:tc>
          <w:tcPr>
            <w:tcW w:w="2174" w:type="dxa"/>
            <w:tcBorders>
              <w:top w:val="nil"/>
              <w:left w:val="nil"/>
              <w:bottom w:val="single" w:sz="4" w:space="0" w:color="auto"/>
              <w:right w:val="single" w:sz="4" w:space="0" w:color="auto"/>
            </w:tcBorders>
            <w:noWrap/>
            <w:vAlign w:val="bottom"/>
            <w:hideMark/>
          </w:tcPr>
          <w:p w14:paraId="4BA35E2A" w14:textId="77777777" w:rsidR="009E7BC2" w:rsidRDefault="009E7BC2" w:rsidP="006B44B9">
            <w:pPr>
              <w:keepNext/>
              <w:keepLines/>
              <w:rPr>
                <w:rFonts w:ascii="Arial" w:hAnsi="Arial" w:cs="Arial"/>
                <w:sz w:val="20"/>
              </w:rPr>
            </w:pPr>
            <w:r>
              <w:rPr>
                <w:rFonts w:cs="Arial"/>
                <w:sz w:val="20"/>
              </w:rPr>
              <w:t>HUMIRA 80 MG</w:t>
            </w:r>
          </w:p>
        </w:tc>
        <w:tc>
          <w:tcPr>
            <w:tcW w:w="2346" w:type="dxa"/>
            <w:tcBorders>
              <w:top w:val="nil"/>
              <w:left w:val="nil"/>
              <w:bottom w:val="single" w:sz="4" w:space="0" w:color="auto"/>
              <w:right w:val="single" w:sz="4" w:space="0" w:color="auto"/>
            </w:tcBorders>
            <w:noWrap/>
            <w:vAlign w:val="bottom"/>
            <w:hideMark/>
          </w:tcPr>
          <w:p w14:paraId="55605270" w14:textId="77777777" w:rsidR="009E7BC2" w:rsidRDefault="009E7BC2" w:rsidP="006B44B9">
            <w:pPr>
              <w:keepNext/>
              <w:keepLines/>
              <w:rPr>
                <w:rFonts w:ascii="Arial" w:hAnsi="Arial" w:cs="Arial"/>
                <w:sz w:val="20"/>
              </w:rPr>
            </w:pPr>
            <w:r>
              <w:rPr>
                <w:rFonts w:cs="Arial"/>
                <w:sz w:val="20"/>
              </w:rPr>
              <w:t>inj.1x0,8ML</w:t>
            </w:r>
          </w:p>
        </w:tc>
        <w:tc>
          <w:tcPr>
            <w:tcW w:w="2320" w:type="dxa"/>
            <w:tcBorders>
              <w:top w:val="nil"/>
              <w:left w:val="nil"/>
              <w:bottom w:val="single" w:sz="4" w:space="0" w:color="auto"/>
              <w:right w:val="single" w:sz="4" w:space="0" w:color="auto"/>
            </w:tcBorders>
            <w:shd w:val="clear" w:color="auto" w:fill="FFFFFF"/>
            <w:noWrap/>
            <w:vAlign w:val="bottom"/>
            <w:hideMark/>
          </w:tcPr>
          <w:p w14:paraId="6B478314" w14:textId="77777777" w:rsidR="009E7BC2" w:rsidRDefault="009E7BC2" w:rsidP="006B44B9">
            <w:pPr>
              <w:keepNext/>
              <w:keepLines/>
              <w:jc w:val="right"/>
              <w:rPr>
                <w:rFonts w:ascii="Arial" w:hAnsi="Arial" w:cs="Arial"/>
                <w:sz w:val="20"/>
              </w:rPr>
            </w:pPr>
            <w:r>
              <w:rPr>
                <w:rFonts w:cs="Arial"/>
                <w:sz w:val="20"/>
              </w:rPr>
              <w:t>19 323,00 Kč</w:t>
            </w:r>
          </w:p>
        </w:tc>
      </w:tr>
      <w:tr w:rsidR="009E7BC2" w14:paraId="6224174A" w14:textId="77777777" w:rsidTr="006B44B9">
        <w:trPr>
          <w:trHeight w:val="300"/>
        </w:trPr>
        <w:tc>
          <w:tcPr>
            <w:tcW w:w="960" w:type="dxa"/>
            <w:tcBorders>
              <w:top w:val="nil"/>
              <w:left w:val="single" w:sz="4" w:space="0" w:color="auto"/>
              <w:bottom w:val="single" w:sz="4" w:space="0" w:color="auto"/>
              <w:right w:val="single" w:sz="4" w:space="0" w:color="auto"/>
            </w:tcBorders>
            <w:noWrap/>
            <w:vAlign w:val="bottom"/>
            <w:hideMark/>
          </w:tcPr>
          <w:p w14:paraId="108BEF0A" w14:textId="77777777" w:rsidR="009E7BC2" w:rsidRDefault="009E7BC2" w:rsidP="006B44B9">
            <w:pPr>
              <w:keepNext/>
              <w:keepLines/>
              <w:rPr>
                <w:rFonts w:ascii="Arial" w:hAnsi="Arial" w:cs="Arial"/>
                <w:sz w:val="20"/>
              </w:rPr>
            </w:pPr>
            <w:r>
              <w:rPr>
                <w:rFonts w:cs="Arial"/>
                <w:sz w:val="20"/>
              </w:rPr>
              <w:t>0025566</w:t>
            </w:r>
          </w:p>
        </w:tc>
        <w:tc>
          <w:tcPr>
            <w:tcW w:w="2174" w:type="dxa"/>
            <w:tcBorders>
              <w:top w:val="nil"/>
              <w:left w:val="nil"/>
              <w:bottom w:val="single" w:sz="4" w:space="0" w:color="auto"/>
              <w:right w:val="single" w:sz="4" w:space="0" w:color="auto"/>
            </w:tcBorders>
            <w:noWrap/>
            <w:vAlign w:val="bottom"/>
            <w:hideMark/>
          </w:tcPr>
          <w:p w14:paraId="635DFF23" w14:textId="77777777" w:rsidR="009E7BC2" w:rsidRDefault="009E7BC2" w:rsidP="006B44B9">
            <w:pPr>
              <w:keepNext/>
              <w:keepLines/>
              <w:rPr>
                <w:rFonts w:ascii="Arial" w:hAnsi="Arial" w:cs="Arial"/>
                <w:sz w:val="20"/>
              </w:rPr>
            </w:pPr>
            <w:r>
              <w:rPr>
                <w:rFonts w:cs="Arial"/>
                <w:sz w:val="20"/>
              </w:rPr>
              <w:t>HUMIRA 80MG PEN</w:t>
            </w:r>
          </w:p>
        </w:tc>
        <w:tc>
          <w:tcPr>
            <w:tcW w:w="2346" w:type="dxa"/>
            <w:tcBorders>
              <w:top w:val="nil"/>
              <w:left w:val="nil"/>
              <w:bottom w:val="single" w:sz="4" w:space="0" w:color="auto"/>
              <w:right w:val="single" w:sz="4" w:space="0" w:color="auto"/>
            </w:tcBorders>
            <w:noWrap/>
            <w:vAlign w:val="bottom"/>
            <w:hideMark/>
          </w:tcPr>
          <w:p w14:paraId="2811DDDF" w14:textId="77777777" w:rsidR="009E7BC2" w:rsidRDefault="009E7BC2" w:rsidP="006B44B9">
            <w:pPr>
              <w:keepNext/>
              <w:keepLines/>
              <w:rPr>
                <w:rFonts w:ascii="Arial" w:hAnsi="Arial" w:cs="Arial"/>
                <w:sz w:val="20"/>
              </w:rPr>
            </w:pPr>
            <w:r>
              <w:rPr>
                <w:rFonts w:cs="Arial"/>
                <w:sz w:val="20"/>
              </w:rPr>
              <w:t>inj.1x0,8ML</w:t>
            </w:r>
          </w:p>
        </w:tc>
        <w:tc>
          <w:tcPr>
            <w:tcW w:w="2320" w:type="dxa"/>
            <w:tcBorders>
              <w:top w:val="nil"/>
              <w:left w:val="nil"/>
              <w:bottom w:val="single" w:sz="4" w:space="0" w:color="auto"/>
              <w:right w:val="single" w:sz="4" w:space="0" w:color="auto"/>
            </w:tcBorders>
            <w:shd w:val="clear" w:color="auto" w:fill="FFFFFF"/>
            <w:noWrap/>
            <w:vAlign w:val="bottom"/>
            <w:hideMark/>
          </w:tcPr>
          <w:p w14:paraId="50798D07" w14:textId="77777777" w:rsidR="009E7BC2" w:rsidRDefault="009E7BC2" w:rsidP="006B44B9">
            <w:pPr>
              <w:keepNext/>
              <w:keepLines/>
              <w:jc w:val="right"/>
              <w:rPr>
                <w:rFonts w:ascii="Arial" w:hAnsi="Arial" w:cs="Arial"/>
                <w:sz w:val="20"/>
              </w:rPr>
            </w:pPr>
            <w:r>
              <w:rPr>
                <w:rFonts w:cs="Arial"/>
                <w:sz w:val="20"/>
              </w:rPr>
              <w:t>19 323,00 Kč</w:t>
            </w:r>
          </w:p>
        </w:tc>
      </w:tr>
      <w:tr w:rsidR="009E7BC2" w14:paraId="6B50C0D5" w14:textId="77777777" w:rsidTr="006B44B9">
        <w:trPr>
          <w:trHeight w:val="300"/>
        </w:trPr>
        <w:tc>
          <w:tcPr>
            <w:tcW w:w="960" w:type="dxa"/>
            <w:tcBorders>
              <w:top w:val="nil"/>
              <w:left w:val="single" w:sz="4" w:space="0" w:color="auto"/>
              <w:bottom w:val="single" w:sz="4" w:space="0" w:color="auto"/>
              <w:right w:val="single" w:sz="4" w:space="0" w:color="auto"/>
            </w:tcBorders>
            <w:noWrap/>
            <w:vAlign w:val="bottom"/>
            <w:hideMark/>
          </w:tcPr>
          <w:p w14:paraId="1D9E523E" w14:textId="77777777" w:rsidR="009E7BC2" w:rsidRDefault="009E7BC2" w:rsidP="006B44B9">
            <w:pPr>
              <w:keepNext/>
              <w:keepLines/>
              <w:rPr>
                <w:rFonts w:ascii="Arial" w:hAnsi="Arial" w:cs="Arial"/>
                <w:sz w:val="20"/>
              </w:rPr>
            </w:pPr>
            <w:r>
              <w:rPr>
                <w:rFonts w:cs="Arial"/>
                <w:sz w:val="20"/>
              </w:rPr>
              <w:t>0025566</w:t>
            </w:r>
          </w:p>
        </w:tc>
        <w:tc>
          <w:tcPr>
            <w:tcW w:w="2174" w:type="dxa"/>
            <w:tcBorders>
              <w:top w:val="nil"/>
              <w:left w:val="nil"/>
              <w:bottom w:val="single" w:sz="4" w:space="0" w:color="auto"/>
              <w:right w:val="single" w:sz="4" w:space="0" w:color="auto"/>
            </w:tcBorders>
            <w:noWrap/>
            <w:vAlign w:val="bottom"/>
            <w:hideMark/>
          </w:tcPr>
          <w:p w14:paraId="5DC5DEA0" w14:textId="77777777" w:rsidR="009E7BC2" w:rsidRDefault="009E7BC2" w:rsidP="006B44B9">
            <w:pPr>
              <w:keepNext/>
              <w:keepLines/>
              <w:rPr>
                <w:rFonts w:ascii="Arial" w:hAnsi="Arial" w:cs="Arial"/>
                <w:sz w:val="20"/>
              </w:rPr>
            </w:pPr>
            <w:r>
              <w:rPr>
                <w:rFonts w:cs="Arial"/>
                <w:sz w:val="20"/>
              </w:rPr>
              <w:t>HUMIRA 20MG</w:t>
            </w:r>
          </w:p>
        </w:tc>
        <w:tc>
          <w:tcPr>
            <w:tcW w:w="2346" w:type="dxa"/>
            <w:tcBorders>
              <w:top w:val="nil"/>
              <w:left w:val="nil"/>
              <w:bottom w:val="single" w:sz="4" w:space="0" w:color="auto"/>
              <w:right w:val="single" w:sz="4" w:space="0" w:color="auto"/>
            </w:tcBorders>
            <w:noWrap/>
            <w:vAlign w:val="bottom"/>
            <w:hideMark/>
          </w:tcPr>
          <w:p w14:paraId="0AFA929E" w14:textId="77777777" w:rsidR="009E7BC2" w:rsidRDefault="009E7BC2" w:rsidP="006B44B9">
            <w:pPr>
              <w:keepNext/>
              <w:keepLines/>
              <w:rPr>
                <w:rFonts w:ascii="Arial" w:hAnsi="Arial" w:cs="Arial"/>
                <w:sz w:val="20"/>
              </w:rPr>
            </w:pPr>
            <w:r>
              <w:rPr>
                <w:rFonts w:cs="Arial"/>
                <w:sz w:val="20"/>
              </w:rPr>
              <w:t>inj.2x0,2ML</w:t>
            </w:r>
          </w:p>
        </w:tc>
        <w:tc>
          <w:tcPr>
            <w:tcW w:w="2320" w:type="dxa"/>
            <w:tcBorders>
              <w:top w:val="nil"/>
              <w:left w:val="nil"/>
              <w:bottom w:val="single" w:sz="4" w:space="0" w:color="auto"/>
              <w:right w:val="single" w:sz="4" w:space="0" w:color="auto"/>
            </w:tcBorders>
            <w:noWrap/>
            <w:vAlign w:val="bottom"/>
            <w:hideMark/>
          </w:tcPr>
          <w:p w14:paraId="49D77FDB" w14:textId="77777777" w:rsidR="009E7BC2" w:rsidRDefault="009E7BC2" w:rsidP="006B44B9">
            <w:pPr>
              <w:keepNext/>
              <w:keepLines/>
              <w:jc w:val="right"/>
              <w:rPr>
                <w:rFonts w:ascii="Arial" w:hAnsi="Arial" w:cs="Arial"/>
                <w:sz w:val="20"/>
              </w:rPr>
            </w:pPr>
            <w:r>
              <w:rPr>
                <w:rFonts w:cs="Arial"/>
                <w:sz w:val="20"/>
              </w:rPr>
              <w:t>8 794,00 Kč</w:t>
            </w:r>
          </w:p>
        </w:tc>
      </w:tr>
      <w:tr w:rsidR="009E7BC2" w14:paraId="1110F393" w14:textId="77777777" w:rsidTr="006B44B9">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bottom"/>
            <w:hideMark/>
          </w:tcPr>
          <w:p w14:paraId="1402A823" w14:textId="77777777" w:rsidR="009E7BC2" w:rsidRDefault="009E7BC2" w:rsidP="006B44B9">
            <w:pPr>
              <w:keepNext/>
              <w:keepLines/>
              <w:rPr>
                <w:rFonts w:ascii="Calibri" w:hAnsi="Calibri"/>
                <w:color w:val="000000"/>
              </w:rPr>
            </w:pPr>
            <w:r>
              <w:rPr>
                <w:rFonts w:ascii="Calibri" w:hAnsi="Calibri"/>
                <w:color w:val="000000"/>
              </w:rPr>
              <w:t>199997</w:t>
            </w:r>
          </w:p>
        </w:tc>
        <w:tc>
          <w:tcPr>
            <w:tcW w:w="2174" w:type="dxa"/>
            <w:tcBorders>
              <w:top w:val="nil"/>
              <w:left w:val="nil"/>
              <w:bottom w:val="single" w:sz="4" w:space="0" w:color="auto"/>
              <w:right w:val="single" w:sz="4" w:space="0" w:color="auto"/>
            </w:tcBorders>
            <w:shd w:val="clear" w:color="auto" w:fill="FFFFFF"/>
            <w:noWrap/>
            <w:vAlign w:val="bottom"/>
            <w:hideMark/>
          </w:tcPr>
          <w:p w14:paraId="44F90AD3" w14:textId="77777777" w:rsidR="009E7BC2" w:rsidRDefault="009E7BC2" w:rsidP="006B44B9">
            <w:pPr>
              <w:keepNext/>
              <w:keepLines/>
              <w:rPr>
                <w:rFonts w:ascii="Arial" w:hAnsi="Arial" w:cs="Arial"/>
                <w:sz w:val="20"/>
              </w:rPr>
            </w:pPr>
            <w:r>
              <w:rPr>
                <w:rFonts w:cs="Arial"/>
                <w:sz w:val="20"/>
              </w:rPr>
              <w:t>ZEMPLAR 1 MCG TOBOLKY</w:t>
            </w:r>
          </w:p>
        </w:tc>
        <w:tc>
          <w:tcPr>
            <w:tcW w:w="2346" w:type="dxa"/>
            <w:tcBorders>
              <w:top w:val="nil"/>
              <w:left w:val="nil"/>
              <w:bottom w:val="single" w:sz="4" w:space="0" w:color="auto"/>
              <w:right w:val="single" w:sz="4" w:space="0" w:color="auto"/>
            </w:tcBorders>
            <w:noWrap/>
            <w:vAlign w:val="bottom"/>
            <w:hideMark/>
          </w:tcPr>
          <w:p w14:paraId="21211EC4" w14:textId="77777777" w:rsidR="009E7BC2" w:rsidRDefault="009E7BC2" w:rsidP="006B44B9">
            <w:pPr>
              <w:keepNext/>
              <w:keepLines/>
              <w:rPr>
                <w:rFonts w:ascii="Calibri" w:hAnsi="Calibri"/>
                <w:color w:val="000000"/>
              </w:rPr>
            </w:pPr>
            <w:r>
              <w:rPr>
                <w:rFonts w:ascii="Calibri" w:hAnsi="Calibri"/>
                <w:color w:val="000000"/>
              </w:rPr>
              <w:t>POR CPS MOL 28X1MCG</w:t>
            </w:r>
          </w:p>
        </w:tc>
        <w:tc>
          <w:tcPr>
            <w:tcW w:w="2320" w:type="dxa"/>
            <w:tcBorders>
              <w:top w:val="nil"/>
              <w:left w:val="nil"/>
              <w:bottom w:val="single" w:sz="4" w:space="0" w:color="auto"/>
              <w:right w:val="single" w:sz="4" w:space="0" w:color="auto"/>
            </w:tcBorders>
            <w:shd w:val="clear" w:color="auto" w:fill="FFFFFF"/>
            <w:noWrap/>
            <w:vAlign w:val="bottom"/>
            <w:hideMark/>
          </w:tcPr>
          <w:p w14:paraId="0EA5FE14" w14:textId="77777777" w:rsidR="009E7BC2" w:rsidRDefault="009E7BC2" w:rsidP="006B44B9">
            <w:pPr>
              <w:keepNext/>
              <w:keepLines/>
              <w:jc w:val="right"/>
              <w:rPr>
                <w:rFonts w:ascii="Arial" w:hAnsi="Arial" w:cs="Arial"/>
                <w:sz w:val="20"/>
              </w:rPr>
            </w:pPr>
            <w:r>
              <w:rPr>
                <w:rFonts w:cs="Arial"/>
                <w:sz w:val="20"/>
              </w:rPr>
              <w:t>1 379,56 Kč</w:t>
            </w:r>
          </w:p>
        </w:tc>
      </w:tr>
      <w:tr w:rsidR="009E7BC2" w14:paraId="6C51BC82" w14:textId="77777777" w:rsidTr="006B44B9">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bottom"/>
            <w:hideMark/>
          </w:tcPr>
          <w:p w14:paraId="525D0B9E" w14:textId="77777777" w:rsidR="009E7BC2" w:rsidRDefault="009E7BC2" w:rsidP="006B44B9">
            <w:pPr>
              <w:keepNext/>
              <w:keepLines/>
              <w:rPr>
                <w:rFonts w:ascii="Calibri" w:hAnsi="Calibri"/>
                <w:color w:val="000000"/>
              </w:rPr>
            </w:pPr>
            <w:r>
              <w:rPr>
                <w:rFonts w:ascii="Calibri" w:hAnsi="Calibri"/>
                <w:color w:val="000000"/>
              </w:rPr>
              <w:t>0200000</w:t>
            </w:r>
          </w:p>
        </w:tc>
        <w:tc>
          <w:tcPr>
            <w:tcW w:w="2174" w:type="dxa"/>
            <w:tcBorders>
              <w:top w:val="nil"/>
              <w:left w:val="nil"/>
              <w:bottom w:val="single" w:sz="4" w:space="0" w:color="auto"/>
              <w:right w:val="single" w:sz="4" w:space="0" w:color="auto"/>
            </w:tcBorders>
            <w:shd w:val="clear" w:color="auto" w:fill="FFFFFF"/>
            <w:noWrap/>
            <w:vAlign w:val="bottom"/>
            <w:hideMark/>
          </w:tcPr>
          <w:p w14:paraId="56939599" w14:textId="77777777" w:rsidR="009E7BC2" w:rsidRDefault="009E7BC2" w:rsidP="006B44B9">
            <w:pPr>
              <w:keepNext/>
              <w:keepLines/>
              <w:rPr>
                <w:rFonts w:ascii="Arial" w:hAnsi="Arial" w:cs="Arial"/>
                <w:sz w:val="20"/>
              </w:rPr>
            </w:pPr>
            <w:r>
              <w:rPr>
                <w:rFonts w:cs="Arial"/>
                <w:sz w:val="20"/>
              </w:rPr>
              <w:t>ZEMPLAR 2 MCG TOBOLKY</w:t>
            </w:r>
          </w:p>
        </w:tc>
        <w:tc>
          <w:tcPr>
            <w:tcW w:w="2346" w:type="dxa"/>
            <w:tcBorders>
              <w:top w:val="nil"/>
              <w:left w:val="nil"/>
              <w:bottom w:val="single" w:sz="4" w:space="0" w:color="auto"/>
              <w:right w:val="single" w:sz="4" w:space="0" w:color="auto"/>
            </w:tcBorders>
            <w:noWrap/>
            <w:vAlign w:val="bottom"/>
            <w:hideMark/>
          </w:tcPr>
          <w:p w14:paraId="76DEE951" w14:textId="77777777" w:rsidR="009E7BC2" w:rsidRDefault="009E7BC2" w:rsidP="006B44B9">
            <w:pPr>
              <w:keepNext/>
              <w:keepLines/>
              <w:rPr>
                <w:rFonts w:ascii="Calibri" w:hAnsi="Calibri"/>
                <w:color w:val="000000"/>
              </w:rPr>
            </w:pPr>
            <w:r>
              <w:rPr>
                <w:rFonts w:ascii="Calibri" w:hAnsi="Calibri"/>
                <w:color w:val="000000"/>
              </w:rPr>
              <w:t>POR CPS MOL 28X2MCG</w:t>
            </w:r>
          </w:p>
        </w:tc>
        <w:tc>
          <w:tcPr>
            <w:tcW w:w="2320" w:type="dxa"/>
            <w:tcBorders>
              <w:top w:val="nil"/>
              <w:left w:val="nil"/>
              <w:bottom w:val="single" w:sz="4" w:space="0" w:color="auto"/>
              <w:right w:val="single" w:sz="4" w:space="0" w:color="auto"/>
            </w:tcBorders>
            <w:shd w:val="clear" w:color="auto" w:fill="FFFFFF"/>
            <w:noWrap/>
            <w:vAlign w:val="bottom"/>
            <w:hideMark/>
          </w:tcPr>
          <w:p w14:paraId="60A9C75A" w14:textId="77777777" w:rsidR="009E7BC2" w:rsidRDefault="009E7BC2" w:rsidP="006B44B9">
            <w:pPr>
              <w:keepNext/>
              <w:keepLines/>
              <w:jc w:val="right"/>
              <w:rPr>
                <w:rFonts w:ascii="Arial" w:hAnsi="Arial" w:cs="Arial"/>
                <w:sz w:val="20"/>
              </w:rPr>
            </w:pPr>
            <w:r>
              <w:rPr>
                <w:rFonts w:cs="Arial"/>
                <w:sz w:val="20"/>
              </w:rPr>
              <w:t>2 838,85 Kč</w:t>
            </w:r>
          </w:p>
        </w:tc>
      </w:tr>
      <w:tr w:rsidR="009E7BC2" w:rsidRPr="0099572F" w14:paraId="02199362" w14:textId="77777777" w:rsidTr="006B44B9">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bottom"/>
            <w:hideMark/>
          </w:tcPr>
          <w:p w14:paraId="16B9A7E3" w14:textId="77777777" w:rsidR="009E7BC2" w:rsidRPr="005D26CD" w:rsidRDefault="009E7BC2" w:rsidP="006B44B9">
            <w:pPr>
              <w:keepNext/>
              <w:keepLines/>
              <w:rPr>
                <w:rFonts w:cs="Arial"/>
                <w:sz w:val="20"/>
              </w:rPr>
            </w:pPr>
            <w:r w:rsidRPr="005D26CD">
              <w:rPr>
                <w:rFonts w:cs="Arial"/>
                <w:sz w:val="20"/>
              </w:rPr>
              <w:t>0185485</w:t>
            </w:r>
          </w:p>
        </w:tc>
        <w:tc>
          <w:tcPr>
            <w:tcW w:w="2174" w:type="dxa"/>
            <w:tcBorders>
              <w:top w:val="nil"/>
              <w:left w:val="nil"/>
              <w:bottom w:val="single" w:sz="4" w:space="0" w:color="auto"/>
              <w:right w:val="single" w:sz="4" w:space="0" w:color="auto"/>
            </w:tcBorders>
            <w:shd w:val="clear" w:color="auto" w:fill="FFFFFF"/>
            <w:noWrap/>
            <w:vAlign w:val="bottom"/>
            <w:hideMark/>
          </w:tcPr>
          <w:p w14:paraId="6B6A6F3A" w14:textId="77777777" w:rsidR="009E7BC2" w:rsidRPr="0099572F" w:rsidRDefault="009E7BC2" w:rsidP="006B44B9">
            <w:pPr>
              <w:keepNext/>
              <w:keepLines/>
              <w:rPr>
                <w:rFonts w:cs="Arial"/>
                <w:sz w:val="20"/>
              </w:rPr>
            </w:pPr>
            <w:r w:rsidRPr="0099572F">
              <w:rPr>
                <w:rFonts w:cs="Arial"/>
                <w:sz w:val="20"/>
              </w:rPr>
              <w:t>ZEMPLAR 5 MCG/ML</w:t>
            </w:r>
          </w:p>
        </w:tc>
        <w:tc>
          <w:tcPr>
            <w:tcW w:w="2346" w:type="dxa"/>
            <w:tcBorders>
              <w:top w:val="nil"/>
              <w:left w:val="nil"/>
              <w:bottom w:val="single" w:sz="4" w:space="0" w:color="auto"/>
              <w:right w:val="single" w:sz="4" w:space="0" w:color="auto"/>
            </w:tcBorders>
            <w:shd w:val="clear" w:color="auto" w:fill="auto"/>
            <w:noWrap/>
            <w:vAlign w:val="bottom"/>
            <w:hideMark/>
          </w:tcPr>
          <w:p w14:paraId="6D39F403" w14:textId="77777777" w:rsidR="009E7BC2" w:rsidRPr="005D26CD" w:rsidRDefault="009E7BC2" w:rsidP="006B44B9">
            <w:pPr>
              <w:keepNext/>
              <w:keepLines/>
              <w:rPr>
                <w:rFonts w:cs="Arial"/>
                <w:sz w:val="20"/>
              </w:rPr>
            </w:pPr>
            <w:r w:rsidRPr="005D26CD">
              <w:rPr>
                <w:rFonts w:cs="Arial"/>
                <w:sz w:val="20"/>
              </w:rPr>
              <w:t xml:space="preserve">INJ SOL 5X1ML </w:t>
            </w:r>
          </w:p>
        </w:tc>
        <w:tc>
          <w:tcPr>
            <w:tcW w:w="2320" w:type="dxa"/>
            <w:tcBorders>
              <w:top w:val="nil"/>
              <w:left w:val="nil"/>
              <w:bottom w:val="single" w:sz="4" w:space="0" w:color="auto"/>
              <w:right w:val="single" w:sz="4" w:space="0" w:color="auto"/>
            </w:tcBorders>
            <w:shd w:val="clear" w:color="auto" w:fill="FFFFFF"/>
            <w:noWrap/>
            <w:vAlign w:val="bottom"/>
            <w:hideMark/>
          </w:tcPr>
          <w:p w14:paraId="6352FF50" w14:textId="77777777" w:rsidR="009E7BC2" w:rsidRPr="0099572F" w:rsidRDefault="009E7BC2" w:rsidP="006B44B9">
            <w:pPr>
              <w:keepNext/>
              <w:keepLines/>
              <w:jc w:val="right"/>
              <w:rPr>
                <w:rFonts w:cs="Arial"/>
                <w:sz w:val="20"/>
              </w:rPr>
            </w:pPr>
            <w:r w:rsidRPr="0099572F">
              <w:rPr>
                <w:rFonts w:cs="Arial"/>
                <w:sz w:val="20"/>
              </w:rPr>
              <w:t>1 885,73 Kč</w:t>
            </w:r>
          </w:p>
        </w:tc>
      </w:tr>
    </w:tbl>
    <w:p w14:paraId="5C4546C5" w14:textId="77777777" w:rsidR="002F3A8A" w:rsidRPr="007C263C" w:rsidRDefault="002F3A8A" w:rsidP="001B4C22">
      <w:pPr>
        <w:jc w:val="center"/>
        <w:rPr>
          <w:rFonts w:ascii="Times New Roman" w:hAnsi="Times New Roman" w:cs="Times New Roman"/>
          <w:b/>
          <w:bCs/>
          <w:color w:val="000000"/>
          <w:highlight w:val="yellow"/>
          <w:lang w:eastAsia="zh-TW"/>
        </w:rPr>
      </w:pPr>
    </w:p>
    <w:sectPr w:rsidR="002F3A8A" w:rsidRPr="007C263C" w:rsidSect="00656169">
      <w:footerReference w:type="even" r:id="rId8"/>
      <w:footerReference w:type="default" r:id="rId9"/>
      <w:pgSz w:w="11906" w:h="16838" w:code="9"/>
      <w:pgMar w:top="1418" w:right="1134" w:bottom="1418" w:left="851" w:header="709" w:footer="709" w:gutter="397"/>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6A6B92" w15:done="0"/>
  <w15:commentEx w15:paraId="4F461D5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D7FDAB" w14:textId="77777777" w:rsidR="00E87F7D" w:rsidRDefault="00E87F7D" w:rsidP="002F3A8A">
      <w:pPr>
        <w:spacing w:after="0" w:line="240" w:lineRule="auto"/>
      </w:pPr>
      <w:r>
        <w:separator/>
      </w:r>
    </w:p>
  </w:endnote>
  <w:endnote w:type="continuationSeparator" w:id="0">
    <w:p w14:paraId="156F3554" w14:textId="77777777" w:rsidR="00E87F7D" w:rsidRDefault="00E87F7D" w:rsidP="002F3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7090A" w14:textId="77777777" w:rsidR="00292E97" w:rsidRDefault="00292E97" w:rsidP="00175EB4">
    <w:pPr>
      <w:pStyle w:val="Zpat"/>
      <w:framePr w:wrap="none"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922C5E3" w14:textId="77777777" w:rsidR="00292E97" w:rsidRDefault="00292E97" w:rsidP="002F3A8A">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9C13D" w14:textId="77777777" w:rsidR="00292E97" w:rsidRPr="002F3A8A" w:rsidRDefault="00292E97" w:rsidP="00175EB4">
    <w:pPr>
      <w:pStyle w:val="Zpat"/>
      <w:framePr w:wrap="none" w:vAnchor="text" w:hAnchor="margin" w:xAlign="right" w:y="1"/>
      <w:rPr>
        <w:rStyle w:val="slostrnky"/>
        <w:rFonts w:ascii="Times New Roman" w:hAnsi="Times New Roman" w:cs="Times New Roman"/>
      </w:rPr>
    </w:pPr>
    <w:r w:rsidRPr="002F3A8A">
      <w:rPr>
        <w:rStyle w:val="slostrnky"/>
        <w:rFonts w:ascii="Times New Roman" w:hAnsi="Times New Roman" w:cs="Times New Roman"/>
      </w:rPr>
      <w:fldChar w:fldCharType="begin"/>
    </w:r>
    <w:r w:rsidRPr="002F3A8A">
      <w:rPr>
        <w:rStyle w:val="slostrnky"/>
        <w:rFonts w:ascii="Times New Roman" w:hAnsi="Times New Roman" w:cs="Times New Roman"/>
      </w:rPr>
      <w:instrText xml:space="preserve">PAGE  </w:instrText>
    </w:r>
    <w:r w:rsidRPr="002F3A8A">
      <w:rPr>
        <w:rStyle w:val="slostrnky"/>
        <w:rFonts w:ascii="Times New Roman" w:hAnsi="Times New Roman" w:cs="Times New Roman"/>
      </w:rPr>
      <w:fldChar w:fldCharType="separate"/>
    </w:r>
    <w:r w:rsidR="00583C7E">
      <w:rPr>
        <w:rStyle w:val="slostrnky"/>
        <w:rFonts w:ascii="Times New Roman" w:hAnsi="Times New Roman" w:cs="Times New Roman"/>
        <w:noProof/>
      </w:rPr>
      <w:t>2</w:t>
    </w:r>
    <w:r w:rsidRPr="002F3A8A">
      <w:rPr>
        <w:rStyle w:val="slostrnky"/>
        <w:rFonts w:ascii="Times New Roman" w:hAnsi="Times New Roman" w:cs="Times New Roman"/>
      </w:rPr>
      <w:fldChar w:fldCharType="end"/>
    </w:r>
  </w:p>
  <w:p w14:paraId="0E771083" w14:textId="77777777" w:rsidR="00292E97" w:rsidRDefault="00292E97" w:rsidP="002F3A8A">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869DB" w14:textId="77777777" w:rsidR="00E87F7D" w:rsidRDefault="00E87F7D" w:rsidP="002F3A8A">
      <w:pPr>
        <w:spacing w:after="0" w:line="240" w:lineRule="auto"/>
      </w:pPr>
      <w:r>
        <w:separator/>
      </w:r>
    </w:p>
  </w:footnote>
  <w:footnote w:type="continuationSeparator" w:id="0">
    <w:p w14:paraId="7C64AAB9" w14:textId="77777777" w:rsidR="00E87F7D" w:rsidRDefault="00E87F7D" w:rsidP="002F3A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F3E7C"/>
    <w:multiLevelType w:val="hybridMultilevel"/>
    <w:tmpl w:val="0D06F394"/>
    <w:lvl w:ilvl="0" w:tplc="83886F7A">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4635BB6"/>
    <w:multiLevelType w:val="hybridMultilevel"/>
    <w:tmpl w:val="A5E49D94"/>
    <w:lvl w:ilvl="0" w:tplc="C994AD3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6B7F3A55"/>
    <w:multiLevelType w:val="hybridMultilevel"/>
    <w:tmpl w:val="D40EAE32"/>
    <w:lvl w:ilvl="0" w:tplc="302C84B8">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335"/>
    <w:rsid w:val="00032FCC"/>
    <w:rsid w:val="000409E4"/>
    <w:rsid w:val="00041411"/>
    <w:rsid w:val="00042AB9"/>
    <w:rsid w:val="00045B36"/>
    <w:rsid w:val="00054A7D"/>
    <w:rsid w:val="00057EF9"/>
    <w:rsid w:val="0006383B"/>
    <w:rsid w:val="0007415C"/>
    <w:rsid w:val="00081630"/>
    <w:rsid w:val="000818C5"/>
    <w:rsid w:val="00091EF4"/>
    <w:rsid w:val="000A6F9D"/>
    <w:rsid w:val="001178C8"/>
    <w:rsid w:val="00125578"/>
    <w:rsid w:val="00140611"/>
    <w:rsid w:val="00142335"/>
    <w:rsid w:val="001443D9"/>
    <w:rsid w:val="0014542C"/>
    <w:rsid w:val="00150CF3"/>
    <w:rsid w:val="0015254D"/>
    <w:rsid w:val="001553E7"/>
    <w:rsid w:val="00167D7D"/>
    <w:rsid w:val="00175EB4"/>
    <w:rsid w:val="0018161D"/>
    <w:rsid w:val="00187D6F"/>
    <w:rsid w:val="001911B3"/>
    <w:rsid w:val="001941DD"/>
    <w:rsid w:val="001A250D"/>
    <w:rsid w:val="001A76A3"/>
    <w:rsid w:val="001B4882"/>
    <w:rsid w:val="001B4C22"/>
    <w:rsid w:val="001C3277"/>
    <w:rsid w:val="001C454B"/>
    <w:rsid w:val="001C579C"/>
    <w:rsid w:val="001C5D47"/>
    <w:rsid w:val="001D14DC"/>
    <w:rsid w:val="002053F5"/>
    <w:rsid w:val="002147D6"/>
    <w:rsid w:val="0023243B"/>
    <w:rsid w:val="0023355B"/>
    <w:rsid w:val="0024700F"/>
    <w:rsid w:val="00260FCC"/>
    <w:rsid w:val="0026165B"/>
    <w:rsid w:val="00280AD3"/>
    <w:rsid w:val="00287936"/>
    <w:rsid w:val="00292E97"/>
    <w:rsid w:val="00296A33"/>
    <w:rsid w:val="002A1649"/>
    <w:rsid w:val="002A32B5"/>
    <w:rsid w:val="002A7FD6"/>
    <w:rsid w:val="002D61FD"/>
    <w:rsid w:val="002E7EC8"/>
    <w:rsid w:val="002F1F01"/>
    <w:rsid w:val="002F3224"/>
    <w:rsid w:val="002F3A8A"/>
    <w:rsid w:val="0030445B"/>
    <w:rsid w:val="00305F4F"/>
    <w:rsid w:val="00315345"/>
    <w:rsid w:val="00322C8B"/>
    <w:rsid w:val="00327AE7"/>
    <w:rsid w:val="00340B7D"/>
    <w:rsid w:val="00343D31"/>
    <w:rsid w:val="00344198"/>
    <w:rsid w:val="003546E2"/>
    <w:rsid w:val="00354A6F"/>
    <w:rsid w:val="003554C9"/>
    <w:rsid w:val="0036505B"/>
    <w:rsid w:val="00372F2A"/>
    <w:rsid w:val="00393EA8"/>
    <w:rsid w:val="003A25E5"/>
    <w:rsid w:val="003A55A2"/>
    <w:rsid w:val="003C74F5"/>
    <w:rsid w:val="003C7BEF"/>
    <w:rsid w:val="003D3AEA"/>
    <w:rsid w:val="003E42D5"/>
    <w:rsid w:val="003F3F91"/>
    <w:rsid w:val="003F56DD"/>
    <w:rsid w:val="003F654A"/>
    <w:rsid w:val="00400D42"/>
    <w:rsid w:val="00403F66"/>
    <w:rsid w:val="004314FD"/>
    <w:rsid w:val="00432B20"/>
    <w:rsid w:val="0043522F"/>
    <w:rsid w:val="00436432"/>
    <w:rsid w:val="004527B1"/>
    <w:rsid w:val="004540FB"/>
    <w:rsid w:val="00465BA5"/>
    <w:rsid w:val="00472EB6"/>
    <w:rsid w:val="00474FBA"/>
    <w:rsid w:val="004873D8"/>
    <w:rsid w:val="004914B2"/>
    <w:rsid w:val="00494E03"/>
    <w:rsid w:val="00497274"/>
    <w:rsid w:val="004C1EC0"/>
    <w:rsid w:val="004E23B1"/>
    <w:rsid w:val="004E3BC5"/>
    <w:rsid w:val="005163A8"/>
    <w:rsid w:val="005265A9"/>
    <w:rsid w:val="00544895"/>
    <w:rsid w:val="00546C0E"/>
    <w:rsid w:val="00550695"/>
    <w:rsid w:val="005537C7"/>
    <w:rsid w:val="0057783F"/>
    <w:rsid w:val="00583C7E"/>
    <w:rsid w:val="00590EB7"/>
    <w:rsid w:val="00597527"/>
    <w:rsid w:val="005A26CE"/>
    <w:rsid w:val="005A3D2A"/>
    <w:rsid w:val="005B2389"/>
    <w:rsid w:val="005B4371"/>
    <w:rsid w:val="005B7D60"/>
    <w:rsid w:val="005C025A"/>
    <w:rsid w:val="005D0488"/>
    <w:rsid w:val="005D1F33"/>
    <w:rsid w:val="005D26CD"/>
    <w:rsid w:val="005D282B"/>
    <w:rsid w:val="005D36B8"/>
    <w:rsid w:val="005F10DD"/>
    <w:rsid w:val="005F15FD"/>
    <w:rsid w:val="00606C85"/>
    <w:rsid w:val="006170EE"/>
    <w:rsid w:val="00624375"/>
    <w:rsid w:val="0064060B"/>
    <w:rsid w:val="00656169"/>
    <w:rsid w:val="00657B63"/>
    <w:rsid w:val="00664A0D"/>
    <w:rsid w:val="006A20DA"/>
    <w:rsid w:val="006B2EB4"/>
    <w:rsid w:val="006B4AC1"/>
    <w:rsid w:val="006C5081"/>
    <w:rsid w:val="006D2D39"/>
    <w:rsid w:val="006D4D1B"/>
    <w:rsid w:val="006E1623"/>
    <w:rsid w:val="006E5A4D"/>
    <w:rsid w:val="006F2F50"/>
    <w:rsid w:val="006F369D"/>
    <w:rsid w:val="00730324"/>
    <w:rsid w:val="00737E62"/>
    <w:rsid w:val="00751441"/>
    <w:rsid w:val="00773AFB"/>
    <w:rsid w:val="00776DEF"/>
    <w:rsid w:val="00776FC2"/>
    <w:rsid w:val="007812C3"/>
    <w:rsid w:val="0079326A"/>
    <w:rsid w:val="00796181"/>
    <w:rsid w:val="007A385F"/>
    <w:rsid w:val="007A3A78"/>
    <w:rsid w:val="007B2AC3"/>
    <w:rsid w:val="007B42B9"/>
    <w:rsid w:val="007C263C"/>
    <w:rsid w:val="007D60AF"/>
    <w:rsid w:val="007E5968"/>
    <w:rsid w:val="008214D4"/>
    <w:rsid w:val="00824D53"/>
    <w:rsid w:val="00835E2E"/>
    <w:rsid w:val="00847C76"/>
    <w:rsid w:val="00861162"/>
    <w:rsid w:val="00865912"/>
    <w:rsid w:val="00881333"/>
    <w:rsid w:val="00884684"/>
    <w:rsid w:val="00897ACF"/>
    <w:rsid w:val="008C58FD"/>
    <w:rsid w:val="008C667C"/>
    <w:rsid w:val="008E6DB5"/>
    <w:rsid w:val="008F3C67"/>
    <w:rsid w:val="008F7C9D"/>
    <w:rsid w:val="00912923"/>
    <w:rsid w:val="00927AD7"/>
    <w:rsid w:val="009448DA"/>
    <w:rsid w:val="00944D84"/>
    <w:rsid w:val="00953288"/>
    <w:rsid w:val="00955DC5"/>
    <w:rsid w:val="009564B7"/>
    <w:rsid w:val="0097571C"/>
    <w:rsid w:val="0097793A"/>
    <w:rsid w:val="00994716"/>
    <w:rsid w:val="009A4B4D"/>
    <w:rsid w:val="009B6E2A"/>
    <w:rsid w:val="009C4078"/>
    <w:rsid w:val="009D7CF1"/>
    <w:rsid w:val="009E1877"/>
    <w:rsid w:val="009E7BC2"/>
    <w:rsid w:val="00A01D6D"/>
    <w:rsid w:val="00A03A07"/>
    <w:rsid w:val="00A25A3E"/>
    <w:rsid w:val="00A26AAF"/>
    <w:rsid w:val="00A27222"/>
    <w:rsid w:val="00A72986"/>
    <w:rsid w:val="00A94123"/>
    <w:rsid w:val="00A97D7D"/>
    <w:rsid w:val="00AA5727"/>
    <w:rsid w:val="00AA5B53"/>
    <w:rsid w:val="00AB6340"/>
    <w:rsid w:val="00AC4FFD"/>
    <w:rsid w:val="00AD244E"/>
    <w:rsid w:val="00AD4A98"/>
    <w:rsid w:val="00AF5AA2"/>
    <w:rsid w:val="00B01A5B"/>
    <w:rsid w:val="00B03EDC"/>
    <w:rsid w:val="00B12DA9"/>
    <w:rsid w:val="00B133A3"/>
    <w:rsid w:val="00B43E21"/>
    <w:rsid w:val="00B53C1F"/>
    <w:rsid w:val="00B564F8"/>
    <w:rsid w:val="00B74026"/>
    <w:rsid w:val="00B7696C"/>
    <w:rsid w:val="00B91638"/>
    <w:rsid w:val="00BA1859"/>
    <w:rsid w:val="00BA46E0"/>
    <w:rsid w:val="00BA6876"/>
    <w:rsid w:val="00BB2AA0"/>
    <w:rsid w:val="00BB2C61"/>
    <w:rsid w:val="00BC4764"/>
    <w:rsid w:val="00BC5673"/>
    <w:rsid w:val="00BD3D6F"/>
    <w:rsid w:val="00BE00E6"/>
    <w:rsid w:val="00BF5DEC"/>
    <w:rsid w:val="00BF717A"/>
    <w:rsid w:val="00C02D37"/>
    <w:rsid w:val="00C04208"/>
    <w:rsid w:val="00C12C30"/>
    <w:rsid w:val="00C166FF"/>
    <w:rsid w:val="00C30B1B"/>
    <w:rsid w:val="00C66196"/>
    <w:rsid w:val="00C70010"/>
    <w:rsid w:val="00C7318D"/>
    <w:rsid w:val="00C80E5C"/>
    <w:rsid w:val="00C815B8"/>
    <w:rsid w:val="00C9545F"/>
    <w:rsid w:val="00C97AEC"/>
    <w:rsid w:val="00CA00AB"/>
    <w:rsid w:val="00CB35A9"/>
    <w:rsid w:val="00CC49BE"/>
    <w:rsid w:val="00CD3CE9"/>
    <w:rsid w:val="00CE59AD"/>
    <w:rsid w:val="00CF1685"/>
    <w:rsid w:val="00CF7DEF"/>
    <w:rsid w:val="00D05FEF"/>
    <w:rsid w:val="00D1233E"/>
    <w:rsid w:val="00D21ABD"/>
    <w:rsid w:val="00D239C0"/>
    <w:rsid w:val="00D25FF7"/>
    <w:rsid w:val="00D37A2E"/>
    <w:rsid w:val="00D4525E"/>
    <w:rsid w:val="00D46823"/>
    <w:rsid w:val="00D713E2"/>
    <w:rsid w:val="00D868D0"/>
    <w:rsid w:val="00D96561"/>
    <w:rsid w:val="00DA1AFF"/>
    <w:rsid w:val="00DE0A96"/>
    <w:rsid w:val="00E064C5"/>
    <w:rsid w:val="00E1372A"/>
    <w:rsid w:val="00E4210B"/>
    <w:rsid w:val="00E459AD"/>
    <w:rsid w:val="00E55A44"/>
    <w:rsid w:val="00E566CD"/>
    <w:rsid w:val="00E65322"/>
    <w:rsid w:val="00E8651C"/>
    <w:rsid w:val="00E87F7D"/>
    <w:rsid w:val="00E9166A"/>
    <w:rsid w:val="00E966D2"/>
    <w:rsid w:val="00EA18B7"/>
    <w:rsid w:val="00EB0668"/>
    <w:rsid w:val="00EB6EFC"/>
    <w:rsid w:val="00ED25FE"/>
    <w:rsid w:val="00ED3C91"/>
    <w:rsid w:val="00EE3059"/>
    <w:rsid w:val="00EF0F1B"/>
    <w:rsid w:val="00EF5E0A"/>
    <w:rsid w:val="00F06572"/>
    <w:rsid w:val="00F161E9"/>
    <w:rsid w:val="00F3204F"/>
    <w:rsid w:val="00F4607B"/>
    <w:rsid w:val="00F96C79"/>
    <w:rsid w:val="00F97DF5"/>
    <w:rsid w:val="00FB1D49"/>
    <w:rsid w:val="00FF3D8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9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F96C7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96C79"/>
    <w:pPr>
      <w:ind w:left="720"/>
      <w:contextualSpacing/>
    </w:pPr>
    <w:rPr>
      <w:rFonts w:eastAsiaTheme="minorHAnsi"/>
      <w:lang w:eastAsia="en-US"/>
    </w:rPr>
  </w:style>
  <w:style w:type="paragraph" w:styleId="Textbubliny">
    <w:name w:val="Balloon Text"/>
    <w:basedOn w:val="Normln"/>
    <w:link w:val="TextbublinyChar"/>
    <w:uiPriority w:val="99"/>
    <w:semiHidden/>
    <w:unhideWhenUsed/>
    <w:rsid w:val="00EA18B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18B7"/>
    <w:rPr>
      <w:rFonts w:ascii="Tahoma" w:hAnsi="Tahoma" w:cs="Tahoma"/>
      <w:sz w:val="16"/>
      <w:szCs w:val="16"/>
    </w:rPr>
  </w:style>
  <w:style w:type="paragraph" w:styleId="Zkladntextodsazen">
    <w:name w:val="Body Text Indent"/>
    <w:basedOn w:val="Normln"/>
    <w:link w:val="ZkladntextodsazenChar"/>
    <w:uiPriority w:val="99"/>
    <w:rsid w:val="00150CF3"/>
    <w:pPr>
      <w:spacing w:after="120" w:line="240" w:lineRule="auto"/>
      <w:ind w:left="283"/>
    </w:pPr>
    <w:rPr>
      <w:rFonts w:ascii="Times New Roman" w:eastAsia="Times New Roman" w:hAnsi="Times New Roman" w:cs="Times New Roman"/>
      <w:sz w:val="24"/>
      <w:szCs w:val="24"/>
      <w:lang w:val="en-US" w:eastAsia="x-none"/>
    </w:rPr>
  </w:style>
  <w:style w:type="character" w:customStyle="1" w:styleId="ZkladntextodsazenChar">
    <w:name w:val="Základní text odsazený Char"/>
    <w:basedOn w:val="Standardnpsmoodstavce"/>
    <w:link w:val="Zkladntextodsazen"/>
    <w:uiPriority w:val="99"/>
    <w:rsid w:val="00150CF3"/>
    <w:rPr>
      <w:rFonts w:ascii="Times New Roman" w:eastAsia="Times New Roman" w:hAnsi="Times New Roman" w:cs="Times New Roman"/>
      <w:sz w:val="24"/>
      <w:szCs w:val="24"/>
      <w:lang w:val="en-US" w:eastAsia="x-none"/>
    </w:rPr>
  </w:style>
  <w:style w:type="character" w:styleId="Hypertextovodkaz">
    <w:name w:val="Hyperlink"/>
    <w:basedOn w:val="Standardnpsmoodstavce"/>
    <w:uiPriority w:val="99"/>
    <w:unhideWhenUsed/>
    <w:rsid w:val="00436432"/>
    <w:rPr>
      <w:color w:val="0000FF" w:themeColor="hyperlink"/>
      <w:u w:val="single"/>
    </w:rPr>
  </w:style>
  <w:style w:type="paragraph" w:styleId="Rozloendokumentu">
    <w:name w:val="Document Map"/>
    <w:basedOn w:val="Normln"/>
    <w:link w:val="RozloendokumentuChar"/>
    <w:uiPriority w:val="99"/>
    <w:semiHidden/>
    <w:unhideWhenUsed/>
    <w:rsid w:val="00372F2A"/>
    <w:pPr>
      <w:spacing w:after="0" w:line="240" w:lineRule="auto"/>
    </w:pPr>
    <w:rPr>
      <w:rFonts w:ascii="Times New Roman" w:hAnsi="Times New Roman" w:cs="Times New Roman"/>
      <w:sz w:val="24"/>
      <w:szCs w:val="24"/>
    </w:rPr>
  </w:style>
  <w:style w:type="character" w:customStyle="1" w:styleId="RozloendokumentuChar">
    <w:name w:val="Rozložení dokumentu Char"/>
    <w:basedOn w:val="Standardnpsmoodstavce"/>
    <w:link w:val="Rozloendokumentu"/>
    <w:uiPriority w:val="99"/>
    <w:semiHidden/>
    <w:rsid w:val="00372F2A"/>
    <w:rPr>
      <w:rFonts w:ascii="Times New Roman" w:hAnsi="Times New Roman" w:cs="Times New Roman"/>
      <w:sz w:val="24"/>
      <w:szCs w:val="24"/>
    </w:rPr>
  </w:style>
  <w:style w:type="paragraph" w:styleId="Zpat">
    <w:name w:val="footer"/>
    <w:basedOn w:val="Normln"/>
    <w:link w:val="ZpatChar"/>
    <w:uiPriority w:val="99"/>
    <w:unhideWhenUsed/>
    <w:rsid w:val="002F3A8A"/>
    <w:pPr>
      <w:tabs>
        <w:tab w:val="center" w:pos="4536"/>
        <w:tab w:val="right" w:pos="9072"/>
      </w:tabs>
      <w:spacing w:after="0" w:line="240" w:lineRule="auto"/>
    </w:pPr>
  </w:style>
  <w:style w:type="character" w:customStyle="1" w:styleId="ZpatChar">
    <w:name w:val="Zápatí Char"/>
    <w:basedOn w:val="Standardnpsmoodstavce"/>
    <w:link w:val="Zpat"/>
    <w:uiPriority w:val="99"/>
    <w:rsid w:val="002F3A8A"/>
  </w:style>
  <w:style w:type="character" w:styleId="slostrnky">
    <w:name w:val="page number"/>
    <w:basedOn w:val="Standardnpsmoodstavce"/>
    <w:uiPriority w:val="99"/>
    <w:semiHidden/>
    <w:unhideWhenUsed/>
    <w:rsid w:val="002F3A8A"/>
  </w:style>
  <w:style w:type="paragraph" w:styleId="Zhlav">
    <w:name w:val="header"/>
    <w:basedOn w:val="Normln"/>
    <w:link w:val="ZhlavChar"/>
    <w:uiPriority w:val="99"/>
    <w:unhideWhenUsed/>
    <w:rsid w:val="002F3A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3A8A"/>
  </w:style>
  <w:style w:type="paragraph" w:styleId="Zkladntext2">
    <w:name w:val="Body Text 2"/>
    <w:basedOn w:val="Normln"/>
    <w:link w:val="Zkladntext2Char"/>
    <w:uiPriority w:val="99"/>
    <w:semiHidden/>
    <w:unhideWhenUsed/>
    <w:rsid w:val="001B4C22"/>
    <w:pPr>
      <w:spacing w:after="120" w:line="480" w:lineRule="auto"/>
    </w:pPr>
  </w:style>
  <w:style w:type="character" w:customStyle="1" w:styleId="Zkladntext2Char">
    <w:name w:val="Základní text 2 Char"/>
    <w:basedOn w:val="Standardnpsmoodstavce"/>
    <w:link w:val="Zkladntext2"/>
    <w:uiPriority w:val="99"/>
    <w:semiHidden/>
    <w:rsid w:val="001B4C22"/>
  </w:style>
  <w:style w:type="paragraph" w:styleId="Revize">
    <w:name w:val="Revision"/>
    <w:hidden/>
    <w:uiPriority w:val="99"/>
    <w:semiHidden/>
    <w:rsid w:val="007A3A78"/>
    <w:pPr>
      <w:spacing w:after="0" w:line="240" w:lineRule="auto"/>
    </w:pPr>
  </w:style>
  <w:style w:type="character" w:styleId="Odkaznakoment">
    <w:name w:val="annotation reference"/>
    <w:basedOn w:val="Standardnpsmoodstavce"/>
    <w:uiPriority w:val="99"/>
    <w:semiHidden/>
    <w:unhideWhenUsed/>
    <w:rsid w:val="0057783F"/>
    <w:rPr>
      <w:sz w:val="16"/>
      <w:szCs w:val="16"/>
    </w:rPr>
  </w:style>
  <w:style w:type="paragraph" w:styleId="Textkomente">
    <w:name w:val="annotation text"/>
    <w:basedOn w:val="Normln"/>
    <w:link w:val="TextkomenteChar"/>
    <w:uiPriority w:val="99"/>
    <w:semiHidden/>
    <w:unhideWhenUsed/>
    <w:rsid w:val="0057783F"/>
    <w:pPr>
      <w:spacing w:line="240" w:lineRule="auto"/>
    </w:pPr>
    <w:rPr>
      <w:sz w:val="20"/>
      <w:szCs w:val="20"/>
    </w:rPr>
  </w:style>
  <w:style w:type="character" w:customStyle="1" w:styleId="TextkomenteChar">
    <w:name w:val="Text komentáře Char"/>
    <w:basedOn w:val="Standardnpsmoodstavce"/>
    <w:link w:val="Textkomente"/>
    <w:uiPriority w:val="99"/>
    <w:semiHidden/>
    <w:rsid w:val="0057783F"/>
    <w:rPr>
      <w:sz w:val="20"/>
      <w:szCs w:val="20"/>
    </w:rPr>
  </w:style>
  <w:style w:type="paragraph" w:styleId="Pedmtkomente">
    <w:name w:val="annotation subject"/>
    <w:basedOn w:val="Textkomente"/>
    <w:next w:val="Textkomente"/>
    <w:link w:val="PedmtkomenteChar"/>
    <w:uiPriority w:val="99"/>
    <w:semiHidden/>
    <w:unhideWhenUsed/>
    <w:rsid w:val="0057783F"/>
    <w:rPr>
      <w:b/>
      <w:bCs/>
    </w:rPr>
  </w:style>
  <w:style w:type="character" w:customStyle="1" w:styleId="PedmtkomenteChar">
    <w:name w:val="Předmět komentáře Char"/>
    <w:basedOn w:val="TextkomenteChar"/>
    <w:link w:val="Pedmtkomente"/>
    <w:uiPriority w:val="99"/>
    <w:semiHidden/>
    <w:rsid w:val="0057783F"/>
    <w:rPr>
      <w:b/>
      <w:bCs/>
      <w:sz w:val="20"/>
      <w:szCs w:val="20"/>
    </w:rPr>
  </w:style>
  <w:style w:type="paragraph" w:styleId="Normlnweb">
    <w:name w:val="Normal (Web)"/>
    <w:basedOn w:val="Normln"/>
    <w:uiPriority w:val="99"/>
    <w:semiHidden/>
    <w:unhideWhenUsed/>
    <w:rsid w:val="00081630"/>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F96C7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96C79"/>
    <w:pPr>
      <w:ind w:left="720"/>
      <w:contextualSpacing/>
    </w:pPr>
    <w:rPr>
      <w:rFonts w:eastAsiaTheme="minorHAnsi"/>
      <w:lang w:eastAsia="en-US"/>
    </w:rPr>
  </w:style>
  <w:style w:type="paragraph" w:styleId="Textbubliny">
    <w:name w:val="Balloon Text"/>
    <w:basedOn w:val="Normln"/>
    <w:link w:val="TextbublinyChar"/>
    <w:uiPriority w:val="99"/>
    <w:semiHidden/>
    <w:unhideWhenUsed/>
    <w:rsid w:val="00EA18B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18B7"/>
    <w:rPr>
      <w:rFonts w:ascii="Tahoma" w:hAnsi="Tahoma" w:cs="Tahoma"/>
      <w:sz w:val="16"/>
      <w:szCs w:val="16"/>
    </w:rPr>
  </w:style>
  <w:style w:type="paragraph" w:styleId="Zkladntextodsazen">
    <w:name w:val="Body Text Indent"/>
    <w:basedOn w:val="Normln"/>
    <w:link w:val="ZkladntextodsazenChar"/>
    <w:uiPriority w:val="99"/>
    <w:rsid w:val="00150CF3"/>
    <w:pPr>
      <w:spacing w:after="120" w:line="240" w:lineRule="auto"/>
      <w:ind w:left="283"/>
    </w:pPr>
    <w:rPr>
      <w:rFonts w:ascii="Times New Roman" w:eastAsia="Times New Roman" w:hAnsi="Times New Roman" w:cs="Times New Roman"/>
      <w:sz w:val="24"/>
      <w:szCs w:val="24"/>
      <w:lang w:val="en-US" w:eastAsia="x-none"/>
    </w:rPr>
  </w:style>
  <w:style w:type="character" w:customStyle="1" w:styleId="ZkladntextodsazenChar">
    <w:name w:val="Základní text odsazený Char"/>
    <w:basedOn w:val="Standardnpsmoodstavce"/>
    <w:link w:val="Zkladntextodsazen"/>
    <w:uiPriority w:val="99"/>
    <w:rsid w:val="00150CF3"/>
    <w:rPr>
      <w:rFonts w:ascii="Times New Roman" w:eastAsia="Times New Roman" w:hAnsi="Times New Roman" w:cs="Times New Roman"/>
      <w:sz w:val="24"/>
      <w:szCs w:val="24"/>
      <w:lang w:val="en-US" w:eastAsia="x-none"/>
    </w:rPr>
  </w:style>
  <w:style w:type="character" w:styleId="Hypertextovodkaz">
    <w:name w:val="Hyperlink"/>
    <w:basedOn w:val="Standardnpsmoodstavce"/>
    <w:uiPriority w:val="99"/>
    <w:unhideWhenUsed/>
    <w:rsid w:val="00436432"/>
    <w:rPr>
      <w:color w:val="0000FF" w:themeColor="hyperlink"/>
      <w:u w:val="single"/>
    </w:rPr>
  </w:style>
  <w:style w:type="paragraph" w:styleId="Rozloendokumentu">
    <w:name w:val="Document Map"/>
    <w:basedOn w:val="Normln"/>
    <w:link w:val="RozloendokumentuChar"/>
    <w:uiPriority w:val="99"/>
    <w:semiHidden/>
    <w:unhideWhenUsed/>
    <w:rsid w:val="00372F2A"/>
    <w:pPr>
      <w:spacing w:after="0" w:line="240" w:lineRule="auto"/>
    </w:pPr>
    <w:rPr>
      <w:rFonts w:ascii="Times New Roman" w:hAnsi="Times New Roman" w:cs="Times New Roman"/>
      <w:sz w:val="24"/>
      <w:szCs w:val="24"/>
    </w:rPr>
  </w:style>
  <w:style w:type="character" w:customStyle="1" w:styleId="RozloendokumentuChar">
    <w:name w:val="Rozložení dokumentu Char"/>
    <w:basedOn w:val="Standardnpsmoodstavce"/>
    <w:link w:val="Rozloendokumentu"/>
    <w:uiPriority w:val="99"/>
    <w:semiHidden/>
    <w:rsid w:val="00372F2A"/>
    <w:rPr>
      <w:rFonts w:ascii="Times New Roman" w:hAnsi="Times New Roman" w:cs="Times New Roman"/>
      <w:sz w:val="24"/>
      <w:szCs w:val="24"/>
    </w:rPr>
  </w:style>
  <w:style w:type="paragraph" w:styleId="Zpat">
    <w:name w:val="footer"/>
    <w:basedOn w:val="Normln"/>
    <w:link w:val="ZpatChar"/>
    <w:uiPriority w:val="99"/>
    <w:unhideWhenUsed/>
    <w:rsid w:val="002F3A8A"/>
    <w:pPr>
      <w:tabs>
        <w:tab w:val="center" w:pos="4536"/>
        <w:tab w:val="right" w:pos="9072"/>
      </w:tabs>
      <w:spacing w:after="0" w:line="240" w:lineRule="auto"/>
    </w:pPr>
  </w:style>
  <w:style w:type="character" w:customStyle="1" w:styleId="ZpatChar">
    <w:name w:val="Zápatí Char"/>
    <w:basedOn w:val="Standardnpsmoodstavce"/>
    <w:link w:val="Zpat"/>
    <w:uiPriority w:val="99"/>
    <w:rsid w:val="002F3A8A"/>
  </w:style>
  <w:style w:type="character" w:styleId="slostrnky">
    <w:name w:val="page number"/>
    <w:basedOn w:val="Standardnpsmoodstavce"/>
    <w:uiPriority w:val="99"/>
    <w:semiHidden/>
    <w:unhideWhenUsed/>
    <w:rsid w:val="002F3A8A"/>
  </w:style>
  <w:style w:type="paragraph" w:styleId="Zhlav">
    <w:name w:val="header"/>
    <w:basedOn w:val="Normln"/>
    <w:link w:val="ZhlavChar"/>
    <w:uiPriority w:val="99"/>
    <w:unhideWhenUsed/>
    <w:rsid w:val="002F3A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3A8A"/>
  </w:style>
  <w:style w:type="paragraph" w:styleId="Zkladntext2">
    <w:name w:val="Body Text 2"/>
    <w:basedOn w:val="Normln"/>
    <w:link w:val="Zkladntext2Char"/>
    <w:uiPriority w:val="99"/>
    <w:semiHidden/>
    <w:unhideWhenUsed/>
    <w:rsid w:val="001B4C22"/>
    <w:pPr>
      <w:spacing w:after="120" w:line="480" w:lineRule="auto"/>
    </w:pPr>
  </w:style>
  <w:style w:type="character" w:customStyle="1" w:styleId="Zkladntext2Char">
    <w:name w:val="Základní text 2 Char"/>
    <w:basedOn w:val="Standardnpsmoodstavce"/>
    <w:link w:val="Zkladntext2"/>
    <w:uiPriority w:val="99"/>
    <w:semiHidden/>
    <w:rsid w:val="001B4C22"/>
  </w:style>
  <w:style w:type="paragraph" w:styleId="Revize">
    <w:name w:val="Revision"/>
    <w:hidden/>
    <w:uiPriority w:val="99"/>
    <w:semiHidden/>
    <w:rsid w:val="007A3A78"/>
    <w:pPr>
      <w:spacing w:after="0" w:line="240" w:lineRule="auto"/>
    </w:pPr>
  </w:style>
  <w:style w:type="character" w:styleId="Odkaznakoment">
    <w:name w:val="annotation reference"/>
    <w:basedOn w:val="Standardnpsmoodstavce"/>
    <w:uiPriority w:val="99"/>
    <w:semiHidden/>
    <w:unhideWhenUsed/>
    <w:rsid w:val="0057783F"/>
    <w:rPr>
      <w:sz w:val="16"/>
      <w:szCs w:val="16"/>
    </w:rPr>
  </w:style>
  <w:style w:type="paragraph" w:styleId="Textkomente">
    <w:name w:val="annotation text"/>
    <w:basedOn w:val="Normln"/>
    <w:link w:val="TextkomenteChar"/>
    <w:uiPriority w:val="99"/>
    <w:semiHidden/>
    <w:unhideWhenUsed/>
    <w:rsid w:val="0057783F"/>
    <w:pPr>
      <w:spacing w:line="240" w:lineRule="auto"/>
    </w:pPr>
    <w:rPr>
      <w:sz w:val="20"/>
      <w:szCs w:val="20"/>
    </w:rPr>
  </w:style>
  <w:style w:type="character" w:customStyle="1" w:styleId="TextkomenteChar">
    <w:name w:val="Text komentáře Char"/>
    <w:basedOn w:val="Standardnpsmoodstavce"/>
    <w:link w:val="Textkomente"/>
    <w:uiPriority w:val="99"/>
    <w:semiHidden/>
    <w:rsid w:val="0057783F"/>
    <w:rPr>
      <w:sz w:val="20"/>
      <w:szCs w:val="20"/>
    </w:rPr>
  </w:style>
  <w:style w:type="paragraph" w:styleId="Pedmtkomente">
    <w:name w:val="annotation subject"/>
    <w:basedOn w:val="Textkomente"/>
    <w:next w:val="Textkomente"/>
    <w:link w:val="PedmtkomenteChar"/>
    <w:uiPriority w:val="99"/>
    <w:semiHidden/>
    <w:unhideWhenUsed/>
    <w:rsid w:val="0057783F"/>
    <w:rPr>
      <w:b/>
      <w:bCs/>
    </w:rPr>
  </w:style>
  <w:style w:type="character" w:customStyle="1" w:styleId="PedmtkomenteChar">
    <w:name w:val="Předmět komentáře Char"/>
    <w:basedOn w:val="TextkomenteChar"/>
    <w:link w:val="Pedmtkomente"/>
    <w:uiPriority w:val="99"/>
    <w:semiHidden/>
    <w:rsid w:val="0057783F"/>
    <w:rPr>
      <w:b/>
      <w:bCs/>
      <w:sz w:val="20"/>
      <w:szCs w:val="20"/>
    </w:rPr>
  </w:style>
  <w:style w:type="paragraph" w:styleId="Normlnweb">
    <w:name w:val="Normal (Web)"/>
    <w:basedOn w:val="Normln"/>
    <w:uiPriority w:val="99"/>
    <w:semiHidden/>
    <w:unhideWhenUsed/>
    <w:rsid w:val="0008163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4254">
      <w:bodyDiv w:val="1"/>
      <w:marLeft w:val="0"/>
      <w:marRight w:val="0"/>
      <w:marTop w:val="0"/>
      <w:marBottom w:val="0"/>
      <w:divBdr>
        <w:top w:val="none" w:sz="0" w:space="0" w:color="auto"/>
        <w:left w:val="none" w:sz="0" w:space="0" w:color="auto"/>
        <w:bottom w:val="none" w:sz="0" w:space="0" w:color="auto"/>
        <w:right w:val="none" w:sz="0" w:space="0" w:color="auto"/>
      </w:divBdr>
    </w:div>
    <w:div w:id="305477366">
      <w:bodyDiv w:val="1"/>
      <w:marLeft w:val="0"/>
      <w:marRight w:val="0"/>
      <w:marTop w:val="0"/>
      <w:marBottom w:val="0"/>
      <w:divBdr>
        <w:top w:val="none" w:sz="0" w:space="0" w:color="auto"/>
        <w:left w:val="none" w:sz="0" w:space="0" w:color="auto"/>
        <w:bottom w:val="none" w:sz="0" w:space="0" w:color="auto"/>
        <w:right w:val="none" w:sz="0" w:space="0" w:color="auto"/>
      </w:divBdr>
    </w:div>
    <w:div w:id="739063335">
      <w:bodyDiv w:val="1"/>
      <w:marLeft w:val="0"/>
      <w:marRight w:val="0"/>
      <w:marTop w:val="0"/>
      <w:marBottom w:val="0"/>
      <w:divBdr>
        <w:top w:val="none" w:sz="0" w:space="0" w:color="auto"/>
        <w:left w:val="none" w:sz="0" w:space="0" w:color="auto"/>
        <w:bottom w:val="none" w:sz="0" w:space="0" w:color="auto"/>
        <w:right w:val="none" w:sz="0" w:space="0" w:color="auto"/>
      </w:divBdr>
    </w:div>
    <w:div w:id="984973255">
      <w:bodyDiv w:val="1"/>
      <w:marLeft w:val="0"/>
      <w:marRight w:val="0"/>
      <w:marTop w:val="0"/>
      <w:marBottom w:val="0"/>
      <w:divBdr>
        <w:top w:val="none" w:sz="0" w:space="0" w:color="auto"/>
        <w:left w:val="none" w:sz="0" w:space="0" w:color="auto"/>
        <w:bottom w:val="none" w:sz="0" w:space="0" w:color="auto"/>
        <w:right w:val="none" w:sz="0" w:space="0" w:color="auto"/>
      </w:divBdr>
    </w:div>
    <w:div w:id="1483813229">
      <w:bodyDiv w:val="1"/>
      <w:marLeft w:val="0"/>
      <w:marRight w:val="0"/>
      <w:marTop w:val="0"/>
      <w:marBottom w:val="0"/>
      <w:divBdr>
        <w:top w:val="none" w:sz="0" w:space="0" w:color="auto"/>
        <w:left w:val="none" w:sz="0" w:space="0" w:color="auto"/>
        <w:bottom w:val="none" w:sz="0" w:space="0" w:color="auto"/>
        <w:right w:val="none" w:sz="0" w:space="0" w:color="auto"/>
      </w:divBdr>
    </w:div>
    <w:div w:id="1682008109">
      <w:bodyDiv w:val="1"/>
      <w:marLeft w:val="0"/>
      <w:marRight w:val="0"/>
      <w:marTop w:val="0"/>
      <w:marBottom w:val="0"/>
      <w:divBdr>
        <w:top w:val="none" w:sz="0" w:space="0" w:color="auto"/>
        <w:left w:val="none" w:sz="0" w:space="0" w:color="auto"/>
        <w:bottom w:val="none" w:sz="0" w:space="0" w:color="auto"/>
        <w:right w:val="none" w:sz="0" w:space="0" w:color="auto"/>
      </w:divBdr>
    </w:div>
    <w:div w:id="2001228486">
      <w:bodyDiv w:val="1"/>
      <w:marLeft w:val="0"/>
      <w:marRight w:val="0"/>
      <w:marTop w:val="0"/>
      <w:marBottom w:val="0"/>
      <w:divBdr>
        <w:top w:val="none" w:sz="0" w:space="0" w:color="auto"/>
        <w:left w:val="none" w:sz="0" w:space="0" w:color="auto"/>
        <w:bottom w:val="none" w:sz="0" w:space="0" w:color="auto"/>
        <w:right w:val="none" w:sz="0" w:space="0" w:color="auto"/>
      </w:divBdr>
    </w:div>
    <w:div w:id="204343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2295</Words>
  <Characters>13543</Characters>
  <Application>Microsoft Office Word</Application>
  <DocSecurity>0</DocSecurity>
  <Lines>112</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AbbVie Inc</Company>
  <LinksUpToDate>false</LinksUpToDate>
  <CharactersWithSpaces>15807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Pieš</dc:creator>
  <cp:lastModifiedBy>Blanka Ulrichová</cp:lastModifiedBy>
  <cp:revision>2</cp:revision>
  <cp:lastPrinted>2019-03-05T14:56:00Z</cp:lastPrinted>
  <dcterms:created xsi:type="dcterms:W3CDTF">2019-03-22T08:26:00Z</dcterms:created>
  <dcterms:modified xsi:type="dcterms:W3CDTF">2019-03-22T08:26:00Z</dcterms:modified>
</cp:coreProperties>
</file>