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2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k</w:t>
      </w:r>
      <w:bookmarkEnd w:id="0"/>
      <w:bookmarkEnd w:id="1"/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Smlouvě o zajištění výkonu technického dozoru stavebníka na staveništi</w:t>
        <w:br/>
      </w: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na akci: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11/357 Jimramov - most ev. č. 357-020</w:t>
      </w:r>
      <w:bookmarkEnd w:id="2"/>
      <w:bookmarkEnd w:id="3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uzavřený podle § 1746 odst. 2 zákona č. 89/2012 Sb., občanský zákoník, v platném znění.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666115" distB="2096135" distL="15875" distR="0" simplePos="0" relativeHeight="125829378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666115</wp:posOffset>
                </wp:positionV>
                <wp:extent cx="6144895" cy="95758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44895" cy="95758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771"/>
                              <w:gridCol w:w="7906"/>
                            </w:tblGrid>
                            <w:tr>
                              <w:trPr>
                                <w:tblHeader/>
                                <w:trHeight w:val="637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2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Článek 1 Smluvní strany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Objednatel: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Krajská správa a údržba silnic Vysočiny, příspěvková organizace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se sídlem: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Kosovská 1122/16, 586 01 Jihlava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zastoupený: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Ing. Janem Míkou, MBA, ředitelem organizace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6.149999999999999pt;margin-top:52.450000000000003pt;width:483.85000000000002pt;height:75.400000000000006pt;z-index:-125829375;mso-wrap-distance-left:1.25pt;mso-wrap-distance-top:52.450000000000003pt;mso-wrap-distance-right:0;mso-wrap-distance-bottom:165.05000000000001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771"/>
                        <w:gridCol w:w="7906"/>
                      </w:tblGrid>
                      <w:tr>
                        <w:trPr>
                          <w:tblHeader/>
                          <w:trHeight w:val="637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2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Článek 1 Smluvní strany</w:t>
                            </w:r>
                          </w:p>
                        </w:tc>
                      </w:tr>
                      <w:tr>
                        <w:trPr>
                          <w:trHeight w:val="32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Vysočiny, příspěvková organizace</w:t>
                            </w:r>
                          </w:p>
                        </w:tc>
                      </w:tr>
                      <w:tr>
                        <w:trPr>
                          <w:trHeight w:val="25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se sídlem: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Kosovská 1122/16, 586 01 Jihlava</w:t>
                            </w:r>
                          </w:p>
                        </w:tc>
                      </w:tr>
                      <w:tr>
                        <w:trPr>
                          <w:trHeight w:val="29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Janem Míkou, MBA, ředitelem organizace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697230</wp:posOffset>
                </wp:positionH>
                <wp:positionV relativeFrom="paragraph">
                  <wp:posOffset>101600</wp:posOffset>
                </wp:positionV>
                <wp:extent cx="5783580" cy="29019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83580" cy="2901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číslo smlouvy objednatele: 27/2018/TDS/D2/ZR/VZMR-sl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číslo smlouvy dodavatele: 18TD10101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4.899999999999999pt;margin-top:8.pt;width:455.39999999999998pt;height:22.8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číslo smlouvy objednatele: 27/2018/TDS/D2/ZR/VZMR-sl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číslo smlouvy dodavatele: 18TD10101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783715" distB="1081405" distL="20320" distR="0" simplePos="0" relativeHeight="125829380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1783715</wp:posOffset>
                </wp:positionV>
                <wp:extent cx="6144895" cy="85471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44895" cy="85471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771"/>
                              <w:gridCol w:w="7906"/>
                            </w:tblGrid>
                            <w:tr>
                              <w:trPr>
                                <w:tblHeader/>
                                <w:trHeight w:val="266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technických: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78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, referent investiční výstavby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Bankovní spojení: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účtu: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Komerční banka, a.s.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00090450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CZ00090450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6.149999999999999pt;margin-top:140.44999999999999pt;width:483.85000000000002pt;height:67.299999999999997pt;z-index:-125829373;mso-wrap-distance-left:1.6000000000000001pt;mso-wrap-distance-top:140.44999999999999pt;mso-wrap-distance-right:0;mso-wrap-distance-bottom:85.150000000000006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771"/>
                        <w:gridCol w:w="7906"/>
                      </w:tblGrid>
                      <w:tr>
                        <w:trPr>
                          <w:tblHeader/>
                          <w:trHeight w:val="266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technických: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78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referent investiční výstavby</w:t>
                            </w:r>
                          </w:p>
                        </w:tc>
                      </w:tr>
                      <w:tr>
                        <w:trPr>
                          <w:trHeight w:val="52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účtu: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Komerční banka, a.s.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00090450</w:t>
                            </w:r>
                          </w:p>
                        </w:tc>
                      </w:tr>
                      <w:tr>
                        <w:trPr>
                          <w:trHeight w:val="29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CZ00090450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692785</wp:posOffset>
                </wp:positionH>
                <wp:positionV relativeFrom="paragraph">
                  <wp:posOffset>1596390</wp:posOffset>
                </wp:positionV>
                <wp:extent cx="3287395" cy="19685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87395" cy="196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Osoby pověřené jednat jménem objednatele ve věcech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4.549999999999997pt;margin-top:125.7pt;width:258.85000000000002pt;height:15.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Osoby pověřené jednat jménem objednatele ve věcech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2609215" distB="0" distL="0" distR="0" simplePos="0" relativeHeight="125829382" behindDoc="0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2609215</wp:posOffset>
                </wp:positionV>
                <wp:extent cx="3552190" cy="111125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52190" cy="1111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Telefon: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Fax: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64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  <w:tab/>
                              <w:t>_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077" w:val="left"/>
                                <w:tab w:pos="4151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Zřizovatel:</w:t>
                              <w:tab/>
                              <w:t>Zřizovatel:</w:t>
                              <w:tab/>
                              <w:t>Kraj Vysočina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(dále jen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..Objednatel“)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4.350000000000001pt;margin-top:205.44999999999999pt;width:279.69999999999999pt;height:87.5pt;z-index:-125829371;mso-wrap-distance-left:0;mso-wrap-distance-top:205.44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Fax: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64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  <w:tab/>
                        <w:t>_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77" w:val="left"/>
                          <w:tab w:pos="415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Zřizovatel:</w:t>
                        <w:tab/>
                        <w:t>Zřizovatel:</w:t>
                        <w:tab/>
                        <w:t>Kraj Vysočina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(dále jen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..Objednatel“)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1771"/>
        <w:gridCol w:w="7906"/>
      </w:tblGrid>
      <w:tr>
        <w:trPr>
          <w:trHeight w:val="26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IBR Consulting, s.r.o.</w:t>
            </w:r>
          </w:p>
        </w:tc>
      </w:tr>
      <w:tr>
        <w:trPr>
          <w:trHeight w:val="26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Sokolovská 352/215, 190 00 Praha 9</w:t>
            </w:r>
          </w:p>
        </w:tc>
      </w:tr>
    </w:tbl>
    <w:p>
      <w:pPr>
        <w:widowControl w:val="0"/>
        <w:spacing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tabs>
          <w:tab w:pos="207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  <w:tab/>
        <w:t>Ing. Františkem Bencem, Ph.D., jednatelem společnosti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u Městského soudu v Praze, oddíl C, vložka Osoby pověřené jednat jménem zhotovitele ve věcech smluvních: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technických:</w:t>
      </w:r>
    </w:p>
    <w:tbl>
      <w:tblPr>
        <w:tblOverlap w:val="never"/>
        <w:jc w:val="center"/>
        <w:tblLayout w:type="fixed"/>
      </w:tblPr>
      <w:tblGrid>
        <w:gridCol w:w="1771"/>
        <w:gridCol w:w="7906"/>
      </w:tblGrid>
      <w:tr>
        <w:trPr>
          <w:trHeight w:val="3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Raiffeisenbank a.s.</w:t>
            </w:r>
          </w:p>
        </w:tc>
      </w:tr>
    </w:tbl>
    <w:p>
      <w:pPr>
        <w:widowControl w:val="0"/>
        <w:spacing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účtu:</w:t>
      </w:r>
    </w:p>
    <w:tbl>
      <w:tblPr>
        <w:tblOverlap w:val="never"/>
        <w:jc w:val="center"/>
        <w:tblLayout w:type="fixed"/>
      </w:tblPr>
      <w:tblGrid>
        <w:gridCol w:w="1771"/>
        <w:gridCol w:w="7906"/>
      </w:tblGrid>
      <w:tr>
        <w:trPr>
          <w:trHeight w:val="5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 23 446 CZ25023446</w:t>
            </w:r>
          </w:p>
        </w:tc>
      </w:tr>
    </w:tbl>
    <w:p>
      <w:pPr>
        <w:widowControl w:val="0"/>
        <w:spacing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E-mail:</w:t>
      </w:r>
    </w:p>
    <w:tbl>
      <w:tblPr>
        <w:tblOverlap w:val="never"/>
        <w:jc w:val="center"/>
        <w:tblLayout w:type="fixed"/>
      </w:tblPr>
      <w:tblGrid>
        <w:gridCol w:w="1771"/>
        <w:gridCol w:w="7906"/>
      </w:tblGrid>
      <w:tr>
        <w:trPr>
          <w:trHeight w:val="115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(dále jen 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„TDS“)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58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Článek 2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Změna smluvních podmínek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8" w:val="left"/>
        </w:tabs>
        <w:bidi w:val="0"/>
        <w:spacing w:before="0" w:after="4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se vzájemně dohodly na změně stávající smlouvy č.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27/2018/TDS/D2/ZR/VZMR-sl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ze dne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2. 7. 2018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spočívající v časové prodlevě způsobené nepředvídatelnou okolností v rámci realizace stavby, změnou dodavatelské firmy a z toho vyplývajícím prodloužením termínu realizace stavební akce.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2" w:val="left"/>
        </w:tabs>
        <w:bidi w:val="0"/>
        <w:spacing w:before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vzájemně dohodly, že činnost TDS bude po dobu přerušení stavebních prací z důvodu změny dodavatele pozastavena a odměna TDS dle čl. 5.1. stávající smlouvy po tuto dobu nebude vyplácena.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2" w:val="left"/>
        </w:tabs>
        <w:bidi w:val="0"/>
        <w:spacing w:before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Činnost TDS bude obnovena dnem zahájení stavebních prací novou dodavatelskou firmou, tj. prvním záznamem v novém stavebním deníku.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2" w:val="left"/>
        </w:tabs>
        <w:bidi w:val="0"/>
        <w:spacing w:before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objednatel zaplatí TDS za výkon činnosti smluvní dohodnutou částku dle podané cenové nabídky ze dne 18. 6. 2018, sníženou o činnosti vyfakturované v roce 2018 (Fa. č. 18300221 z 6. 8. 2018 a Fa. č. 183 00419 z 19. 10. 2018).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2" w:val="left"/>
        </w:tabs>
        <w:bidi w:val="0"/>
        <w:spacing w:before="0" w:after="4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TDS je oprávněn vystavit fakturu a Objednatel je povinen ji proplatit za každý další stavebně realizační měsíc, počínaje prvním zápisem v novém stavebním deníku s novým zhotovitelem až do ukončení činnosti TDS na základě předávacího protokolu o předání a převzetí stavby mezi zhotovitelem a objednatelem.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2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je nedílnou součástí Smlouvy o zajištění výkonu TDS č. objednatele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27/2018/TDS/D2/ZR/VZMR-sl,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uzavřené dne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2. 7. 2018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podle ustanovení § 1746 odst. 2 zákona č. 89/2012 Sb., občanský zákoník, v platném znění.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Smlouvy jsou tímto dodatkem nedotčené a zůstávají v platnosti v původním znění.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2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je vyhotoven ve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třech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stejnopisech, z nichž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dva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výtisky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obdrží objednatel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jeden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výtisk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TDS.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2" w:val="left"/>
        </w:tabs>
        <w:bidi w:val="0"/>
        <w:spacing w:before="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č. 1 nabývá platnosti dnem podpisu oprávněnými zástupci obou smluvních stran a účinnosti dnem uveřejnění v informačním systému veřejné správy - Registru smluv.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2" w:val="left"/>
        </w:tabs>
        <w:bidi w:val="0"/>
        <w:spacing w:before="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si Dodatek č. 1 před podpisem přečetly, s jejím obsahem souhlasí a na důkaz svobodné a vážné vůle připojují své podpisy.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2" w:val="left"/>
        </w:tabs>
        <w:bidi w:val="0"/>
        <w:spacing w:before="0" w:after="50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 Smluvní strany prohlašují, že si Dodatek č. 1 před podpisem přečetly, s jeho obsahem souhlasí a na důkaz svobodné a vážné vůle připojují své podpisy.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860" w:val="left"/>
          <w:tab w:leader="dot" w:pos="6379" w:val="left"/>
        </w:tabs>
        <w:bidi w:val="0"/>
        <w:spacing w:before="0" w:after="2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 i h 1 avě dne ..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?. P. ,P^;. 2019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V A.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??. </w:t>
        <w:tab/>
        <w:t>dne ...' A.'. . Z \ ?.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860" w:val="left"/>
        </w:tabs>
        <w:bidi w:val="0"/>
        <w:spacing w:before="0" w:after="134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TDS: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Jan Mika, MBA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1558" w:left="1076" w:right="1054" w:bottom="1500" w:header="1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724535</wp:posOffset>
              </wp:positionH>
              <wp:positionV relativeFrom="page">
                <wp:posOffset>9890760</wp:posOffset>
              </wp:positionV>
              <wp:extent cx="5609590" cy="8890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609590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83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Dodatek č. 1 k smlouví č.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27/2018/TDS/D2/ZR/VZMR-S1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57.049999999999997pt;margin-top:778.79999999999995pt;width:441.69999999999999pt;height:7.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83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Dodatek č. 1 k smlouví č.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27/2018/TDS/D2/ZR/VZMR-S1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3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Titulek tabulky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Základní text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Nadpis #1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5">
    <w:name w:val="Záhlaví nebo zápatí (2)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FFFFFF"/>
      <w:spacing w:after="100"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Titulek tabulky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FFFFFF"/>
      <w:spacing w:after="100"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Nadpis #1"/>
    <w:basedOn w:val="Normal"/>
    <w:link w:val="CharStyle13"/>
    <w:pPr>
      <w:widowControl w:val="0"/>
      <w:shd w:val="clear" w:color="auto" w:fill="FFFFFF"/>
      <w:spacing w:after="70" w:line="437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14">
    <w:name w:val="Záhlaví nebo zápatí (2)"/>
    <w:basedOn w:val="Normal"/>
    <w:link w:val="CharStyle1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