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 O DÍLO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</w:r>
      <w:bookmarkEnd w:id="0"/>
      <w:bookmarkEnd w:id="1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„III/40621 Mysletice - most ev. č. 40621-3“</w:t>
      </w:r>
      <w:bookmarkEnd w:id="2"/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79/2018/VZMR/D2/Jl/sl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4"/>
      <w:bookmarkEnd w:id="5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557020" distL="0" distR="0" simplePos="0" relativeHeight="12582937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0</wp:posOffset>
                </wp:positionV>
                <wp:extent cx="788670" cy="1689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867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technických: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200000000000003pt;margin-top:0;width:62.100000000000001pt;height:13.300000000000001pt;z-index:-125829375;mso-wrap-distance-left:0;mso-wrap-distance-right:0;mso-wrap-distance-bottom:122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590" distB="704215" distL="0" distR="0" simplePos="0" relativeHeight="125829380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148590</wp:posOffset>
                </wp:positionV>
                <wp:extent cx="1115695" cy="8731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8731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 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7.850000000000001pt;margin-top:11.699999999999999pt;width:87.849999999999994pt;height:68.75pt;z-index:-125829373;mso-wrap-distance-left:0;mso-wrap-distance-top:11.699999999999999pt;mso-wrap-distance-right:0;mso-wrap-distance-bottom:55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1450" distB="852805" distL="0" distR="0" simplePos="0" relativeHeight="125829382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ragraph">
                  <wp:posOffset>171450</wp:posOffset>
                </wp:positionV>
                <wp:extent cx="1261745" cy="70167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7016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0.94999999999999pt;margin-top:13.5pt;width:99.349999999999994pt;height:55.25pt;z-index:-125829371;mso-wrap-distance-left:0;mso-wrap-distance-top:13.5pt;mso-wrap-distance-right:0;mso-wrap-distance-bottom:67.1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a.s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534160" distL="0" distR="0" simplePos="0" relativeHeight="125829384" behindDoc="0" locked="0" layoutInCell="1" allowOverlap="1">
                <wp:simplePos x="0" y="0"/>
                <wp:positionH relativeFrom="page">
                  <wp:posOffset>3118485</wp:posOffset>
                </wp:positionH>
                <wp:positionV relativeFrom="paragraph">
                  <wp:posOffset>0</wp:posOffset>
                </wp:positionV>
                <wp:extent cx="2334260" cy="1917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426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:, referent oddělení investiční výstavby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5.55000000000001pt;margin-top:0;width:183.80000000000001pt;height:15.1pt;z-index:-125829369;mso-wrap-distance-left:0;mso-wrap-distance-right:0;mso-wrap-distance-bottom:120.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:, referent oddělení investiční výstavby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4255" distB="0" distL="0" distR="0" simplePos="0" relativeHeight="125829386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1024255</wp:posOffset>
                </wp:positionV>
                <wp:extent cx="2226310" cy="70167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6310" cy="7016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6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  <w:tab/>
                              <w:t>_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5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„Objednatel“}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7.649999999999999pt;margin-top:80.650000000000006pt;width:175.30000000000001pt;height:55.25pt;z-index:-125829367;mso-wrap-distance-left:0;mso-wrap-distance-top:80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  <w:tab/>
                        <w:t>_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980440" distB="2540" distL="0" distR="0" simplePos="0" relativeHeight="125829388" behindDoc="0" locked="0" layoutInCell="1" allowOverlap="1">
            <wp:simplePos x="0" y="0"/>
            <wp:positionH relativeFrom="page">
              <wp:posOffset>4723765</wp:posOffset>
            </wp:positionH>
            <wp:positionV relativeFrom="paragraph">
              <wp:posOffset>980440</wp:posOffset>
            </wp:positionV>
            <wp:extent cx="1725295" cy="74358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25295" cy="74358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left"/>
        <w:tblLayout w:type="fixed"/>
      </w:tblPr>
      <w:tblGrid>
        <w:gridCol w:w="1624"/>
        <w:gridCol w:w="6995"/>
      </w:tblGrid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tabs>
          <w:tab w:pos="2059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718" w:left="1153" w:right="660" w:bottom="1552" w:header="129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 smluvních: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1231900</wp:posOffset>
                </wp:positionV>
                <wp:extent cx="1117600" cy="848360"/>
                <wp:wrapSquare wrapText="bothSides"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7600" cy="848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technických: Bankovní spojení: Č.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7.450000000000003pt;margin-top:97.pt;width:88.pt;height:66.799999999999997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technických: Bankovní spojení: Č.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620"/>
        <w:gridCol w:w="5065"/>
      </w:tblGrid>
      <w:tr>
        <w:trPr>
          <w:trHeight w:val="2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Milan Macko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Zámečkem 1406/28, 500 12 Hradec Králové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tabs>
          <w:tab w:pos="2063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Milanem Mackem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MMHK 104402/2014 Osoby pověřené jednat jménem zhotovitele ve věcech smluvních: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Moneta money bank, pob. Hradec Králové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47936771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„Zhotovitel 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strany^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strana)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1, jehož obsah vyplývá zjednání 1. pracovního výboru ze dne 5. 3. 2019 spočívající ve sloučení územního a stavebního řízení u akce ,,111/40621 Mysletice - most ev. č. 40621-3“. Dokumentace ve stupni DÚR + DSP bude zpracována v rozsahu stanoveném v Příloze č. 3 smlouvy o dílo č. 79/2018/VZMR/D2/JI/sl.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15900" distB="3840480" distL="0" distR="0" simplePos="0" relativeHeight="125829391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215900</wp:posOffset>
                </wp:positionV>
                <wp:extent cx="5102225" cy="43878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02225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23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souvislosti z výše uvedeným důvodem dochází ke změně termínů tímto způsobem: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2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Příloze č. 3 - Technické podmínky PD, a to vždy v příslušné jejich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3.850000000000001pt;margin-top:17.pt;width:401.75pt;height:34.549999999999997pt;z-index:-125829362;mso-wrap-distance-left:0;mso-wrap-distance-top:17.pt;mso-wrap-distance-right:0;mso-wrap-distance-bottom:302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23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souvislosti z výše uvedeným důvodem dochází ke změně termínů tímto způsobem: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2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Příloze č. 3 - Technické podmínky PD, a to vždy v příslušné jejich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1515" distB="3117850" distL="0" distR="0" simplePos="0" relativeHeight="125829393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691515</wp:posOffset>
                </wp:positionV>
                <wp:extent cx="2423160" cy="68580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316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(koncept)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(čistopis včetně IČ)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Podání žádosti o územní rozhodnutí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87.849999999999994pt;margin-top:54.450000000000003pt;width:190.80000000000001pt;height:54.pt;z-index:-125829360;mso-wrap-distance-left:0;mso-wrap-distance-top:54.450000000000003pt;mso-wrap-distance-right:0;mso-wrap-distance-bottom:245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(koncept)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(čistopis včetně IČ)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Podání žádosti o územní rozhodnutí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03375" distB="91440" distL="0" distR="0" simplePos="0" relativeHeight="125829395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1603375</wp:posOffset>
                </wp:positionV>
                <wp:extent cx="3280410" cy="280035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0410" cy="2800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DSP (koncept)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360" w:lineRule="auto"/>
                              <w:ind w:left="68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DSP (čistopis včetně IČ) Podání žádosti o stavební povolení 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360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PDPS (čistopis)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ruší a nahrazuje novým zněním: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+ DSP (koncept)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+ DSP (čistopis včetně IČ)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360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Podání žádosti o společné stavební povolení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360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PDPS (čistopis)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54.200000000000003pt;margin-top:126.25pt;width:258.30000000000001pt;height:220.5pt;z-index:-125829358;mso-wrap-distance-left:0;mso-wrap-distance-top:126.25pt;mso-wrap-distance-right:0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6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DSP (koncept)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60" w:lineRule="auto"/>
                        <w:ind w:left="68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DSP (čistopis včetně IČ) Podání žádosti o stavební povolení 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360" w:lineRule="auto"/>
                        <w:ind w:left="0" w:right="0" w:firstLine="6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PDPS (čistopis)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ruší a nahrazuje novým zněním: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6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+ DSP (koncept)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6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+ DSP (čistopis včetně IČ)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60" w:lineRule="auto"/>
                        <w:ind w:left="0" w:right="0" w:firstLine="6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Podání žádosti o společné stavební povolení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360" w:lineRule="auto"/>
                        <w:ind w:left="0" w:right="0" w:firstLine="6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PDPS (čistopis)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8945" distB="0" distL="0" distR="0" simplePos="0" relativeHeight="125829397" behindDoc="0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448945</wp:posOffset>
                </wp:positionV>
                <wp:extent cx="2795905" cy="404622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5905" cy="4046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části Lhůty plnění:</w:t>
                            </w:r>
                            <w:bookmarkEnd w:id="6"/>
                            <w:bookmarkEnd w:id="7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135 dnů od nabytí účinnosti smlouvy do 45 dnů od předání konceptu DÚR do 15 dnů od předání podkladů majetkoprávní přípravy k ÚR zadavatelem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60 dnů od podání žádosti o ÚR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60 dnů od předání konceptu DSP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15 dnů od předání podkladů majetkoprávní přípravy k SR zadavatelem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20" w:line="3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60 dnů od podání žádosti o SP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180 dnů od nabytí účinnosti smlouvy do 60 dnů od předání konceptu DÚR + DSP do 15 dnů od předání podkladů majetkoprávní přípravy k ÚŘ + SŘ zadavatelem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60 dnů od podání žádosti o společné stavební povolení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29.05000000000001pt;margin-top:35.350000000000001pt;width:220.15000000000001pt;height:318.60000000000002pt;z-index:-125829356;mso-wrap-distance-left:0;mso-wrap-distance-top:35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center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části Lhůty plnění:</w:t>
                      </w:r>
                      <w:bookmarkEnd w:id="6"/>
                      <w:bookmarkEnd w:id="7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135 dnů od nabytí účinnosti smlouvy do 45 dnů od předání konceptu DÚR do 15 dnů od předání podkladů majetkoprávní přípravy k ÚR zadavatelem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60 dnů od podání žádosti o ÚR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60 dnů od předání konceptu DSP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15 dnů od předání podkladů majetkoprávní přípravy k SR zadavatelem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20" w:line="3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60 dnů od podání žádosti o SP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180 dnů od nabytí účinnosti smlouvy do 60 dnů od předání konceptu DÚR + DSP do 15 dnů od předání podkladů majetkoprávní přípravy k ÚŘ + SŘ zadavatelem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60 dnů od podání žádosti o společné stavební povolení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z výše uvedeným důvodem dochází ke změně znění smluvní pokuty v odst. 7.2, 7.3, 7.5 a 7.6 tímto způsobem: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0" w:val="left"/>
        </w:tabs>
        <w:bidi w:val="0"/>
        <w:spacing w:before="0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DÚR, včetně všech požadovaných příloh, dokladů,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v průběhu prvních 30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0" w:val="left"/>
        </w:tabs>
        <w:bidi w:val="0"/>
        <w:spacing w:before="0" w:line="259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DSP, včetně všech požadovaných příloh, dokladů a vyjádření,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v průběhu prvních 30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% z ceny díla včetně DPH uvedené v čl. 4 této smlouvy, a to za každý započatý den prodlení.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7.5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zaplatit objednateli smluvní pokutu za prodlení s termínem odevzdání dokumentace DÚR, včetně všech požadovaných příloh, dokladů, odsouhlasené objednatelem bez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00" w:val="left"/>
        </w:tabs>
        <w:bidi w:val="0"/>
        <w:spacing w:before="0" w:line="254" w:lineRule="auto"/>
        <w:ind w:left="5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výhrad ve formě a v počtu sjednaném' v této smlouvě,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za 31. a každý následující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0,05 % 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díla včetně DPH uvedené v čl. 4 této smlouvy, a to za každý započatý den prodlení.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7.6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DSP, včetně všech požadovaných příloh, dokladů a vyjádření, odsouhlasené objednatelem bez výhrad ve formě a v počtu sjednaném v této smlouvě,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za 31. a každý následující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0,05 %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500" w:line="252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zaplatit objednateli smluvní pokutu za prodlení s termínem odevzdání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00" w:val="left"/>
        </w:tabs>
        <w:bidi w:val="0"/>
        <w:spacing w:before="0" w:line="240" w:lineRule="auto"/>
        <w:ind w:left="5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DÚR + DSP,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v průběhu prvních 30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  <w:tab/>
        <w:t>i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8" w:val="left"/>
        </w:tabs>
        <w:bidi w:val="0"/>
        <w:spacing w:before="0" w:after="500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DÚR + DSP,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 a vyjádření, odsouhlasené objednatelem bez výhrad ve formě a v počtu sjednaném v této smlouvě,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za 31. a každý následující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0,05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% z ceny díla včetně DPH uvedené v čl. 4 této smlouvy, a to za každý započatý den prodlení.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a v původním znění.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20" w:line="252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48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o dílo č. objednatele 79/2018/VZMR/D2/JI/sl uzavřené dne 6. 12. 2018 podle ustanovení § 2586 a násl. OZ a dále Obchodními podmínkami zadavatele pro veřejné zakázky na vypracování projektových dokumentací dle § 37 odst. 1 písm. c) ZZVZ, vydanými dle §1751 anásl. NOZ.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48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4 stejnopisech, z nichž 2 výtisky obdrží objednatel a 2 zhotovitel.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dhem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výslovně souhlasí se zveřejněním celého textu tohoto Dodatku č. 1 včetně podpisů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8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pbdmínek.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8" w:val="left"/>
        </w:tabs>
        <w:bidi w:val="0"/>
        <w:spacing w:before="0" w:line="266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20" w:left="1059" w:right="717" w:bottom="1540" w:header="109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Zápis zjednání 1. pracovního výboru z 5. 3. 2019 a Žádost o sloučení stupňů dokumentace DÚR a DSP ze 7. 3. 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845820" distL="116840" distR="290195" simplePos="0" relativeHeight="125829399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margin">
                  <wp:posOffset>327660</wp:posOffset>
                </wp:positionV>
                <wp:extent cx="507365" cy="189865"/>
                <wp:wrapSquare wrapText="righ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7365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63.799999999999997pt;margin-top:25.800000000000001pt;width:39.950000000000003pt;height:14.949999999999999pt;z-index:-125829354;mso-wrap-distance-left:9.1999999999999993pt;mso-wrap-distance-right:22.850000000000001pt;mso-wrap-distance-bottom:66.5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Přílohy: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48360" distB="0" distL="114300" distR="114300" simplePos="0" relativeHeight="125829401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margin">
                  <wp:posOffset>1176020</wp:posOffset>
                </wp:positionV>
                <wp:extent cx="685800" cy="187325"/>
                <wp:wrapSquare wrapText="right"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63.600000000000001pt;margin-top:92.599999999999994pt;width:54.pt;height:14.75pt;z-index:-125829352;mso-wrap-distance-left:9.pt;mso-wrap-distance-top:66.799999999999997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zjednání 1. pracovního výboru z 5. 3.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sloučení stupňů dokumentace DÚR a DSP ze 7. 3.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520" w:left="1059" w:right="717" w:bottom="1540" w:header="109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7" w:left="0" w:right="0" w:bottom="13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405" w:h="313" w:wrap="none" w:vAnchor="text" w:hAnchor="page" w:x="1273" w:y="59"/>
        <w:widowControl w:val="0"/>
        <w:shd w:val="clear" w:color="auto" w:fill="auto"/>
        <w:tabs>
          <w:tab w:pos="19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dne:</w:t>
      </w:r>
    </w:p>
    <w:p>
      <w:pPr>
        <w:pStyle w:val="Style2"/>
        <w:keepNext w:val="0"/>
        <w:keepLines w:val="0"/>
        <w:framePr w:w="2930" w:h="367" w:wrap="none" w:vAnchor="text" w:hAnchor="page" w:x="6079" w:y="21"/>
        <w:widowControl w:val="0"/>
        <w:shd w:val="clear" w:color="auto" w:fill="auto"/>
        <w:tabs>
          <w:tab w:leader="dot" w:pos="16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  <w:t>2019</w:t>
      </w:r>
    </w:p>
    <w:p>
      <w:pPr>
        <w:widowControl w:val="0"/>
        <w:spacing w:after="3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7" w:left="969" w:right="809" w:bottom="138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2" w:left="0" w:right="0" w:bottom="16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2" w:left="1550" w:right="1545" w:bottom="164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organizace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MACKO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Mosty a konstrukce staveb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center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Projekční a konstrukční kancelář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zjednání</w:t>
      </w:r>
      <w:bookmarkEnd w:id="12"/>
      <w:bookmarkEnd w:id="13"/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pracovní výbor</w:t>
      </w:r>
    </w:p>
    <w:tbl>
      <w:tblPr>
        <w:tblOverlap w:val="never"/>
        <w:jc w:val="left"/>
        <w:tblLayout w:type="fixed"/>
      </w:tblPr>
      <w:tblGrid>
        <w:gridCol w:w="1282"/>
        <w:gridCol w:w="4630"/>
      </w:tblGrid>
      <w:tr>
        <w:trPr>
          <w:trHeight w:val="5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Stavba: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111/40621 Mysletice - most ev.č. 40621-3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5. března 2019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KSÚS Vysočiny, Jihlava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Přítomní: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dle Prezenční listiny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(bylo projednáno a dohodnuto):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59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úvodu projektant informoval o stavu rozpracovanosti projektu na základě výsledků diagnostického průzkumu a přepočtu zatížitelnosti stávajícího mostu.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69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Byla předána dokumentace v rozsahu diagnostického průzkumu a návrhu technického řešení v počtu 2x paré + 1xCD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Projektant představil- možnosti rekonstrukce mostu. Na základě přepočtu zatížitelnosti a závěru z Diagnostického průzkumu je navrženo jako ekonomicky a technicky nej výhodnější řešení nahrazení stávajícího mostu novou konstrukcí.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57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Nový most je navržen jako monolitická rámová konstrukce s rovnoběžnými křídly případně doplněné o navazující opěrné zdi. Velikost mostního otvoru bude minimálně v rozsahu stávajícího otvoru a dle hydrotechnického výpočtu na základě dat ČHMÚ. Založení mostu je uvažováno plošné.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Šikmost mostu bude upravena na maximální přípustnou hodnotu (cca 45°) tak aby byly zlepšeny hydrotechnické poměry s ohledem na trasu potoka a umístění nového mostu. Koryto bude v rozsahu mostu opevněno dlažbou z lomového kamene do betonového lože vč. zřízení oboustranných laviček.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59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Šířkové uspořádání na mostě bude S6,5 tj. 6,5 m mezi římsami. Mostní římsy budou osazeny zábradelními svodidly s úrovní zadržení H2 a se svislou výplní.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57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Chodníky nejsou uvažovány.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 bude řešena v rozsahu plynulého napojení na nový most v délce cca normového ukončení mostního svodidla. V tomto rozsahu bude provedena sanace kraje zemního tělesa s potřebným rozšířením pro svodidlo.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3" w:val="left"/>
        </w:tabs>
        <w:bidi w:val="0"/>
        <w:spacing w:before="0" w:line="257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zajištění normové únosnosti pláně 45MPa bude v PD a v rozpočtu uvažováno s výměnou aktivní zóny. Její realizace a čerpání položky z rozpočtu bude řešeno v rámci Autorského dozoru na základě provedených zkoušek.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3" w:val="left"/>
        </w:tabs>
        <w:bidi w:val="0"/>
        <w:spacing w:before="0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Potřeba káceni stromů je vyvolána z důvodu bezpečnosti (3ks stromů jsou vychýleny do komunikace). Postup kácení bude správcem mostu prověřen.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3" w:val="left"/>
        </w:tabs>
        <w:bidi w:val="0"/>
        <w:spacing w:before="0" w:line="262" w:lineRule="auto"/>
        <w:ind w:right="0"/>
        <w:jc w:val="both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982" w:left="1550" w:right="1545" w:bottom="1644" w:header="554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Realizace stavby bude provedena za úplné uzavírky komunikace. Stavba bude projednána se všemi příslušnými orgány včetně s příslušným odborem dopravní obslužnosti (BUS) sousedního jihočeského kraje.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MACKO</w:t>
      </w:r>
    </w:p>
    <w:p>
      <w:pPr>
        <w:pStyle w:val="Style2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4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Mosty a konstrukce staveb</w:t>
        <w:br/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Projekční a konstrukční kancelář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82" w:val="left"/>
        </w:tabs>
        <w:bidi w:val="0"/>
        <w:spacing w:before="0" w:after="200" w:line="259" w:lineRule="auto"/>
        <w:ind w:left="13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Postup projednání a rozsah potřebných vyjádření ke společnému řízení, z důvodů umístění stavby ve dvou krajích, bude v předstihu prověřen na stavebním úřadě Telč - Ing. Pavel Chromý, tel.: 567 112 473.</w:t>
      </w:r>
    </w:p>
    <w:p>
      <w:pPr>
        <w:pStyle w:val="Style2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89" w:val="left"/>
        </w:tabs>
        <w:bidi w:val="0"/>
        <w:spacing w:before="0" w:after="1200" w:line="240" w:lineRule="auto"/>
        <w:ind w:left="13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Zpracování dokumentace ve stupni pro vydání společného povolení (DUR+DSP). Prováděcí dokumentace PDPS bude poté vypracovaná jako samostatná část dle příslušné vyhlášky. V SOD jsou termíny vztaženy k samostatným úkonům DUR, DSP, PDPS. Projektant požádal investora o úpravu dílčích termínu pro tuto sloučenou PD.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6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z jednání se považuje za odsouhlasený, pokud nebudou do 5 pracovních dní vzneseny zúčastněnými stranami žádné námitky na email: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Prezenční Listina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38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039" w:left="1079" w:right="1386" w:bottom="5900" w:header="61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Zapsal:</w:t>
      </w:r>
    </w:p>
    <w:tbl>
      <w:tblPr>
        <w:tblOverlap w:val="never"/>
        <w:jc w:val="center"/>
        <w:tblLayout w:type="fixed"/>
      </w:tblPr>
      <w:tblGrid>
        <w:gridCol w:w="886"/>
        <w:gridCol w:w="4612"/>
      </w:tblGrid>
      <w:tr>
        <w:trPr>
          <w:trHeight w:val="52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7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PREZENČNÍ LISTINA</w:t>
            </w:r>
          </w:p>
        </w:tc>
      </w:tr>
      <w:tr>
        <w:trPr>
          <w:trHeight w:val="1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hd w:val="clear" w:color="auto" w:fill="auto"/>
                <w:lang w:val="cs-CZ" w:eastAsia="cs-CZ" w:bidi="cs-CZ"/>
              </w:rPr>
              <w:t>Akce: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hd w:val="clear" w:color="auto" w:fill="auto"/>
                <w:lang w:val="cs-CZ" w:eastAsia="cs-CZ" w:bidi="cs-CZ"/>
              </w:rPr>
              <w:t>One: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III / 406 21 Mysletite - most ev.L 406 21 -3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hd w:val="clear" w:color="auto" w:fill="auto"/>
                <w:lang w:val="cs-CZ" w:eastAsia="cs-CZ" w:bidi="cs-CZ"/>
              </w:rPr>
              <w:t>53. 2019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hd w:val="clear" w:color="auto" w:fill="auto"/>
                <w:lang w:val="cs-CZ" w:eastAsia="cs-CZ" w:bidi="cs-CZ"/>
              </w:rPr>
              <w:t>Jihlava</w:t>
            </w:r>
          </w:p>
        </w:tc>
      </w:tr>
    </w:tbl>
    <w:p>
      <w:pPr>
        <w:widowControl w:val="0"/>
        <w:spacing w:after="279" w:line="1" w:lineRule="exact"/>
      </w:pPr>
    </w:p>
    <w:tbl>
      <w:tblPr>
        <w:tblOverlap w:val="never"/>
        <w:jc w:val="center"/>
        <w:tblLayout w:type="fixed"/>
      </w:tblPr>
      <w:tblGrid>
        <w:gridCol w:w="2142"/>
        <w:gridCol w:w="2164"/>
        <w:gridCol w:w="1645"/>
        <w:gridCol w:w="1714"/>
        <w:gridCol w:w="1771"/>
      </w:tblGrid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hd w:val="clear" w:color="auto" w:fill="auto"/>
                <w:lang w:val="cs-CZ" w:eastAsia="cs-CZ" w:bidi="cs-CZ"/>
              </w:rPr>
              <w:t>Jméno, příjmení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hd w:val="clear" w:color="auto" w:fill="auto"/>
                <w:lang w:val="cs-CZ" w:eastAsia="cs-CZ" w:bidi="cs-CZ"/>
              </w:rPr>
              <w:t>Organizace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Telefon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Email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Podpis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dot" w:pos="36" w:val="left"/>
                <w:tab w:leader="dot" w:pos="619" w:val="right"/>
                <w:tab w:leader="hyphen" w:pos="1678" w:val="left"/>
                <w:tab w:leader="hyphen" w:pos="17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ab/>
              <w:tab/>
              <w:t xml:space="preserve"> 4</w:t>
              <w:tab/>
              <w:tab/>
            </w:r>
          </w:p>
        </w:tc>
      </w:tr>
      <w:tr>
        <w:trPr>
          <w:trHeight w:val="38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520" w:line="240" w:lineRule="auto"/>
              <w:ind w:left="18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90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ú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cs-CZ" w:eastAsia="cs-CZ" w:bidi="cs-CZ"/>
              </w:rPr>
              <w:t>t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7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8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</w:t>
              <w:tab/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40" w:after="9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■ řr/Utf/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ab/>
              <w:t>i.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Svj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 xml:space="preserve"> f .» 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/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/ /</w:t>
            </w:r>
          </w:p>
        </w:tc>
      </w:tr>
      <w:tr>
        <w:trPr>
          <w:trHeight w:val="6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1039" w:left="1079" w:right="1386" w:bottom="5900" w:header="611" w:footer="5472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bookmarkStart w:id="14" w:name="bookmark14"/>
      <w:bookmarkStart w:id="15" w:name="bookmark15"/>
      <w:r>
        <w:rPr>
          <w:rFonts w:ascii="Arial Narrow" w:eastAsia="Arial Narrow" w:hAnsi="Arial Narrow" w:cs="Arial Narrow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MACKO</w:t>
      </w:r>
      <w:bookmarkEnd w:id="14"/>
      <w:bookmarkEnd w:id="15"/>
    </w:p>
    <w:p>
      <w:pPr>
        <w:pStyle w:val="Style2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Mosty a konstrukce staveb</w:t>
        <w:br/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Projekční a konstrukční kancelář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p.o.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020" w:line="240" w:lineRule="auto"/>
        <w:ind w:left="4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sloučení stupňů dokumentace DÚR a DSP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jednání ze dne 5. 3. 2019 ve věci vypracování projektové dokumentace na stavbu: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111/40621 Mysletice - most ev.č. 40621-3, 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 č. 79/2018/VZMR/D2/JI/sl,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vás bychom chtěli požádat o sloučení stupňů projektové dokumentace DÚR a DSP do společné PD ve stupni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Společné povoleni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(společné územní a stavební řízení) dle přílohy č. 11 platného znění vyhlášky č. 499/2006 Sb. Z výše uvedeného žádáme o úpravu lhůt plnění - dle tabulky níže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Odůvodněni: S ohledem na rozsah rekonstrukce mostu je nutné řešit územní řízení a následně poté stavební povoleni. Pro zkrácení jednotlivých lhůt těchto řízení je nejvýhodnější obě tyto řízení spojit a projektovou dokumentaci zpracovat v rozsahu pro tyto účely společného povolení.</w:t>
      </w:r>
    </w:p>
    <w:tbl>
      <w:tblPr>
        <w:tblOverlap w:val="never"/>
        <w:jc w:val="center"/>
        <w:tblLayout w:type="fixed"/>
      </w:tblPr>
      <w:tblGrid>
        <w:gridCol w:w="4223"/>
        <w:gridCol w:w="5126"/>
      </w:tblGrid>
      <w:tr>
        <w:trPr>
          <w:trHeight w:val="749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Lhůty plnění</w:t>
            </w:r>
          </w:p>
        </w:tc>
      </w:tr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Zahájení realizace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ihned po nabytí účinnosti smlouvy</w:t>
            </w: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Diagnostický průzkum a návrh technického řešení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90 dnů od nabytí účinnosti smlouvy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DÚR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135 dnů od nabytí účinnosti smlouvy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DÚR-(čist opis-včetně4C)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do^15 dnů od předání konceptu DUR</w:t>
            </w:r>
          </w:p>
        </w:tc>
      </w:tr>
      <w:tr>
        <w:trPr>
          <w:trHeight w:val="7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Podáni žádosti o územní rozhodnutí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hyphen" w:pos="713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do 15 dnů od-předání podkladů majetkoprávní </w:t>
              <w:tab/>
              <w:t>přípravy k ÚR zadavatelem</w:t>
            </w: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DSP DUR+DSP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do 60 180 dnů od podání žádosti o ÚR nabytí účinnosti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smlouvy'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DSP DÚR+DSP (čistopis včetně IČ)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předání konceptu DSP-DÚR+DPS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stavební společné povolení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800" w:right="0" w:hanging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(JR+SR zadavatelem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 (čistopis)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podání žádosti o SP~společné povolení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Hradci Králové 7. 3.2019</w:t>
      </w:r>
    </w:p>
    <w:sectPr>
      <w:footerReference w:type="default" r:id="rId11"/>
      <w:footnotePr>
        <w:pos w:val="pageBottom"/>
        <w:numFmt w:val="decimal"/>
        <w:numRestart w:val="continuous"/>
      </w:footnotePr>
      <w:pgSz w:w="11900" w:h="16840"/>
      <w:pgMar w:top="657" w:left="1290" w:right="1260" w:bottom="1276" w:header="22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763905</wp:posOffset>
              </wp:positionH>
              <wp:positionV relativeFrom="page">
                <wp:posOffset>9773920</wp:posOffset>
              </wp:positionV>
              <wp:extent cx="5600700" cy="1028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070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79/2018/VZMR/D2/JI/sl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0.149999999999999pt;margin-top:769.60000000000002pt;width:441.pt;height:8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79/2018/VZMR/D2/JI/sl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9696450</wp:posOffset>
              </wp:positionV>
              <wp:extent cx="6370955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709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350000000000001pt;margin-top:763.5pt;width:50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9779000</wp:posOffset>
              </wp:positionV>
              <wp:extent cx="5596255" cy="10985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9625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79/2018/VZMR/D2/J Vsi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62.700000000000003pt;margin-top:770.pt;width:440.64999999999998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79/2018/VZMR/D2/J Vsi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9753600</wp:posOffset>
              </wp:positionV>
              <wp:extent cx="6386830" cy="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868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99999999999999pt;margin-top:768.pt;width:502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9712325</wp:posOffset>
              </wp:positionV>
              <wp:extent cx="27305" cy="9588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96.35000000000002pt;margin-top:764.75pt;width:2.1499999999999999pt;height:7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 Narrow" w:eastAsia="Arial Narrow" w:hAnsi="Arial Narrow" w:cs="Arial Narrow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9883140</wp:posOffset>
              </wp:positionV>
              <wp:extent cx="31750" cy="10541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75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96.19999999999999pt;margin-top:778.20000000000005pt;width:2.5pt;height:8.3000000000000007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decimal"/>
      <w:lvlText w:val="7.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2"/>
      <w:numFmt w:val="decimal"/>
      <w:lvlText w:val="7.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4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kladní text (5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Nadpis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6">
    <w:name w:val="Nadpis #3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Jiné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Základní text (6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9">
    <w:name w:val="Základní text (2)_"/>
    <w:basedOn w:val="DefaultParagraphFont"/>
    <w:link w:val="Style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Nadpis #1_"/>
    <w:basedOn w:val="DefaultParagraphFont"/>
    <w:link w:val="Style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48">
    <w:name w:val="Základní text (4)_"/>
    <w:basedOn w:val="DefaultParagraphFont"/>
    <w:link w:val="Style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kladní text (5)"/>
    <w:basedOn w:val="Normal"/>
    <w:link w:val="CharStyle6"/>
    <w:pPr>
      <w:widowControl w:val="0"/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after="23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after="11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after="12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Základní text (6)"/>
    <w:basedOn w:val="Normal"/>
    <w:link w:val="CharStyle26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FFFFFF"/>
      <w:spacing w:after="220" w:line="252" w:lineRule="auto"/>
      <w:ind w:left="700" w:hanging="320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Nadpis #1"/>
    <w:basedOn w:val="Normal"/>
    <w:link w:val="CharStyle33"/>
    <w:pPr>
      <w:widowControl w:val="0"/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47">
    <w:name w:val="Základní text (4)"/>
    <w:basedOn w:val="Normal"/>
    <w:link w:val="CharStyle48"/>
    <w:pPr>
      <w:widowControl w:val="0"/>
      <w:shd w:val="clear" w:color="auto" w:fill="FFFFFF"/>
      <w:spacing w:after="240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/Relationships>
</file>