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1467CA" w:rsidRDefault="00C8270F" w:rsidP="003B6B60">
      <w:pPr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č.</w:t>
      </w:r>
      <w:r w:rsidR="001D1D1C">
        <w:rPr>
          <w:rFonts w:ascii="Arial" w:hAnsi="Arial" w:cs="Arial"/>
          <w:b/>
          <w:sz w:val="24"/>
          <w:szCs w:val="24"/>
        </w:rPr>
        <w:t>30</w:t>
      </w:r>
      <w:r w:rsidR="00624F8F">
        <w:rPr>
          <w:rFonts w:ascii="Arial" w:hAnsi="Arial" w:cs="Arial"/>
          <w:b/>
          <w:sz w:val="24"/>
          <w:szCs w:val="24"/>
        </w:rPr>
        <w:t>/2019</w:t>
      </w:r>
    </w:p>
    <w:p w:rsidR="00DC086F" w:rsidRPr="001467CA" w:rsidRDefault="003B6B60" w:rsidP="00624F8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zastoupené starosto</w:t>
      </w:r>
      <w:r w:rsidR="00A51C85">
        <w:rPr>
          <w:rFonts w:ascii="Arial" w:hAnsi="Arial" w:cs="Arial"/>
          <w:bCs/>
        </w:rPr>
        <w:t xml:space="preserve">u města panem Karlem Kratochvílem a místostarostkou paní Mgr. Alenou </w:t>
      </w:r>
      <w:proofErr w:type="spellStart"/>
      <w:r w:rsidR="00A51C85">
        <w:rPr>
          <w:rFonts w:ascii="Arial" w:hAnsi="Arial" w:cs="Arial"/>
          <w:bCs/>
        </w:rPr>
        <w:t>Kukrechtovou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Bankovní spojení</w:t>
      </w:r>
      <w:r w:rsidRPr="001467CA">
        <w:rPr>
          <w:rFonts w:ascii="Arial" w:hAnsi="Arial" w:cs="Arial"/>
        </w:rPr>
        <w:t xml:space="preserve">: </w:t>
      </w:r>
      <w:proofErr w:type="spellStart"/>
      <w:r w:rsidR="00A0296F">
        <w:rPr>
          <w:rFonts w:ascii="Arial" w:hAnsi="Arial" w:cs="Arial"/>
        </w:rPr>
        <w:t>xxxxx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č.</w:t>
      </w:r>
      <w:r w:rsidR="002D4FCC">
        <w:rPr>
          <w:rFonts w:ascii="Arial" w:hAnsi="Arial" w:cs="Arial"/>
          <w:bCs/>
        </w:rPr>
        <w:t xml:space="preserve"> </w:t>
      </w:r>
      <w:r w:rsidRPr="001467CA">
        <w:rPr>
          <w:rFonts w:ascii="Arial" w:hAnsi="Arial" w:cs="Arial"/>
          <w:bCs/>
        </w:rPr>
        <w:t>účtu</w:t>
      </w:r>
      <w:r w:rsidR="00CE6EBE">
        <w:rPr>
          <w:rFonts w:ascii="Arial" w:hAnsi="Arial" w:cs="Arial"/>
          <w:bCs/>
        </w:rPr>
        <w:t>:</w:t>
      </w:r>
      <w:r w:rsidR="00A0296F">
        <w:rPr>
          <w:rFonts w:ascii="Arial" w:hAnsi="Arial" w:cs="Arial"/>
          <w:bCs/>
        </w:rPr>
        <w:t xml:space="preserve">  </w:t>
      </w:r>
      <w:proofErr w:type="spellStart"/>
      <w:r w:rsidR="00A0296F">
        <w:rPr>
          <w:rFonts w:ascii="Arial" w:hAnsi="Arial" w:cs="Arial"/>
          <w:bCs/>
        </w:rPr>
        <w:t>xxxxx</w:t>
      </w:r>
      <w:proofErr w:type="spellEnd"/>
      <w:r w:rsidRPr="001467CA">
        <w:rPr>
          <w:rFonts w:ascii="Arial" w:hAnsi="Arial" w:cs="Arial"/>
        </w:rPr>
        <w:t xml:space="preserve"> 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1D1D1C" w:rsidRPr="001467CA" w:rsidRDefault="001D1D1C" w:rsidP="001D1D1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TJ Jiskra </w:t>
      </w:r>
      <w:proofErr w:type="gramStart"/>
      <w:r>
        <w:rPr>
          <w:rFonts w:ascii="Arial" w:hAnsi="Arial" w:cs="Arial"/>
          <w:b/>
          <w:color w:val="auto"/>
        </w:rPr>
        <w:t xml:space="preserve">Humpolec, </w:t>
      </w:r>
      <w:proofErr w:type="spellStart"/>
      <w:r>
        <w:rPr>
          <w:rFonts w:ascii="Arial" w:hAnsi="Arial" w:cs="Arial"/>
          <w:b/>
          <w:color w:val="auto"/>
        </w:rPr>
        <w:t>z.s</w:t>
      </w:r>
      <w:proofErr w:type="spellEnd"/>
      <w:r>
        <w:rPr>
          <w:rFonts w:ascii="Arial" w:hAnsi="Arial" w:cs="Arial"/>
          <w:b/>
          <w:color w:val="auto"/>
        </w:rPr>
        <w:t>.</w:t>
      </w:r>
      <w:proofErr w:type="gramEnd"/>
      <w:r w:rsidRPr="00BB431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IČ 15821676</w:t>
      </w:r>
      <w:r w:rsidRPr="001467CA">
        <w:rPr>
          <w:rFonts w:ascii="Arial" w:hAnsi="Arial" w:cs="Arial"/>
        </w:rPr>
        <w:t>,</w:t>
      </w:r>
    </w:p>
    <w:p w:rsidR="001D1D1C" w:rsidRPr="001467CA" w:rsidRDefault="001D1D1C" w:rsidP="001D1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>
        <w:rPr>
          <w:rFonts w:ascii="Arial" w:hAnsi="Arial" w:cs="Arial"/>
          <w:sz w:val="24"/>
          <w:szCs w:val="24"/>
        </w:rPr>
        <w:t>em Tyršova 745, 396 01 Humpolec</w:t>
      </w:r>
    </w:p>
    <w:p w:rsidR="001D1D1C" w:rsidRPr="001467CA" w:rsidRDefault="001D1D1C" w:rsidP="001D1D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předsedou panem Jiřím Šimkem</w:t>
      </w:r>
    </w:p>
    <w:p w:rsidR="001D1D1C" w:rsidRPr="001467CA" w:rsidRDefault="001D1D1C" w:rsidP="001D1D1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č. účtu: </w:t>
      </w:r>
      <w:proofErr w:type="spellStart"/>
      <w:r w:rsidR="00A0296F">
        <w:rPr>
          <w:rFonts w:ascii="Arial" w:hAnsi="Arial" w:cs="Arial"/>
          <w:color w:val="auto"/>
        </w:rPr>
        <w:t>xxxxx</w:t>
      </w:r>
      <w:proofErr w:type="spellEnd"/>
    </w:p>
    <w:p w:rsidR="001D1D1C" w:rsidRPr="001467CA" w:rsidRDefault="001D1D1C" w:rsidP="001D1D1C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0234B1" w:rsidRPr="001467CA" w:rsidRDefault="000234B1" w:rsidP="000234B1">
      <w:pPr>
        <w:pStyle w:val="Default"/>
        <w:rPr>
          <w:rFonts w:ascii="Arial" w:hAnsi="Arial" w:cs="Arial"/>
          <w:color w:val="auto"/>
        </w:rPr>
      </w:pPr>
    </w:p>
    <w:p w:rsidR="002A7237" w:rsidRDefault="002A7237" w:rsidP="00C8270F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2A7237" w:rsidRPr="001467CA" w:rsidRDefault="002A7237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Poskytovatel se na základě této smlouvy zavazuje pos</w:t>
      </w:r>
      <w:r w:rsidR="00FF22CD">
        <w:rPr>
          <w:rFonts w:ascii="Arial" w:hAnsi="Arial" w:cs="Arial"/>
          <w:sz w:val="24"/>
          <w:szCs w:val="24"/>
        </w:rPr>
        <w:t xml:space="preserve">kytnout příjemci dotaci ve výši </w:t>
      </w:r>
      <w:r w:rsidR="001D1D1C">
        <w:rPr>
          <w:rFonts w:ascii="Arial" w:hAnsi="Arial" w:cs="Arial"/>
          <w:b/>
          <w:sz w:val="24"/>
          <w:szCs w:val="24"/>
        </w:rPr>
        <w:t>700</w:t>
      </w:r>
      <w:r w:rsidR="00FF22CD" w:rsidRPr="00FF22CD">
        <w:rPr>
          <w:rFonts w:ascii="Arial" w:hAnsi="Arial" w:cs="Arial"/>
          <w:b/>
          <w:sz w:val="24"/>
          <w:szCs w:val="24"/>
        </w:rPr>
        <w:t>.000,-</w:t>
      </w:r>
      <w:r w:rsidR="00FF22CD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Pr="001467CA">
        <w:rPr>
          <w:rFonts w:ascii="Arial" w:hAnsi="Arial" w:cs="Arial"/>
          <w:sz w:val="24"/>
          <w:szCs w:val="24"/>
        </w:rPr>
        <w:t xml:space="preserve"> slovy:</w:t>
      </w:r>
      <w:r w:rsidR="00FF2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D1C">
        <w:rPr>
          <w:rFonts w:ascii="Arial" w:hAnsi="Arial" w:cs="Arial"/>
          <w:sz w:val="24"/>
          <w:szCs w:val="24"/>
        </w:rPr>
        <w:t>Sedmsettisíc</w:t>
      </w:r>
      <w:proofErr w:type="spellEnd"/>
      <w:r w:rsidR="003D24CF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</w:t>
      </w:r>
      <w:r w:rsidR="00624F8F">
        <w:rPr>
          <w:rFonts w:ascii="Arial" w:hAnsi="Arial" w:cs="Arial"/>
          <w:sz w:val="24"/>
          <w:szCs w:val="24"/>
        </w:rPr>
        <w:t>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0C423B" w:rsidRPr="000C423B" w:rsidRDefault="002C3FFD" w:rsidP="000C423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F7FCC">
        <w:rPr>
          <w:rFonts w:ascii="Arial" w:hAnsi="Arial" w:cs="Arial"/>
          <w:sz w:val="24"/>
          <w:szCs w:val="24"/>
        </w:rPr>
        <w:t xml:space="preserve">Účelem poskytnutí dotace </w:t>
      </w:r>
      <w:r w:rsidR="003A544E" w:rsidRPr="008F7FCC">
        <w:rPr>
          <w:rFonts w:ascii="Arial" w:hAnsi="Arial" w:cs="Arial"/>
          <w:sz w:val="24"/>
          <w:szCs w:val="24"/>
        </w:rPr>
        <w:t xml:space="preserve">je </w:t>
      </w:r>
      <w:r w:rsidR="001D1D1C" w:rsidRPr="00BB4311">
        <w:rPr>
          <w:rFonts w:ascii="Arial" w:hAnsi="Arial" w:cs="Arial"/>
          <w:b/>
          <w:sz w:val="24"/>
          <w:szCs w:val="24"/>
        </w:rPr>
        <w:t xml:space="preserve">úhrada </w:t>
      </w:r>
      <w:r w:rsidR="001D1D1C">
        <w:rPr>
          <w:rFonts w:ascii="Arial" w:hAnsi="Arial" w:cs="Arial"/>
          <w:b/>
          <w:sz w:val="24"/>
          <w:szCs w:val="24"/>
        </w:rPr>
        <w:t xml:space="preserve">nákladů spojených se sportovní činností trenérů mládeže </w:t>
      </w:r>
      <w:r w:rsidR="001D1D1C">
        <w:rPr>
          <w:rFonts w:ascii="Arial" w:hAnsi="Arial" w:cs="Arial"/>
          <w:sz w:val="24"/>
          <w:szCs w:val="24"/>
        </w:rPr>
        <w:t>(</w:t>
      </w:r>
      <w:r w:rsidR="008F7FCC" w:rsidRPr="001467CA">
        <w:rPr>
          <w:rFonts w:ascii="Arial" w:hAnsi="Arial" w:cs="Arial"/>
          <w:sz w:val="24"/>
          <w:szCs w:val="24"/>
        </w:rPr>
        <w:t>dále také „akce“).</w:t>
      </w:r>
    </w:p>
    <w:p w:rsidR="00624F8F" w:rsidRPr="00624F8F" w:rsidRDefault="002C3FFD" w:rsidP="00624F8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 xml:space="preserve">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nehmotného majetku dle § 32a odst. 1 a 2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,</w:t>
      </w:r>
    </w:p>
    <w:p w:rsidR="0041195B" w:rsidRPr="00624F8F" w:rsidRDefault="002C3FFD" w:rsidP="0041195B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.</w:t>
      </w: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lastRenderedPageBreak/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A51C85">
        <w:rPr>
          <w:rFonts w:ascii="Arial" w:hAnsi="Arial" w:cs="Arial"/>
          <w:sz w:val="24"/>
          <w:szCs w:val="24"/>
        </w:rPr>
        <w:t>531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A51C85">
        <w:rPr>
          <w:rFonts w:ascii="Arial" w:hAnsi="Arial" w:cs="Arial"/>
          <w:sz w:val="24"/>
          <w:szCs w:val="24"/>
        </w:rPr>
        <w:t>24</w:t>
      </w:r>
      <w:r w:rsidR="008551D6">
        <w:rPr>
          <w:rFonts w:ascii="Arial" w:hAnsi="Arial" w:cs="Arial"/>
          <w:sz w:val="24"/>
          <w:szCs w:val="24"/>
        </w:rPr>
        <w:t>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A51C85">
        <w:rPr>
          <w:rFonts w:ascii="Arial" w:hAnsi="Arial" w:cs="Arial"/>
          <w:sz w:val="24"/>
          <w:szCs w:val="24"/>
        </w:rPr>
        <w:t>8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A51C85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A51C85">
        <w:rPr>
          <w:rFonts w:ascii="Arial" w:hAnsi="Arial" w:cs="Arial"/>
          <w:sz w:val="24"/>
          <w:szCs w:val="24"/>
        </w:rPr>
        <w:t>8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A51C85">
        <w:rPr>
          <w:rFonts w:ascii="Arial" w:hAnsi="Arial" w:cs="Arial"/>
          <w:b/>
          <w:sz w:val="24"/>
          <w:szCs w:val="24"/>
        </w:rPr>
        <w:t>9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lastRenderedPageBreak/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proofErr w:type="gramStart"/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</w:t>
      </w:r>
      <w:proofErr w:type="gramEnd"/>
      <w:r w:rsidR="00DC086F" w:rsidRPr="002D4FCC">
        <w:rPr>
          <w:rFonts w:ascii="Arial" w:hAnsi="Arial" w:cs="Arial"/>
          <w:b/>
          <w:sz w:val="24"/>
          <w:szCs w:val="24"/>
        </w:rPr>
        <w:t xml:space="preserve">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FF22CD">
        <w:rPr>
          <w:rFonts w:ascii="Arial" w:hAnsi="Arial" w:cs="Arial"/>
          <w:sz w:val="24"/>
          <w:szCs w:val="24"/>
        </w:rPr>
        <w:t>to smlouvy byly niž</w:t>
      </w:r>
      <w:r w:rsidR="001D1D1C">
        <w:rPr>
          <w:rFonts w:ascii="Arial" w:hAnsi="Arial" w:cs="Arial"/>
          <w:sz w:val="24"/>
          <w:szCs w:val="24"/>
        </w:rPr>
        <w:t>ší než 70</w:t>
      </w:r>
      <w:r w:rsidR="00FB7607">
        <w:rPr>
          <w:rFonts w:ascii="Arial" w:hAnsi="Arial" w:cs="Arial"/>
          <w:sz w:val="24"/>
          <w:szCs w:val="24"/>
        </w:rPr>
        <w:t>0</w:t>
      </w:r>
      <w:r w:rsidR="00FF22CD">
        <w:rPr>
          <w:rFonts w:ascii="Arial" w:hAnsi="Arial" w:cs="Arial"/>
          <w:sz w:val="24"/>
          <w:szCs w:val="24"/>
        </w:rPr>
        <w:t>.000,-</w:t>
      </w:r>
      <w:r w:rsidRPr="001467CA">
        <w:rPr>
          <w:rFonts w:ascii="Arial" w:hAnsi="Arial" w:cs="Arial"/>
          <w:sz w:val="24"/>
          <w:szCs w:val="24"/>
        </w:rPr>
        <w:t xml:space="preserve"> Kč (</w:t>
      </w:r>
      <w:proofErr w:type="spellStart"/>
      <w:r w:rsidRPr="001467CA">
        <w:rPr>
          <w:rFonts w:ascii="Arial" w:hAnsi="Arial" w:cs="Arial"/>
          <w:sz w:val="24"/>
          <w:szCs w:val="24"/>
        </w:rPr>
        <w:t>slovy:</w:t>
      </w:r>
      <w:r w:rsidR="001D1D1C">
        <w:rPr>
          <w:rFonts w:ascii="Arial" w:hAnsi="Arial" w:cs="Arial"/>
          <w:sz w:val="24"/>
          <w:szCs w:val="24"/>
        </w:rPr>
        <w:t>Sedmsettisíc</w:t>
      </w:r>
      <w:proofErr w:type="spellEnd"/>
      <w:r w:rsidR="00FB7607">
        <w:rPr>
          <w:rFonts w:ascii="Arial" w:hAnsi="Arial" w:cs="Arial"/>
          <w:sz w:val="24"/>
          <w:szCs w:val="24"/>
        </w:rPr>
        <w:t xml:space="preserve"> </w:t>
      </w:r>
      <w:r w:rsidR="00FF22CD">
        <w:rPr>
          <w:rFonts w:ascii="Arial" w:hAnsi="Arial" w:cs="Arial"/>
          <w:sz w:val="24"/>
          <w:szCs w:val="24"/>
        </w:rPr>
        <w:t>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 xml:space="preserve"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</w:t>
      </w:r>
      <w:r w:rsidRPr="001467CA">
        <w:rPr>
          <w:rFonts w:ascii="Arial" w:hAnsi="Arial" w:cs="Arial"/>
          <w:sz w:val="24"/>
          <w:szCs w:val="24"/>
        </w:rPr>
        <w:lastRenderedPageBreak/>
        <w:t>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  <w:r w:rsidRPr="002D4FCC">
        <w:rPr>
          <w:rFonts w:ascii="Arial" w:hAnsi="Arial" w:cs="Arial"/>
          <w:b/>
          <w:sz w:val="24"/>
          <w:szCs w:val="24"/>
        </w:rPr>
        <w:t xml:space="preserve">č. </w:t>
      </w:r>
      <w:r w:rsidR="00A0296F"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  <w:r w:rsidRPr="002D4FCC">
        <w:rPr>
          <w:rFonts w:ascii="Arial" w:hAnsi="Arial" w:cs="Arial"/>
          <w:b/>
          <w:sz w:val="24"/>
          <w:szCs w:val="24"/>
        </w:rPr>
        <w:t>.</w:t>
      </w:r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lastRenderedPageBreak/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FF22CD">
        <w:rPr>
          <w:rFonts w:ascii="Arial" w:hAnsi="Arial" w:cs="Arial"/>
          <w:sz w:val="24"/>
          <w:szCs w:val="24"/>
        </w:rPr>
        <w:t>55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FF22CD">
        <w:rPr>
          <w:rFonts w:ascii="Arial" w:hAnsi="Arial" w:cs="Arial"/>
          <w:sz w:val="24"/>
          <w:szCs w:val="24"/>
        </w:rPr>
        <w:t>3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A51C85">
        <w:rPr>
          <w:rFonts w:ascii="Arial" w:hAnsi="Arial" w:cs="Arial"/>
          <w:sz w:val="24"/>
          <w:szCs w:val="24"/>
        </w:rPr>
        <w:t>9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FF22CD">
        <w:rPr>
          <w:rFonts w:ascii="Arial" w:hAnsi="Arial" w:cs="Arial"/>
          <w:sz w:val="24"/>
          <w:szCs w:val="24"/>
        </w:rPr>
        <w:t>27.2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A51C85">
        <w:rPr>
          <w:rFonts w:ascii="Arial" w:hAnsi="Arial" w:cs="Arial"/>
          <w:sz w:val="24"/>
          <w:szCs w:val="24"/>
        </w:rPr>
        <w:t>9</w:t>
      </w:r>
      <w:proofErr w:type="gramEnd"/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FF22CD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2CD">
        <w:rPr>
          <w:rFonts w:ascii="Arial" w:hAnsi="Arial" w:cs="Arial"/>
          <w:sz w:val="24"/>
          <w:szCs w:val="24"/>
        </w:rPr>
        <w:t xml:space="preserve">Tato smlouva je sepsána ve dvou vyhotoveních, z nichž jedno je určeno pro poskytovatele a druhé pro příjemce </w:t>
      </w:r>
      <w:r w:rsidRPr="00FF22CD">
        <w:rPr>
          <w:rFonts w:ascii="Arial" w:hAnsi="Arial" w:cs="Arial"/>
          <w:i/>
          <w:iCs/>
          <w:sz w:val="24"/>
          <w:szCs w:val="24"/>
        </w:rPr>
        <w:t xml:space="preserve">(každá ze smluvních stran obdrží po jednom vyhotovení). </w:t>
      </w:r>
    </w:p>
    <w:p w:rsidR="002D4FCC" w:rsidRPr="00FF22CD" w:rsidRDefault="002D4FCC" w:rsidP="00D43F1B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FF22CD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D43F1B" w:rsidRPr="00FF22CD" w:rsidRDefault="00D43F1B" w:rsidP="00B00B2F">
      <w:pPr>
        <w:jc w:val="both"/>
        <w:rPr>
          <w:rFonts w:ascii="Arial" w:hAnsi="Arial" w:cs="Arial"/>
          <w:sz w:val="24"/>
          <w:szCs w:val="24"/>
        </w:rPr>
      </w:pPr>
    </w:p>
    <w:p w:rsidR="00B00B2F" w:rsidRPr="001467CA" w:rsidRDefault="00FF22CD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Humpolci dne </w:t>
      </w:r>
      <w:proofErr w:type="gramStart"/>
      <w:r>
        <w:rPr>
          <w:rFonts w:ascii="Arial" w:hAnsi="Arial" w:cs="Arial"/>
          <w:sz w:val="24"/>
          <w:szCs w:val="24"/>
        </w:rPr>
        <w:t>18.3.2019</w:t>
      </w:r>
      <w:proofErr w:type="gramEnd"/>
    </w:p>
    <w:p w:rsidR="00A22331" w:rsidRDefault="00B00B2F" w:rsidP="00B00B2F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624F8F" w:rsidRDefault="00624F8F" w:rsidP="00B00B2F">
      <w:pPr>
        <w:jc w:val="both"/>
        <w:rPr>
          <w:rFonts w:ascii="Arial" w:hAnsi="Arial" w:cs="Arial"/>
          <w:sz w:val="24"/>
          <w:szCs w:val="24"/>
        </w:rPr>
      </w:pPr>
    </w:p>
    <w:p w:rsidR="00624F8F" w:rsidRPr="001467CA" w:rsidRDefault="00624F8F" w:rsidP="00B00B2F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 </w:t>
      </w:r>
      <w:r w:rsidR="00624F8F">
        <w:rPr>
          <w:rFonts w:ascii="Arial" w:hAnsi="Arial" w:cs="Arial"/>
          <w:sz w:val="24"/>
          <w:szCs w:val="24"/>
        </w:rPr>
        <w:t xml:space="preserve">                       </w:t>
      </w:r>
      <w:r w:rsidRPr="001467CA">
        <w:rPr>
          <w:rFonts w:ascii="Arial" w:hAnsi="Arial" w:cs="Arial"/>
          <w:sz w:val="24"/>
          <w:szCs w:val="24"/>
        </w:rPr>
        <w:t>………………….………………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Město </w:t>
      </w:r>
      <w:proofErr w:type="gramStart"/>
      <w:r w:rsidRPr="001467CA">
        <w:rPr>
          <w:rFonts w:ascii="Arial" w:hAnsi="Arial" w:cs="Arial"/>
          <w:sz w:val="24"/>
          <w:szCs w:val="24"/>
        </w:rPr>
        <w:t xml:space="preserve">Humpolec      </w:t>
      </w:r>
      <w:r w:rsidR="00624F8F">
        <w:rPr>
          <w:rFonts w:ascii="Arial" w:hAnsi="Arial" w:cs="Arial"/>
          <w:sz w:val="24"/>
          <w:szCs w:val="24"/>
        </w:rPr>
        <w:t xml:space="preserve">                   </w:t>
      </w:r>
      <w:r w:rsidR="000C423B">
        <w:rPr>
          <w:rFonts w:ascii="Arial" w:hAnsi="Arial" w:cs="Arial"/>
          <w:sz w:val="24"/>
          <w:szCs w:val="24"/>
        </w:rPr>
        <w:t xml:space="preserve">               </w:t>
      </w:r>
      <w:r w:rsidR="000234B1">
        <w:rPr>
          <w:rFonts w:ascii="Arial" w:hAnsi="Arial" w:cs="Arial"/>
          <w:sz w:val="24"/>
          <w:szCs w:val="24"/>
        </w:rPr>
        <w:t xml:space="preserve">   </w:t>
      </w:r>
      <w:r w:rsidR="001D1D1C">
        <w:rPr>
          <w:rFonts w:ascii="Arial" w:hAnsi="Arial" w:cs="Arial"/>
          <w:sz w:val="24"/>
          <w:szCs w:val="24"/>
        </w:rPr>
        <w:t>TJ</w:t>
      </w:r>
      <w:proofErr w:type="gramEnd"/>
      <w:r w:rsidR="001D1D1C">
        <w:rPr>
          <w:rFonts w:ascii="Arial" w:hAnsi="Arial" w:cs="Arial"/>
          <w:sz w:val="24"/>
          <w:szCs w:val="24"/>
        </w:rPr>
        <w:t xml:space="preserve"> Jiskra </w:t>
      </w:r>
      <w:proofErr w:type="spellStart"/>
      <w:r w:rsidR="001D1D1C">
        <w:rPr>
          <w:rFonts w:ascii="Arial" w:hAnsi="Arial" w:cs="Arial"/>
          <w:sz w:val="24"/>
          <w:szCs w:val="24"/>
        </w:rPr>
        <w:t>z.s</w:t>
      </w:r>
      <w:proofErr w:type="spellEnd"/>
      <w:r w:rsidR="001D1D1C">
        <w:rPr>
          <w:rFonts w:ascii="Arial" w:hAnsi="Arial" w:cs="Arial"/>
          <w:sz w:val="24"/>
          <w:szCs w:val="24"/>
        </w:rPr>
        <w:t>., Humpolec</w:t>
      </w:r>
    </w:p>
    <w:p w:rsidR="00A22331" w:rsidRPr="001467CA" w:rsidRDefault="00A51C85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Karel </w:t>
      </w:r>
      <w:proofErr w:type="gramStart"/>
      <w:r>
        <w:rPr>
          <w:rFonts w:ascii="Arial" w:hAnsi="Arial" w:cs="Arial"/>
          <w:sz w:val="24"/>
          <w:szCs w:val="24"/>
        </w:rPr>
        <w:t>Kratochvíl</w:t>
      </w:r>
      <w:r w:rsidR="00A22331" w:rsidRPr="001467CA">
        <w:rPr>
          <w:rFonts w:ascii="Arial" w:hAnsi="Arial" w:cs="Arial"/>
          <w:sz w:val="24"/>
          <w:szCs w:val="24"/>
        </w:rPr>
        <w:t xml:space="preserve">  </w:t>
      </w:r>
      <w:r w:rsidR="00624F8F">
        <w:rPr>
          <w:rFonts w:ascii="Arial" w:hAnsi="Arial" w:cs="Arial"/>
          <w:sz w:val="24"/>
          <w:szCs w:val="24"/>
        </w:rPr>
        <w:t xml:space="preserve">    </w:t>
      </w:r>
      <w:r w:rsidR="003D24CF">
        <w:rPr>
          <w:rFonts w:ascii="Arial" w:hAnsi="Arial" w:cs="Arial"/>
          <w:sz w:val="24"/>
          <w:szCs w:val="24"/>
        </w:rPr>
        <w:t xml:space="preserve">                       </w:t>
      </w:r>
      <w:r w:rsidR="009D6FA6">
        <w:rPr>
          <w:rFonts w:ascii="Arial" w:hAnsi="Arial" w:cs="Arial"/>
          <w:sz w:val="24"/>
          <w:szCs w:val="24"/>
        </w:rPr>
        <w:t xml:space="preserve">       </w:t>
      </w:r>
      <w:r w:rsidR="00761ACD">
        <w:rPr>
          <w:rFonts w:ascii="Arial" w:hAnsi="Arial" w:cs="Arial"/>
          <w:sz w:val="24"/>
          <w:szCs w:val="24"/>
        </w:rPr>
        <w:t xml:space="preserve">              </w:t>
      </w:r>
      <w:r w:rsidR="001D1D1C">
        <w:rPr>
          <w:rFonts w:ascii="Arial" w:hAnsi="Arial" w:cs="Arial"/>
          <w:sz w:val="24"/>
          <w:szCs w:val="24"/>
        </w:rPr>
        <w:t>Jiří</w:t>
      </w:r>
      <w:proofErr w:type="gramEnd"/>
      <w:r w:rsidR="001D1D1C">
        <w:rPr>
          <w:rFonts w:ascii="Arial" w:hAnsi="Arial" w:cs="Arial"/>
          <w:sz w:val="24"/>
          <w:szCs w:val="24"/>
        </w:rPr>
        <w:t xml:space="preserve"> Šimek, předseda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      starosta                                                                                 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</w:p>
    <w:p w:rsidR="00624F8F" w:rsidRDefault="00624F8F" w:rsidP="00A22331">
      <w:pPr>
        <w:pStyle w:val="Standard"/>
        <w:autoSpaceDE w:val="0"/>
        <w:rPr>
          <w:rFonts w:ascii="Arial" w:hAnsi="Arial" w:cs="Arial"/>
        </w:rPr>
      </w:pPr>
    </w:p>
    <w:p w:rsidR="00624F8F" w:rsidRDefault="00624F8F" w:rsidP="00A22331">
      <w:pPr>
        <w:pStyle w:val="Standard"/>
        <w:autoSpaceDE w:val="0"/>
        <w:rPr>
          <w:rFonts w:ascii="Arial" w:hAnsi="Arial" w:cs="Arial"/>
        </w:rPr>
      </w:pPr>
    </w:p>
    <w:p w:rsidR="00624F8F" w:rsidRDefault="00624F8F" w:rsidP="00A22331">
      <w:pPr>
        <w:pStyle w:val="Standard"/>
        <w:autoSpaceDE w:val="0"/>
        <w:rPr>
          <w:rFonts w:ascii="Arial" w:hAnsi="Arial" w:cs="Arial"/>
        </w:rPr>
      </w:pP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51C85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Mgr. Alena </w:t>
      </w:r>
      <w:proofErr w:type="spellStart"/>
      <w:r>
        <w:rPr>
          <w:rFonts w:ascii="Arial" w:hAnsi="Arial" w:cs="Arial"/>
          <w:sz w:val="24"/>
          <w:szCs w:val="24"/>
        </w:rPr>
        <w:t>Kukrechtová</w:t>
      </w:r>
      <w:proofErr w:type="spellEnd"/>
    </w:p>
    <w:p w:rsidR="00A22331" w:rsidRPr="001467CA" w:rsidRDefault="00A22331" w:rsidP="00A22331">
      <w:pPr>
        <w:pStyle w:val="Default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              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DD" w:rsidRDefault="00967BDD" w:rsidP="00B00B2F">
      <w:pPr>
        <w:spacing w:after="0" w:line="240" w:lineRule="auto"/>
      </w:pPr>
      <w:r>
        <w:separator/>
      </w:r>
    </w:p>
  </w:endnote>
  <w:endnote w:type="continuationSeparator" w:id="0">
    <w:p w:rsidR="00967BDD" w:rsidRDefault="00967BDD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9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DD" w:rsidRDefault="00967BDD" w:rsidP="00B00B2F">
      <w:pPr>
        <w:spacing w:after="0" w:line="240" w:lineRule="auto"/>
      </w:pPr>
      <w:r>
        <w:separator/>
      </w:r>
    </w:p>
  </w:footnote>
  <w:footnote w:type="continuationSeparator" w:id="0">
    <w:p w:rsidR="00967BDD" w:rsidRDefault="00967BDD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234B1"/>
    <w:rsid w:val="000460E4"/>
    <w:rsid w:val="000605AA"/>
    <w:rsid w:val="0009559D"/>
    <w:rsid w:val="000C423B"/>
    <w:rsid w:val="000D6D34"/>
    <w:rsid w:val="001467CA"/>
    <w:rsid w:val="001A6080"/>
    <w:rsid w:val="001C5528"/>
    <w:rsid w:val="001D1D1C"/>
    <w:rsid w:val="00225B4B"/>
    <w:rsid w:val="00242D05"/>
    <w:rsid w:val="00260C24"/>
    <w:rsid w:val="00262826"/>
    <w:rsid w:val="002A7237"/>
    <w:rsid w:val="002B03B4"/>
    <w:rsid w:val="002C3FFD"/>
    <w:rsid w:val="002D4FCC"/>
    <w:rsid w:val="002F0570"/>
    <w:rsid w:val="002F601C"/>
    <w:rsid w:val="0034121C"/>
    <w:rsid w:val="0035661A"/>
    <w:rsid w:val="003A544E"/>
    <w:rsid w:val="003B6B60"/>
    <w:rsid w:val="003D24CF"/>
    <w:rsid w:val="003D4D82"/>
    <w:rsid w:val="003E599A"/>
    <w:rsid w:val="003F2746"/>
    <w:rsid w:val="0041195B"/>
    <w:rsid w:val="00465B3F"/>
    <w:rsid w:val="004B43EA"/>
    <w:rsid w:val="004B552F"/>
    <w:rsid w:val="004C2599"/>
    <w:rsid w:val="00540762"/>
    <w:rsid w:val="005A66B1"/>
    <w:rsid w:val="005A7EB9"/>
    <w:rsid w:val="00602F35"/>
    <w:rsid w:val="00624F8F"/>
    <w:rsid w:val="00630979"/>
    <w:rsid w:val="006516DE"/>
    <w:rsid w:val="00665DDC"/>
    <w:rsid w:val="006D516F"/>
    <w:rsid w:val="00704CAD"/>
    <w:rsid w:val="00723573"/>
    <w:rsid w:val="007363AE"/>
    <w:rsid w:val="00761ACD"/>
    <w:rsid w:val="007672FC"/>
    <w:rsid w:val="007936C5"/>
    <w:rsid w:val="007A5ADF"/>
    <w:rsid w:val="007D221B"/>
    <w:rsid w:val="007D445D"/>
    <w:rsid w:val="00854658"/>
    <w:rsid w:val="008551D6"/>
    <w:rsid w:val="0088256C"/>
    <w:rsid w:val="00893448"/>
    <w:rsid w:val="00893C61"/>
    <w:rsid w:val="008A3FC4"/>
    <w:rsid w:val="008C6D3E"/>
    <w:rsid w:val="008F0B4A"/>
    <w:rsid w:val="008F6B6C"/>
    <w:rsid w:val="008F7FCC"/>
    <w:rsid w:val="00934D8E"/>
    <w:rsid w:val="00954786"/>
    <w:rsid w:val="00967BDD"/>
    <w:rsid w:val="009777C1"/>
    <w:rsid w:val="00990FE8"/>
    <w:rsid w:val="009A3FAD"/>
    <w:rsid w:val="009B3850"/>
    <w:rsid w:val="009B4CC5"/>
    <w:rsid w:val="009D4778"/>
    <w:rsid w:val="009D6FA6"/>
    <w:rsid w:val="009F5B14"/>
    <w:rsid w:val="00A0296F"/>
    <w:rsid w:val="00A04590"/>
    <w:rsid w:val="00A1681B"/>
    <w:rsid w:val="00A22331"/>
    <w:rsid w:val="00A51C85"/>
    <w:rsid w:val="00B00B2F"/>
    <w:rsid w:val="00BE2F84"/>
    <w:rsid w:val="00BF68C0"/>
    <w:rsid w:val="00C36D21"/>
    <w:rsid w:val="00C63D1F"/>
    <w:rsid w:val="00C822BC"/>
    <w:rsid w:val="00C8270F"/>
    <w:rsid w:val="00C952AB"/>
    <w:rsid w:val="00CC61BC"/>
    <w:rsid w:val="00CE6EBE"/>
    <w:rsid w:val="00D43F1B"/>
    <w:rsid w:val="00DC086F"/>
    <w:rsid w:val="00DE0BD9"/>
    <w:rsid w:val="00E03BE8"/>
    <w:rsid w:val="00E14682"/>
    <w:rsid w:val="00EC1927"/>
    <w:rsid w:val="00F116DB"/>
    <w:rsid w:val="00F345E4"/>
    <w:rsid w:val="00F728A9"/>
    <w:rsid w:val="00FB30F3"/>
    <w:rsid w:val="00FB5133"/>
    <w:rsid w:val="00FB7607"/>
    <w:rsid w:val="00FF22CD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6358-CCD9-4511-AA4B-A864AF02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1744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3</cp:revision>
  <cp:lastPrinted>2019-03-15T11:36:00Z</cp:lastPrinted>
  <dcterms:created xsi:type="dcterms:W3CDTF">2019-03-15T11:37:00Z</dcterms:created>
  <dcterms:modified xsi:type="dcterms:W3CDTF">2019-03-21T11:14:00Z</dcterms:modified>
</cp:coreProperties>
</file>