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12700</wp:posOffset>
                </wp:positionV>
                <wp:extent cx="2395855" cy="2330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700000000000003pt;margin-top:1.pt;width:188.65000000000001pt;height:18.3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212725</wp:posOffset>
                </wp:positionV>
                <wp:extent cx="1506220" cy="37020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622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.899999999999999pt;margin-top:16.75pt;width:118.59999999999999pt;height:29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2015490</wp:posOffset>
            </wp:positionH>
            <wp:positionV relativeFrom="paragraph">
              <wp:posOffset>285750</wp:posOffset>
            </wp:positionV>
            <wp:extent cx="890270" cy="26797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304" w:val="left"/>
        </w:tabs>
        <w:bidi w:val="0"/>
        <w:spacing w:before="0" w:after="0" w:line="257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57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25" w:left="4607" w:right="770" w:bottom="1326" w:header="59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IČ0.00090450</w:t>
        <w:tab/>
        <w:t>DlČ:CZ00090450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76890014</w:t>
      </w:r>
    </w:p>
    <w:tbl>
      <w:tblPr>
        <w:tblOverlap w:val="never"/>
        <w:jc w:val="center"/>
        <w:tblLayout w:type="fixed"/>
      </w:tblPr>
      <w:tblGrid>
        <w:gridCol w:w="1685"/>
        <w:gridCol w:w="2185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768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76890014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JI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20.03.2019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K+S Czech Řepu b líc a.s.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Novodvorská 1062/12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14200 Praha 4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1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5" w:left="866" w:right="2559" w:bottom="1326" w:header="0" w:footer="3" w:gutter="0"/>
          <w:cols w:num="2" w:space="720" w:equalWidth="0">
            <w:col w:w="3870" w:space="112"/>
            <w:col w:w="449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45192405</w:t>
        <w:tab/>
        <w:t>DIČ: CZ45192405</w:t>
      </w:r>
    </w:p>
    <w:p>
      <w:pPr>
        <w:widowControl w:val="0"/>
        <w:spacing w:line="134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9" w:left="0" w:right="0" w:bottom="11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.299999999999997pt;margin-top:1.pt;width:66.25pt;height:13.1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Ředitelství KSÚSV Kosovská 16 Jihlava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59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 č. 2219009 navýšil obj. č. 7209004 o 7000 - Kč; z důvod plnéh vytížen auta.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 jejic zpřístupněn v smyslu zák. č. 106/1999 Sb. a zveřejněn be stanoven jakýchkoli dalších podmínek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64" w:val="left"/>
          <w:tab w:pos="526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kdys uplatn přenesená daňová povinnos dle § 92a a nás! zákon o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5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5" w:val="left"/>
        </w:tabs>
        <w:bidi w:val="0"/>
        <w:spacing w:before="0" w:after="0" w:line="26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Záručn doba na věcn plnění s sjednává viz. smlouv Č.133/KSÚSV/TR/1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414830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9885" distL="88900" distR="88900" simplePos="0" relativeHeight="125829385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margin">
                  <wp:posOffset>-14605</wp:posOffset>
                </wp:positionV>
                <wp:extent cx="2391410" cy="2374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141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</w:t>
                            </w: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 xml:space="preserve"> 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.200000000000003pt;margin-top:-1.1499999999999999pt;width:188.30000000000001pt;height:18.699999999999999pt;z-index:-125829368;mso-wrap-distance-left:7.pt;mso-wrap-distance-right:7.pt;mso-wrap-distance-bottom:27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</w:t>
                      </w: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 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6060" distB="0" distL="97790" distR="988060" simplePos="0" relativeHeight="125829387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margin">
                  <wp:posOffset>211455</wp:posOffset>
                </wp:positionV>
                <wp:extent cx="1483360" cy="36131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361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.899999999999999pt;margin-top:16.649999999999999pt;width:116.8pt;height:28.449999999999999pt;z-index:-125829366;mso-wrap-distance-left:7.7000000000000002pt;mso-wrap-distance-top:17.800000000000001pt;mso-wrap-distance-right:77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97180" distB="20320" distL="1583690" distR="107950" simplePos="0" relativeHeight="125829389" behindDoc="0" locked="0" layoutInCell="1" allowOverlap="1">
            <wp:simplePos x="0" y="0"/>
            <wp:positionH relativeFrom="page">
              <wp:posOffset>1992630</wp:posOffset>
            </wp:positionH>
            <wp:positionV relativeFrom="margin">
              <wp:posOffset>282575</wp:posOffset>
            </wp:positionV>
            <wp:extent cx="877570" cy="26797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7757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04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9" w:left="878" w:right="748" w:bottom="1195" w:header="53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985" distB="1247775" distL="2633345" distR="1872615" simplePos="0" relativeHeight="125829390" behindDoc="0" locked="0" layoutInCell="1" allowOverlap="1">
                <wp:simplePos x="0" y="0"/>
                <wp:positionH relativeFrom="page">
                  <wp:posOffset>3058160</wp:posOffset>
                </wp:positionH>
                <wp:positionV relativeFrom="margin">
                  <wp:posOffset>709930</wp:posOffset>
                </wp:positionV>
                <wp:extent cx="1074420" cy="16700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44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20.03.2019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0.80000000000001pt;margin-top:55.899999999999999pt;width:84.599999999999994pt;height:13.15pt;z-index:-125829363;mso-wrap-distance-left:207.34999999999999pt;mso-wrap-distance-top:0.55000000000000004pt;mso-wrap-distance-right:147.44999999999999pt;mso-wrap-distance-bottom:9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20.03.2019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0" distL="114300" distR="3028950" simplePos="0" relativeHeight="12582939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margin">
                  <wp:posOffset>945515</wp:posOffset>
                </wp:positionV>
                <wp:extent cx="2437130" cy="11798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7130" cy="11798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64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76890014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JI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2.450000000000003pt;margin-top:74.450000000000003pt;width:191.90000000000001pt;height:92.900000000000006pt;z-index:-125829361;mso-wrap-distance-left:9.pt;mso-wrap-distance-top:19.100000000000001pt;mso-wrap-distance-right:238.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64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768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76890014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JI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margin">
                  <wp:posOffset>702945</wp:posOffset>
                </wp:positionV>
                <wp:extent cx="1645920" cy="17843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76890014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.149999999999999pt;margin-top:55.350000000000001pt;width:129.59999999999999pt;height:14.05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76890014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327025" distL="2715895" distR="114300" simplePos="0" relativeHeight="125829394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margin">
                  <wp:posOffset>940435</wp:posOffset>
                </wp:positionV>
                <wp:extent cx="2750185" cy="85725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0185" cy="857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K+S Czech Republic a.s.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Novodvorská 1062/12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14200 Praha 4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45192405</w:t>
                              <w:tab/>
                              <w:t>DIČ: CZ45192405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7.30000000000001pt;margin-top:74.049999999999997pt;width:216.55000000000001pt;height:67.5pt;z-index:-125829359;mso-wrap-distance-left:213.84999999999999pt;mso-wrap-distance-top:18.699999999999999pt;mso-wrap-distance-right:9.pt;mso-wrap-distance-bottom:25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K+S Czech Republic a.s.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Novodvorská 1062/12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14200 Praha 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45192405</w:t>
                        <w:tab/>
                        <w:t>DIČ: CZ45192405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widowControl w:val="0"/>
        <w:spacing w:line="158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9" w:left="0" w:right="0" w:bottom="117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506"/>
        <w:gridCol w:w="7834"/>
      </w:tblGrid>
      <w:tr>
        <w:trPr>
          <w:trHeight w:val="106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adresa: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0" w:right="0" w:hanging="2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Korespondenční adresa: Ředitelství KSÚSV Kosovská 16 Jihlava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586 01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povinna nahradí škod skutečnou i uši zisk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190"/>
        <w:gridCol w:w="1134"/>
        <w:gridCol w:w="994"/>
        <w:gridCol w:w="572"/>
        <w:gridCol w:w="1242"/>
        <w:gridCol w:w="943"/>
        <w:gridCol w:w="1033"/>
        <w:gridCol w:w="1073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181" w:h="727" w:vSpace="482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1"/>
        <w:keepNext w:val="0"/>
        <w:keepLines w:val="0"/>
        <w:framePr w:w="749" w:h="241" w:hSpace="79" w:wrap="notBeside" w:vAnchor="text" w:hAnchor="text" w:x="3644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5 784,80</w:t>
      </w:r>
    </w:p>
    <w:p>
      <w:pPr>
        <w:pStyle w:val="Style11"/>
        <w:keepNext w:val="0"/>
        <w:keepLines w:val="0"/>
        <w:framePr w:w="389" w:h="241" w:hSpace="79" w:wrap="notBeside" w:vAnchor="text" w:hAnchor="text" w:x="4998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1,00</w:t>
      </w:r>
    </w:p>
    <w:p>
      <w:pPr>
        <w:pStyle w:val="Style11"/>
        <w:keepNext w:val="0"/>
        <w:keepLines w:val="0"/>
        <w:framePr w:w="3809" w:h="241" w:hSpace="79" w:wrap="notBeside" w:vAnchor="text" w:hAnchor="text" w:x="6445" w:y="728"/>
        <w:widowControl w:val="0"/>
        <w:shd w:val="clear" w:color="auto" w:fill="auto"/>
        <w:tabs>
          <w:tab w:pos="1444" w:val="left"/>
          <w:tab w:pos="1984" w:val="left"/>
          <w:tab w:pos="30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5 784,80</w:t>
        <w:tab/>
        <w:t>21</w:t>
        <w:tab/>
        <w:t>1 215,20</w:t>
        <w:tab/>
        <w:t>7 000,00</w:t>
      </w:r>
    </w:p>
    <w:p>
      <w:pPr>
        <w:pStyle w:val="Style11"/>
        <w:keepNext w:val="0"/>
        <w:keepLines w:val="0"/>
        <w:framePr w:w="1289" w:h="238" w:hSpace="79" w:wrap="notBeside" w:vAnchor="text" w:hAnchor="text" w:x="181" w:y="9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Navýšení viz. text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20.03.2019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320" distB="0" distL="0" distR="0" simplePos="0" relativeHeight="12582939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20320</wp:posOffset>
                </wp:positionV>
                <wp:extent cx="3017520" cy="66992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7520" cy="6699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3"/>
                              <w:gridCol w:w="3319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1.100000000000001pt;margin-top:1.6000000000000001pt;width:237.59999999999999pt;height:52.75pt;z-index:-125829357;mso-wrap-distance-left:0;mso-wrap-distance-top:1.6000000000000001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3"/>
                        <w:gridCol w:w="3319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8795" distL="0" distR="0" simplePos="0" relativeHeight="125829398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0</wp:posOffset>
                </wp:positionV>
                <wp:extent cx="2414270" cy="17145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7 000,00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93.19999999999999pt;margin-top:0;width:190.09999999999999pt;height:13.5pt;z-index:-125829355;mso-wrap-distance-left:0;mso-wrap-distance-right:0;mso-wrap-distance-bottom:40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7 000,00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9" w:left="834" w:right="726" w:bottom="117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tbl>
      <w:tblPr>
        <w:tblOverlap w:val="never"/>
        <w:jc w:val="left"/>
        <w:tblLayout w:type="fixed"/>
      </w:tblPr>
      <w:tblGrid>
        <w:gridCol w:w="2084"/>
        <w:gridCol w:w="6937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From: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@ks-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cz.com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]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Wednesday, March 20, 2019 10:57 AM</w:t>
      </w:r>
    </w:p>
    <w:tbl>
      <w:tblPr>
        <w:tblOverlap w:val="never"/>
        <w:jc w:val="left"/>
        <w:tblLayout w:type="fixed"/>
      </w:tblPr>
      <w:tblGrid>
        <w:gridCol w:w="2084"/>
        <w:gridCol w:w="6937"/>
      </w:tblGrid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4992" w:val="left"/>
              </w:tabs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;@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ksusv.cz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&gt;; 1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aks-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cz.com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&gt;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Cc: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@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ksusv.cz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Dodatková objednávka</w:t>
      </w:r>
    </w:p>
    <w:p>
      <w:pPr>
        <w:widowControl w:val="0"/>
        <w:spacing w:after="2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potvrzujeme objednávku číslo 768890014, které je z důvodu plného vytížení nákladního automobilu.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pozdravem,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0727" w:left="568" w:right="992" w:bottom="2989" w:header="10299" w:footer="256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9984740</wp:posOffset>
              </wp:positionV>
              <wp:extent cx="53975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2.05000000000001pt;margin-top:786.20000000000005pt;width:42.5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ind w:left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