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2C" w:rsidRPr="008A74BC" w:rsidRDefault="0044532C" w:rsidP="0044532C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  <w:r w:rsidRPr="008A74BC">
        <w:rPr>
          <w:rFonts w:ascii="Arial" w:hAnsi="Arial" w:cs="Arial"/>
          <w:sz w:val="20"/>
          <w:szCs w:val="20"/>
        </w:rPr>
        <w:t>Příloha č. 1 – specifikace předmětu díla</w:t>
      </w:r>
    </w:p>
    <w:p w:rsidR="0044532C" w:rsidRPr="008A74BC" w:rsidRDefault="0044532C" w:rsidP="0044532C">
      <w:pPr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</w:p>
    <w:p w:rsidR="0044532C" w:rsidRPr="009A4FB5" w:rsidRDefault="0044532C" w:rsidP="0044532C">
      <w:pPr>
        <w:pStyle w:val="Odstavecseseznamem1"/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9A4FB5">
        <w:rPr>
          <w:rFonts w:ascii="Arial" w:hAnsi="Arial" w:cs="Arial"/>
          <w:snapToGrid w:val="0"/>
          <w:sz w:val="22"/>
          <w:szCs w:val="22"/>
        </w:rPr>
        <w:t xml:space="preserve">Dodávka, instalace, montáž, oživení a </w:t>
      </w:r>
      <w:proofErr w:type="spellStart"/>
      <w:r w:rsidRPr="009A4FB5">
        <w:rPr>
          <w:rFonts w:ascii="Arial" w:hAnsi="Arial" w:cs="Arial"/>
          <w:snapToGrid w:val="0"/>
          <w:sz w:val="22"/>
          <w:szCs w:val="22"/>
        </w:rPr>
        <w:t>zaintegrování</w:t>
      </w:r>
      <w:proofErr w:type="spellEnd"/>
      <w:r w:rsidRPr="009A4FB5">
        <w:rPr>
          <w:rFonts w:ascii="Arial" w:hAnsi="Arial" w:cs="Arial"/>
          <w:snapToGrid w:val="0"/>
          <w:sz w:val="22"/>
          <w:szCs w:val="22"/>
        </w:rPr>
        <w:t xml:space="preserve"> do stávajícího docházkového a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9A4FB5">
        <w:rPr>
          <w:rFonts w:ascii="Arial" w:hAnsi="Arial" w:cs="Arial"/>
          <w:snapToGrid w:val="0"/>
          <w:sz w:val="22"/>
          <w:szCs w:val="22"/>
        </w:rPr>
        <w:t>přístupového systému dvou docházkových terminálů umístěných u vchodů do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9A4FB5">
        <w:rPr>
          <w:rFonts w:ascii="Arial" w:hAnsi="Arial" w:cs="Arial"/>
          <w:snapToGrid w:val="0"/>
          <w:sz w:val="22"/>
          <w:szCs w:val="22"/>
        </w:rPr>
        <w:t xml:space="preserve">budovy Finančního úřadu pro Jihočeský kraj Územního pracoviště v Jindřichově Hradci včetně otevírání </w:t>
      </w:r>
      <w:r>
        <w:rPr>
          <w:rFonts w:ascii="Arial" w:hAnsi="Arial" w:cs="Arial"/>
          <w:snapToGrid w:val="0"/>
          <w:sz w:val="22"/>
          <w:szCs w:val="22"/>
        </w:rPr>
        <w:t xml:space="preserve">jedněch </w:t>
      </w:r>
      <w:r w:rsidRPr="009A4FB5">
        <w:rPr>
          <w:rFonts w:ascii="Arial" w:hAnsi="Arial" w:cs="Arial"/>
          <w:snapToGrid w:val="0"/>
          <w:sz w:val="22"/>
          <w:szCs w:val="22"/>
        </w:rPr>
        <w:t>posuvných vstupních dveří pomocí čtečky čipových karet zvenku.</w:t>
      </w:r>
    </w:p>
    <w:p w:rsidR="0044532C" w:rsidRPr="009A4FB5" w:rsidRDefault="0044532C" w:rsidP="0044532C">
      <w:pPr>
        <w:pStyle w:val="Odstavecseseznamem1"/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9A4FB5">
        <w:rPr>
          <w:rFonts w:ascii="Arial" w:hAnsi="Arial" w:cs="Arial"/>
          <w:snapToGrid w:val="0"/>
          <w:sz w:val="22"/>
          <w:szCs w:val="22"/>
        </w:rPr>
        <w:t xml:space="preserve">Dodávka, instalace, montáž, oživení a </w:t>
      </w:r>
      <w:proofErr w:type="spellStart"/>
      <w:r w:rsidRPr="009A4FB5">
        <w:rPr>
          <w:rFonts w:ascii="Arial" w:hAnsi="Arial" w:cs="Arial"/>
          <w:snapToGrid w:val="0"/>
          <w:sz w:val="22"/>
          <w:szCs w:val="22"/>
        </w:rPr>
        <w:t>zaintegrování</w:t>
      </w:r>
      <w:proofErr w:type="spellEnd"/>
      <w:r w:rsidRPr="009A4FB5">
        <w:rPr>
          <w:rFonts w:ascii="Arial" w:hAnsi="Arial" w:cs="Arial"/>
          <w:snapToGrid w:val="0"/>
          <w:sz w:val="22"/>
          <w:szCs w:val="22"/>
        </w:rPr>
        <w:t xml:space="preserve"> do stávajícího docházkového a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9A4FB5">
        <w:rPr>
          <w:rFonts w:ascii="Arial" w:hAnsi="Arial" w:cs="Arial"/>
          <w:snapToGrid w:val="0"/>
          <w:sz w:val="22"/>
          <w:szCs w:val="22"/>
        </w:rPr>
        <w:t>přístupového systému dvou docházkových terminálů umístěných ve vstupní hale budovy Finančního úřadu pro Jihočeský kraj Územního pracoviště v Českých Budějovicích včetně otevírání křídlových dveří do budovy pomocí čtečky čipových karet zvenku</w:t>
      </w:r>
      <w:r>
        <w:rPr>
          <w:rFonts w:ascii="Arial" w:hAnsi="Arial" w:cs="Arial"/>
          <w:snapToGrid w:val="0"/>
          <w:sz w:val="22"/>
          <w:szCs w:val="22"/>
        </w:rPr>
        <w:t xml:space="preserve"> a napojení stávajícího tlačítka ostrahy pro otevírání těchto dveří</w:t>
      </w:r>
      <w:r w:rsidRPr="009A4FB5">
        <w:rPr>
          <w:rFonts w:ascii="Arial" w:hAnsi="Arial" w:cs="Arial"/>
          <w:snapToGrid w:val="0"/>
          <w:sz w:val="22"/>
          <w:szCs w:val="22"/>
        </w:rPr>
        <w:t>.</w:t>
      </w:r>
    </w:p>
    <w:p w:rsidR="0044532C" w:rsidRPr="009A4FB5" w:rsidRDefault="0044532C" w:rsidP="0044532C">
      <w:pPr>
        <w:pStyle w:val="Odstavecseseznamem1"/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Dodávka, instalace</w:t>
      </w:r>
      <w:r w:rsidRPr="009A4FB5">
        <w:rPr>
          <w:rFonts w:ascii="Arial" w:hAnsi="Arial" w:cs="Arial"/>
          <w:snapToGrid w:val="0"/>
          <w:sz w:val="22"/>
          <w:szCs w:val="22"/>
        </w:rPr>
        <w:t xml:space="preserve">, montáž, oživení a </w:t>
      </w:r>
      <w:proofErr w:type="spellStart"/>
      <w:r w:rsidRPr="009A4FB5">
        <w:rPr>
          <w:rFonts w:ascii="Arial" w:hAnsi="Arial" w:cs="Arial"/>
          <w:snapToGrid w:val="0"/>
          <w:sz w:val="22"/>
          <w:szCs w:val="22"/>
        </w:rPr>
        <w:t>zaintegrování</w:t>
      </w:r>
      <w:proofErr w:type="spellEnd"/>
      <w:r w:rsidRPr="009A4FB5">
        <w:rPr>
          <w:rFonts w:ascii="Arial" w:hAnsi="Arial" w:cs="Arial"/>
          <w:snapToGrid w:val="0"/>
          <w:sz w:val="22"/>
          <w:szCs w:val="22"/>
        </w:rPr>
        <w:t xml:space="preserve"> do stávajícího docházkového a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9A4FB5">
        <w:rPr>
          <w:rFonts w:ascii="Arial" w:hAnsi="Arial" w:cs="Arial"/>
          <w:snapToGrid w:val="0"/>
          <w:sz w:val="22"/>
          <w:szCs w:val="22"/>
        </w:rPr>
        <w:t>přístupov</w:t>
      </w:r>
      <w:r>
        <w:rPr>
          <w:rFonts w:ascii="Arial" w:hAnsi="Arial" w:cs="Arial"/>
          <w:snapToGrid w:val="0"/>
          <w:sz w:val="22"/>
          <w:szCs w:val="22"/>
        </w:rPr>
        <w:t>ého systému jednoho docházkového</w:t>
      </w:r>
      <w:r w:rsidRPr="009A4FB5">
        <w:rPr>
          <w:rFonts w:ascii="Arial" w:hAnsi="Arial" w:cs="Arial"/>
          <w:snapToGrid w:val="0"/>
          <w:sz w:val="22"/>
          <w:szCs w:val="22"/>
        </w:rPr>
        <w:t xml:space="preserve"> terminálu, který bude umístěn u zadního vchodu přístavby Územního pracoviště ve Strakonicích. Dále pak dodávka, instalace, montáž, oživení a</w:t>
      </w:r>
      <w:r>
        <w:rPr>
          <w:rFonts w:ascii="Arial" w:hAnsi="Arial" w:cs="Arial"/>
          <w:snapToGrid w:val="0"/>
          <w:sz w:val="22"/>
          <w:szCs w:val="22"/>
        </w:rPr>
        <w:t> </w:t>
      </w:r>
      <w:proofErr w:type="spellStart"/>
      <w:r w:rsidRPr="009A4FB5">
        <w:rPr>
          <w:rFonts w:ascii="Arial" w:hAnsi="Arial" w:cs="Arial"/>
          <w:snapToGrid w:val="0"/>
          <w:sz w:val="22"/>
          <w:szCs w:val="22"/>
        </w:rPr>
        <w:t>zaintegrování</w:t>
      </w:r>
      <w:proofErr w:type="spellEnd"/>
      <w:r w:rsidRPr="009A4FB5">
        <w:rPr>
          <w:rFonts w:ascii="Arial" w:hAnsi="Arial" w:cs="Arial"/>
          <w:snapToGrid w:val="0"/>
          <w:sz w:val="22"/>
          <w:szCs w:val="22"/>
        </w:rPr>
        <w:t xml:space="preserve"> do stávajícího přístupového systému otevírání posuvných dveří do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9A4FB5">
        <w:rPr>
          <w:rFonts w:ascii="Arial" w:hAnsi="Arial" w:cs="Arial"/>
          <w:snapToGrid w:val="0"/>
          <w:sz w:val="22"/>
          <w:szCs w:val="22"/>
        </w:rPr>
        <w:t>budovy směr od hlavního vchodu pomocí čtečky čipových karet zvenku, otevírání branky pomocí čtečky čipových karet zvenku včetně elektromagnetického zámku, otevírání posuvné brány pomocí dvou čteček čipových karet (směr dovnitř a ven) včetně otevírání pomocí GSM brány, otevírání zadního vchodu přístavby pomocí čtečky čipových karet zvenku včetně elektromagnetického zámku a otevírání druhého zadního vchodu pomocí čtečky čipových karet zvenku včetně elektromagnetického zámku. Vše na Finančním úřadě pro Jihočeský kraj Územním pracovišti ve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9A4FB5">
        <w:rPr>
          <w:rFonts w:ascii="Arial" w:hAnsi="Arial" w:cs="Arial"/>
          <w:snapToGrid w:val="0"/>
          <w:sz w:val="22"/>
          <w:szCs w:val="22"/>
        </w:rPr>
        <w:t>Strakonicích.</w:t>
      </w:r>
    </w:p>
    <w:p w:rsidR="0044532C" w:rsidRPr="009A4FB5" w:rsidRDefault="0044532C" w:rsidP="0044532C">
      <w:pPr>
        <w:pStyle w:val="Odstavecseseznamem1"/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9A4FB5">
        <w:rPr>
          <w:rFonts w:ascii="Arial" w:hAnsi="Arial" w:cs="Arial"/>
          <w:snapToGrid w:val="0"/>
          <w:sz w:val="22"/>
          <w:szCs w:val="22"/>
        </w:rPr>
        <w:t xml:space="preserve">Kompletní dodávka přístupového systému - 4 m závora na parkoviště Finančního úřadu pro Jihočeský kraj včetně instalace, montáže, oživení, </w:t>
      </w:r>
      <w:proofErr w:type="spellStart"/>
      <w:r w:rsidRPr="009A4FB5">
        <w:rPr>
          <w:rFonts w:ascii="Arial" w:hAnsi="Arial" w:cs="Arial"/>
          <w:snapToGrid w:val="0"/>
          <w:sz w:val="22"/>
          <w:szCs w:val="22"/>
        </w:rPr>
        <w:t>zaintegrování</w:t>
      </w:r>
      <w:proofErr w:type="spellEnd"/>
      <w:r w:rsidRPr="009A4FB5">
        <w:rPr>
          <w:rFonts w:ascii="Arial" w:hAnsi="Arial" w:cs="Arial"/>
          <w:snapToGrid w:val="0"/>
          <w:sz w:val="22"/>
          <w:szCs w:val="22"/>
        </w:rPr>
        <w:t xml:space="preserve"> do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9A4FB5">
        <w:rPr>
          <w:rFonts w:ascii="Arial" w:hAnsi="Arial" w:cs="Arial"/>
          <w:snapToGrid w:val="0"/>
          <w:sz w:val="22"/>
          <w:szCs w:val="22"/>
        </w:rPr>
        <w:t>stávajícího přístupového systému a zaškolení. Systém bude obsahovat automatickou závoru včetně řídící elektroniky s možností odpojení a ponechání ve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9A4FB5">
        <w:rPr>
          <w:rFonts w:ascii="Arial" w:hAnsi="Arial" w:cs="Arial"/>
          <w:snapToGrid w:val="0"/>
          <w:sz w:val="22"/>
          <w:szCs w:val="22"/>
        </w:rPr>
        <w:t>svislé poloze</w:t>
      </w:r>
      <w:r>
        <w:rPr>
          <w:rFonts w:ascii="Arial" w:hAnsi="Arial" w:cs="Arial"/>
          <w:snapToGrid w:val="0"/>
          <w:sz w:val="22"/>
          <w:szCs w:val="22"/>
        </w:rPr>
        <w:t xml:space="preserve"> (pomocí spínače ve vrátnici)</w:t>
      </w:r>
      <w:r w:rsidRPr="009A4FB5">
        <w:rPr>
          <w:rFonts w:ascii="Arial" w:hAnsi="Arial" w:cs="Arial"/>
          <w:snapToGrid w:val="0"/>
          <w:sz w:val="22"/>
          <w:szCs w:val="22"/>
        </w:rPr>
        <w:t xml:space="preserve">, indukčního detektoru </w:t>
      </w:r>
      <w:r>
        <w:rPr>
          <w:rFonts w:ascii="Arial" w:hAnsi="Arial" w:cs="Arial"/>
          <w:snapToGrid w:val="0"/>
          <w:sz w:val="22"/>
          <w:szCs w:val="22"/>
        </w:rPr>
        <w:t>včetně odchozí</w:t>
      </w:r>
      <w:r w:rsidRPr="009A4FB5">
        <w:rPr>
          <w:rFonts w:ascii="Arial" w:hAnsi="Arial" w:cs="Arial"/>
          <w:snapToGrid w:val="0"/>
          <w:sz w:val="22"/>
          <w:szCs w:val="22"/>
        </w:rPr>
        <w:t xml:space="preserve"> smyčky ve vozovce,</w:t>
      </w:r>
      <w:r>
        <w:rPr>
          <w:rFonts w:ascii="Arial" w:hAnsi="Arial" w:cs="Arial"/>
          <w:snapToGrid w:val="0"/>
          <w:sz w:val="22"/>
          <w:szCs w:val="22"/>
        </w:rPr>
        <w:t xml:space="preserve"> infrazávory,</w:t>
      </w:r>
      <w:r w:rsidRPr="009A4FB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jednoho příjezdového sloupku</w:t>
      </w:r>
      <w:r w:rsidRPr="009A4FB5">
        <w:rPr>
          <w:rFonts w:ascii="Arial" w:hAnsi="Arial" w:cs="Arial"/>
          <w:snapToGrid w:val="0"/>
          <w:sz w:val="22"/>
          <w:szCs w:val="22"/>
        </w:rPr>
        <w:t xml:space="preserve"> včetně zastřešení pro umístění čtečk</w:t>
      </w:r>
      <w:r>
        <w:rPr>
          <w:rFonts w:ascii="Arial" w:hAnsi="Arial" w:cs="Arial"/>
          <w:snapToGrid w:val="0"/>
          <w:sz w:val="22"/>
          <w:szCs w:val="22"/>
        </w:rPr>
        <w:t>y</w:t>
      </w:r>
      <w:r w:rsidRPr="009A4FB5">
        <w:rPr>
          <w:rFonts w:ascii="Arial" w:hAnsi="Arial" w:cs="Arial"/>
          <w:snapToGrid w:val="0"/>
          <w:sz w:val="22"/>
          <w:szCs w:val="22"/>
        </w:rPr>
        <w:t xml:space="preserve"> a dorozumívacího zařízení kompatibilního se stávajícím systémem Tesla 2-BUS, GSM modulu a tlačítka umístěného ve vrátnici pro ovládání otevírání závory.</w:t>
      </w:r>
    </w:p>
    <w:p w:rsidR="0044532C" w:rsidRPr="009A4FB5" w:rsidRDefault="0044532C" w:rsidP="0044532C">
      <w:pPr>
        <w:pStyle w:val="Odstavecseseznamem1"/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9A4FB5">
        <w:rPr>
          <w:rFonts w:ascii="Arial" w:hAnsi="Arial" w:cs="Arial"/>
          <w:snapToGrid w:val="0"/>
          <w:sz w:val="22"/>
          <w:szCs w:val="22"/>
        </w:rPr>
        <w:t>Inverzní provedení blokování stávajících turniketů a branky na Finančním úřadu pro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9A4FB5">
        <w:rPr>
          <w:rFonts w:ascii="Arial" w:hAnsi="Arial" w:cs="Arial"/>
          <w:snapToGrid w:val="0"/>
          <w:sz w:val="22"/>
          <w:szCs w:val="22"/>
        </w:rPr>
        <w:t>Jihočeský kraj, včetně připojení na stávající systém elektronické požární signalizace, tak aby po vyhlášení poplachu systém elektronické požární signalizace automaticky uvolnil průchod přes turnikety a branku.</w:t>
      </w:r>
    </w:p>
    <w:p w:rsidR="00E40E82" w:rsidRDefault="0044532C" w:rsidP="0044532C">
      <w:pPr>
        <w:pStyle w:val="Nadpis1"/>
        <w:numPr>
          <w:ilvl w:val="0"/>
          <w:numId w:val="0"/>
        </w:numPr>
        <w:jc w:val="left"/>
      </w:pPr>
      <w:bookmarkStart w:id="0" w:name="_GoBack"/>
      <w:bookmarkEnd w:id="0"/>
      <w:r>
        <w:t xml:space="preserve"> </w:t>
      </w:r>
    </w:p>
    <w:sectPr w:rsidR="00E40E82" w:rsidSect="007B20FA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560760"/>
      <w:docPartObj>
        <w:docPartGallery w:val="Page Numbers (Bottom of Page)"/>
        <w:docPartUnique/>
      </w:docPartObj>
    </w:sdtPr>
    <w:sdtEndPr/>
    <w:sdtContent>
      <w:p w:rsidR="00DC3AFA" w:rsidRPr="002A6A37" w:rsidRDefault="0044532C" w:rsidP="002A6A37">
        <w:pPr>
          <w:pStyle w:val="Zpat"/>
          <w:numPr>
            <w:ilvl w:val="0"/>
            <w:numId w:val="0"/>
          </w:numPr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4C7E36" wp14:editId="4192CDD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AFA" w:rsidRDefault="0044532C" w:rsidP="00361E88">
                              <w:pPr>
                                <w:numPr>
                                  <w:ilvl w:val="0"/>
                                  <w:numId w:val="0"/>
                                </w:numPr>
                                <w:ind w:left="720" w:hanging="36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DC3AFA" w:rsidRDefault="0044532C" w:rsidP="00361E88">
                        <w:pPr>
                          <w:numPr>
                            <w:ilvl w:val="0"/>
                            <w:numId w:val="0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FA" w:rsidRPr="00873265" w:rsidRDefault="0044532C" w:rsidP="00873265">
    <w:pPr>
      <w:pStyle w:val="Zhlav"/>
      <w:numPr>
        <w:ilvl w:val="0"/>
        <w:numId w:val="0"/>
      </w:numPr>
      <w:ind w:left="720"/>
      <w:jc w:val="center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A6F"/>
    <w:multiLevelType w:val="hybridMultilevel"/>
    <w:tmpl w:val="163E9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398"/>
    <w:multiLevelType w:val="hybridMultilevel"/>
    <w:tmpl w:val="826E3566"/>
    <w:lvl w:ilvl="0" w:tplc="109CABEA">
      <w:start w:val="1"/>
      <w:numFmt w:val="decimal"/>
      <w:pStyle w:val="Normln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2C"/>
    <w:rsid w:val="00167DDC"/>
    <w:rsid w:val="0044532C"/>
    <w:rsid w:val="0087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32C"/>
    <w:pPr>
      <w:numPr>
        <w:numId w:val="3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532C"/>
    <w:pPr>
      <w:keepNext/>
      <w:spacing w:before="120" w:after="0" w:line="240" w:lineRule="auto"/>
      <w:jc w:val="center"/>
      <w:outlineLvl w:val="0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32C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Odstavecseseznamem1">
    <w:name w:val="Odstavec se seznamem1"/>
    <w:basedOn w:val="Normln"/>
    <w:qFormat/>
    <w:rsid w:val="0044532C"/>
  </w:style>
  <w:style w:type="paragraph" w:styleId="Zhlav">
    <w:name w:val="header"/>
    <w:basedOn w:val="Normln"/>
    <w:link w:val="ZhlavChar"/>
    <w:rsid w:val="00445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532C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45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32C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3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32C"/>
    <w:pPr>
      <w:numPr>
        <w:numId w:val="3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532C"/>
    <w:pPr>
      <w:keepNext/>
      <w:spacing w:before="120" w:after="0" w:line="240" w:lineRule="auto"/>
      <w:jc w:val="center"/>
      <w:outlineLvl w:val="0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32C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Odstavecseseznamem1">
    <w:name w:val="Odstavec se seznamem1"/>
    <w:basedOn w:val="Normln"/>
    <w:qFormat/>
    <w:rsid w:val="0044532C"/>
  </w:style>
  <w:style w:type="paragraph" w:styleId="Zhlav">
    <w:name w:val="header"/>
    <w:basedOn w:val="Normln"/>
    <w:link w:val="ZhlavChar"/>
    <w:rsid w:val="00445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532C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45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32C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3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Fiktusová Jana Mgr. (GFŘ)</dc:creator>
  <cp:lastModifiedBy>Fiktusová Jana Mgr. (GFŘ)</cp:lastModifiedBy>
  <cp:revision>1</cp:revision>
  <dcterms:created xsi:type="dcterms:W3CDTF">2016-11-29T09:07:00Z</dcterms:created>
  <dcterms:modified xsi:type="dcterms:W3CDTF">2016-11-29T09:13:00Z</dcterms:modified>
</cp:coreProperties>
</file>