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46E8F" w14:textId="6D746D6D" w:rsidR="00E80DEE" w:rsidRPr="000C301E" w:rsidRDefault="00E80DEE" w:rsidP="00E80DEE">
      <w:pPr>
        <w:jc w:val="center"/>
        <w:rPr>
          <w:sz w:val="28"/>
          <w:szCs w:val="28"/>
        </w:rPr>
      </w:pPr>
      <w:r w:rsidRPr="000C301E">
        <w:rPr>
          <w:b/>
          <w:sz w:val="28"/>
          <w:szCs w:val="28"/>
        </w:rPr>
        <w:t xml:space="preserve">KUPNÍ </w:t>
      </w:r>
      <w:r w:rsidRPr="000D2D53">
        <w:rPr>
          <w:b/>
          <w:sz w:val="28"/>
          <w:szCs w:val="28"/>
        </w:rPr>
        <w:t xml:space="preserve">SMLOUVA č. </w:t>
      </w:r>
      <w:r w:rsidR="000D2D53" w:rsidRPr="000D2D53">
        <w:rPr>
          <w:b/>
          <w:color w:val="000000"/>
          <w:sz w:val="28"/>
          <w:szCs w:val="28"/>
        </w:rPr>
        <w:t>NAB-2019-00836-Mikel</w:t>
      </w:r>
    </w:p>
    <w:p w14:paraId="48723279" w14:textId="77777777" w:rsidR="00E80DEE" w:rsidRPr="00E80DEE" w:rsidRDefault="00E80DEE" w:rsidP="00E80DEE">
      <w:pPr>
        <w:jc w:val="both"/>
        <w:rPr>
          <w:sz w:val="22"/>
          <w:szCs w:val="22"/>
        </w:rPr>
      </w:pPr>
      <w:r w:rsidRPr="00E80DEE">
        <w:rPr>
          <w:sz w:val="22"/>
          <w:szCs w:val="22"/>
        </w:rPr>
        <w:t>uzavřená dle § 2079 a násl. zák. č. 89/2012 Sb., občanského zákoníku, mezi těmito smluvními stranami:</w:t>
      </w:r>
    </w:p>
    <w:p w14:paraId="60073395" w14:textId="77777777" w:rsidR="00E80DEE" w:rsidRPr="00E80DEE" w:rsidRDefault="00E80DEE" w:rsidP="00E80D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2"/>
        <w:gridCol w:w="6698"/>
      </w:tblGrid>
      <w:tr w:rsidR="00E80DEE" w:rsidRPr="00E80DEE" w14:paraId="61D5FDE4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ED" w14:textId="694D14F8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AGROTECHNIC MORAVIA a.s.</w:t>
            </w:r>
          </w:p>
        </w:tc>
      </w:tr>
      <w:tr w:rsidR="00E80DEE" w:rsidRPr="00E80DEE" w14:paraId="05219597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A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9A7" w14:textId="0E57592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Lipenská 1120/47, </w:t>
            </w:r>
            <w:r w:rsidR="00B34295" w:rsidRPr="00E80DEE">
              <w:rPr>
                <w:sz w:val="22"/>
                <w:szCs w:val="22"/>
              </w:rPr>
              <w:t>779 00</w:t>
            </w:r>
            <w:r w:rsidR="00B34295">
              <w:rPr>
                <w:sz w:val="22"/>
                <w:szCs w:val="22"/>
              </w:rPr>
              <w:t xml:space="preserve"> </w:t>
            </w:r>
            <w:r w:rsidRPr="00E80DEE">
              <w:rPr>
                <w:sz w:val="22"/>
                <w:szCs w:val="22"/>
              </w:rPr>
              <w:t xml:space="preserve">Olomouc – Hodolany </w:t>
            </w:r>
          </w:p>
        </w:tc>
      </w:tr>
      <w:tr w:rsidR="00E80DEE" w:rsidRPr="00E80DEE" w14:paraId="7ACBE0D5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486" w14:textId="3D6057E5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27839834</w:t>
            </w:r>
          </w:p>
        </w:tc>
      </w:tr>
      <w:tr w:rsidR="00E80DEE" w:rsidRPr="00E80DEE" w14:paraId="26EBB02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82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A41" w14:textId="6C719C26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CZ27839834</w:t>
            </w:r>
          </w:p>
        </w:tc>
      </w:tr>
      <w:tr w:rsidR="00E80DEE" w:rsidRPr="00E80DEE" w14:paraId="734FA1B8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8D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Zápis v OR: </w:t>
            </w:r>
            <w:r w:rsidRPr="00E80DEE">
              <w:rPr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283" w14:textId="2402B481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Krajský soud v Ostravě, </w:t>
            </w:r>
            <w:proofErr w:type="spellStart"/>
            <w:r w:rsidRPr="00E80DEE">
              <w:rPr>
                <w:sz w:val="22"/>
                <w:szCs w:val="22"/>
              </w:rPr>
              <w:t>sp</w:t>
            </w:r>
            <w:proofErr w:type="spellEnd"/>
            <w:r w:rsidRPr="00E80DEE">
              <w:rPr>
                <w:sz w:val="22"/>
                <w:szCs w:val="22"/>
              </w:rPr>
              <w:t>. zn. B 10060</w:t>
            </w:r>
          </w:p>
        </w:tc>
      </w:tr>
      <w:tr w:rsidR="00E80DEE" w:rsidRPr="00E80DEE" w14:paraId="2AC0314B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0A5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Bankovní spojení: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12" w14:textId="4E066C70" w:rsidR="00E80DEE" w:rsidRPr="00E80DEE" w:rsidRDefault="00543411" w:rsidP="00D434ED">
            <w:pPr>
              <w:jc w:val="both"/>
              <w:rPr>
                <w:sz w:val="22"/>
                <w:szCs w:val="22"/>
              </w:rPr>
            </w:pPr>
            <w:proofErr w:type="spellStart"/>
            <w:r w:rsidRPr="009941AE">
              <w:rPr>
                <w:sz w:val="22"/>
                <w:szCs w:val="22"/>
                <w:highlight w:val="black"/>
              </w:rPr>
              <w:t>xxxxx</w:t>
            </w:r>
            <w:bookmarkStart w:id="0" w:name="_GoBack"/>
            <w:bookmarkEnd w:id="0"/>
            <w:proofErr w:type="spellEnd"/>
          </w:p>
        </w:tc>
      </w:tr>
      <w:tr w:rsidR="00E80DEE" w:rsidRPr="00E80DEE" w14:paraId="6F5B3DF6" w14:textId="77777777" w:rsidTr="00D434ED">
        <w:trPr>
          <w:trHeight w:val="59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D7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0765" w14:textId="43865978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Ing. Romanem Lžičařem, </w:t>
            </w:r>
            <w:r>
              <w:rPr>
                <w:sz w:val="22"/>
                <w:szCs w:val="22"/>
              </w:rPr>
              <w:t>předsedou představenstva</w:t>
            </w:r>
          </w:p>
          <w:p w14:paraId="0D076285" w14:textId="1AFCC7CB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Ing. Petrem Foukalem, </w:t>
            </w:r>
            <w:r>
              <w:rPr>
                <w:sz w:val="22"/>
                <w:szCs w:val="22"/>
              </w:rPr>
              <w:t>místopředsedou představenstva</w:t>
            </w:r>
          </w:p>
        </w:tc>
      </w:tr>
      <w:tr w:rsidR="00E80DEE" w:rsidRPr="00E80DEE" w14:paraId="310A5D2A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8A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prodávající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  <w:tr w:rsidR="00E80DEE" w:rsidRPr="00E80DEE" w14:paraId="543D9C05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450" w14:textId="08CC50E8" w:rsidR="00E80DEE" w:rsidRPr="00E80DEE" w:rsidRDefault="00524541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A</w:t>
            </w:r>
          </w:p>
        </w:tc>
      </w:tr>
      <w:tr w:rsidR="00E80DEE" w:rsidRPr="00E80DEE" w14:paraId="43D2FDA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8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 / jméno: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C9" w14:textId="0E0E7839" w:rsidR="00E80DEE" w:rsidRPr="00E80DEE" w:rsidRDefault="0017637B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VFU BRNO ŠZP NOVÝ JIČÍN</w:t>
            </w:r>
          </w:p>
        </w:tc>
      </w:tr>
      <w:tr w:rsidR="00E80DEE" w:rsidRPr="00E80DEE" w14:paraId="003329E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AA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BF" w14:textId="3A0D4F4C" w:rsidR="00E80DEE" w:rsidRPr="00E80DEE" w:rsidRDefault="005D2621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Krásnohorské</w:t>
            </w:r>
            <w:r w:rsidR="0017637B">
              <w:rPr>
                <w:sz w:val="22"/>
                <w:szCs w:val="22"/>
              </w:rPr>
              <w:t xml:space="preserve"> 178, 742 42 Šenov u Nového Jičína</w:t>
            </w:r>
          </w:p>
        </w:tc>
      </w:tr>
      <w:tr w:rsidR="00E80DEE" w:rsidRPr="00E80DEE" w14:paraId="7F8BC0B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BB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EA2" w14:textId="22D45746" w:rsidR="00E80DEE" w:rsidRPr="00E80DEE" w:rsidRDefault="0017637B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62157124</w:t>
            </w:r>
          </w:p>
        </w:tc>
      </w:tr>
      <w:tr w:rsidR="00E80DEE" w:rsidRPr="00E80DEE" w14:paraId="16785B4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91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FB" w14:textId="4724CC34" w:rsidR="00E80DEE" w:rsidRPr="00E80DEE" w:rsidRDefault="0017637B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CZ62157124</w:t>
            </w:r>
          </w:p>
        </w:tc>
      </w:tr>
      <w:tr w:rsidR="00E80DEE" w:rsidRPr="00E80DEE" w14:paraId="199C6C8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3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Zápis v OR: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39B" w14:textId="3B3BEC11" w:rsidR="00E80DEE" w:rsidRPr="00E80DEE" w:rsidRDefault="0017637B" w:rsidP="00D434ED">
            <w:pPr>
              <w:jc w:val="both"/>
              <w:rPr>
                <w:sz w:val="22"/>
                <w:szCs w:val="22"/>
              </w:rPr>
            </w:pPr>
            <w:r>
              <w:t xml:space="preserve">VFU Brno ŠZP Nový Jičín zřízen dle zákona 111/98 Sb. a statutu VFU Brno </w:t>
            </w:r>
            <w:proofErr w:type="spellStart"/>
            <w:proofErr w:type="gramStart"/>
            <w:r>
              <w:t>reg</w:t>
            </w:r>
            <w:proofErr w:type="gramEnd"/>
            <w:r>
              <w:t>.</w:t>
            </w:r>
            <w:proofErr w:type="gramStart"/>
            <w:r>
              <w:t>číslo</w:t>
            </w:r>
            <w:proofErr w:type="spellEnd"/>
            <w:proofErr w:type="gramEnd"/>
            <w:r>
              <w:t xml:space="preserve"> 21569/99-30</w:t>
            </w:r>
          </w:p>
        </w:tc>
      </w:tr>
      <w:tr w:rsidR="00E80DEE" w:rsidRPr="00E80DEE" w14:paraId="5DA0A6FE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027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BE" w14:textId="7C05B30F" w:rsidR="00E80DEE" w:rsidRPr="00E80DEE" w:rsidRDefault="0017637B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Radek Haas, ředitel podniku</w:t>
            </w:r>
          </w:p>
        </w:tc>
      </w:tr>
      <w:tr w:rsidR="00E80DEE" w:rsidRPr="00E80DEE" w14:paraId="02DFC381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75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kupující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</w:tbl>
    <w:p w14:paraId="5D5BE1BC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8EFDA25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I. Základní ustanovení</w:t>
      </w:r>
    </w:p>
    <w:p w14:paraId="149076B1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  <w:r w:rsidRPr="00E80DEE">
        <w:rPr>
          <w:b/>
          <w:sz w:val="22"/>
          <w:szCs w:val="22"/>
        </w:rPr>
        <w:t xml:space="preserve">Předmět koupě – zemědělský stroj </w:t>
      </w:r>
      <w:r w:rsidRPr="00E80DEE">
        <w:rPr>
          <w:sz w:val="22"/>
          <w:szCs w:val="22"/>
        </w:rPr>
        <w:t>(dále jen jako „</w:t>
      </w:r>
      <w:r w:rsidRPr="00E80DEE">
        <w:rPr>
          <w:b/>
          <w:sz w:val="22"/>
          <w:szCs w:val="22"/>
        </w:rPr>
        <w:t>předmět koupě</w:t>
      </w:r>
      <w:r w:rsidRPr="00E80DEE">
        <w:rPr>
          <w:sz w:val="22"/>
          <w:szCs w:val="22"/>
        </w:rPr>
        <w:t>“ nebo „</w:t>
      </w:r>
      <w:r w:rsidRPr="00E80DEE">
        <w:rPr>
          <w:b/>
          <w:sz w:val="22"/>
          <w:szCs w:val="22"/>
        </w:rPr>
        <w:t>stroj</w:t>
      </w:r>
      <w:r w:rsidRPr="00E80DEE">
        <w:rPr>
          <w:sz w:val="22"/>
          <w:szCs w:val="22"/>
        </w:rPr>
        <w:t>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01"/>
      </w:tblGrid>
      <w:tr w:rsidR="00E80DEE" w:rsidRPr="00E80DEE" w14:paraId="28DC27CE" w14:textId="77777777" w:rsidTr="005B6628">
        <w:tc>
          <w:tcPr>
            <w:tcW w:w="2835" w:type="dxa"/>
            <w:shd w:val="clear" w:color="auto" w:fill="auto"/>
          </w:tcPr>
          <w:p w14:paraId="05260F17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počet</w:t>
            </w:r>
          </w:p>
        </w:tc>
        <w:tc>
          <w:tcPr>
            <w:tcW w:w="6401" w:type="dxa"/>
            <w:shd w:val="clear" w:color="auto" w:fill="auto"/>
          </w:tcPr>
          <w:p w14:paraId="201D8DF8" w14:textId="2370DBCD" w:rsidR="00E80DEE" w:rsidRPr="00E80DEE" w:rsidRDefault="005B6628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80DEE" w:rsidRPr="00E80DEE" w14:paraId="7D01CB16" w14:textId="77777777" w:rsidTr="005B6628">
        <w:tc>
          <w:tcPr>
            <w:tcW w:w="2835" w:type="dxa"/>
            <w:shd w:val="clear" w:color="auto" w:fill="auto"/>
          </w:tcPr>
          <w:p w14:paraId="20EFD2F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tovární značka</w:t>
            </w:r>
          </w:p>
        </w:tc>
        <w:tc>
          <w:tcPr>
            <w:tcW w:w="6401" w:type="dxa"/>
            <w:shd w:val="clear" w:color="auto" w:fill="auto"/>
          </w:tcPr>
          <w:p w14:paraId="2B7D325C" w14:textId="65107DF3" w:rsidR="00E80DEE" w:rsidRPr="00E80DEE" w:rsidRDefault="005B6628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Molčík</w:t>
            </w:r>
          </w:p>
        </w:tc>
      </w:tr>
      <w:tr w:rsidR="00E80DEE" w:rsidRPr="00E80DEE" w14:paraId="22295FE7" w14:textId="77777777" w:rsidTr="005B6628">
        <w:tc>
          <w:tcPr>
            <w:tcW w:w="2835" w:type="dxa"/>
            <w:shd w:val="clear" w:color="auto" w:fill="auto"/>
          </w:tcPr>
          <w:p w14:paraId="48D8F8C3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model, typ</w:t>
            </w:r>
          </w:p>
        </w:tc>
        <w:tc>
          <w:tcPr>
            <w:tcW w:w="6401" w:type="dxa"/>
            <w:shd w:val="clear" w:color="auto" w:fill="auto"/>
          </w:tcPr>
          <w:p w14:paraId="46CC2EBA" w14:textId="7FE00B8E" w:rsidR="00E80DEE" w:rsidRPr="00E80DEE" w:rsidRDefault="005B6628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PBS 18000</w:t>
            </w:r>
          </w:p>
        </w:tc>
      </w:tr>
      <w:tr w:rsidR="00E80DEE" w:rsidRPr="00E80DEE" w14:paraId="04F73369" w14:textId="77777777" w:rsidTr="005B6628">
        <w:tc>
          <w:tcPr>
            <w:tcW w:w="2835" w:type="dxa"/>
            <w:shd w:val="clear" w:color="auto" w:fill="auto"/>
          </w:tcPr>
          <w:p w14:paraId="3735AFA2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vybavení</w:t>
            </w:r>
          </w:p>
        </w:tc>
        <w:tc>
          <w:tcPr>
            <w:tcW w:w="6401" w:type="dxa"/>
            <w:shd w:val="clear" w:color="auto" w:fill="auto"/>
          </w:tcPr>
          <w:p w14:paraId="219FA7DB" w14:textId="0912A7A8" w:rsidR="00E80DEE" w:rsidRPr="00E80DEE" w:rsidRDefault="005B6628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Zábrany na balíky, skříňka na nářadí</w:t>
            </w:r>
          </w:p>
        </w:tc>
      </w:tr>
      <w:tr w:rsidR="00E80DEE" w:rsidRPr="00E80DEE" w14:paraId="245D4CE7" w14:textId="77777777" w:rsidTr="005B6628">
        <w:tc>
          <w:tcPr>
            <w:tcW w:w="2835" w:type="dxa"/>
            <w:shd w:val="clear" w:color="auto" w:fill="auto"/>
          </w:tcPr>
          <w:p w14:paraId="1A7BF520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příslušenství</w:t>
            </w:r>
          </w:p>
        </w:tc>
        <w:tc>
          <w:tcPr>
            <w:tcW w:w="6401" w:type="dxa"/>
            <w:shd w:val="clear" w:color="auto" w:fill="auto"/>
          </w:tcPr>
          <w:p w14:paraId="20778606" w14:textId="79DF001D" w:rsidR="00E80DEE" w:rsidRPr="00E80DEE" w:rsidRDefault="005B6628" w:rsidP="00D434ED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Pneu</w:t>
            </w:r>
            <w:proofErr w:type="spellEnd"/>
            <w:r>
              <w:rPr>
                <w:i/>
                <w:sz w:val="22"/>
                <w:szCs w:val="22"/>
              </w:rPr>
              <w:t xml:space="preserve"> 18 plátna</w:t>
            </w:r>
          </w:p>
        </w:tc>
      </w:tr>
      <w:tr w:rsidR="00E80DEE" w:rsidRPr="00E80DEE" w14:paraId="4250D013" w14:textId="77777777" w:rsidTr="005B6628">
        <w:tc>
          <w:tcPr>
            <w:tcW w:w="2835" w:type="dxa"/>
            <w:shd w:val="clear" w:color="auto" w:fill="auto"/>
          </w:tcPr>
          <w:p w14:paraId="2A5C00A7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související dokumentace</w:t>
            </w:r>
          </w:p>
        </w:tc>
        <w:tc>
          <w:tcPr>
            <w:tcW w:w="6401" w:type="dxa"/>
            <w:shd w:val="clear" w:color="auto" w:fill="auto"/>
          </w:tcPr>
          <w:p w14:paraId="2691CC21" w14:textId="7AD140EC" w:rsidR="00E80DEE" w:rsidRPr="00E80DEE" w:rsidRDefault="00E80DEE" w:rsidP="00D434ED">
            <w:pPr>
              <w:jc w:val="both"/>
              <w:rPr>
                <w:i/>
                <w:sz w:val="22"/>
                <w:szCs w:val="22"/>
              </w:rPr>
            </w:pPr>
            <w:r w:rsidRPr="00E80DEE">
              <w:rPr>
                <w:i/>
                <w:sz w:val="22"/>
                <w:szCs w:val="22"/>
              </w:rPr>
              <w:t>T</w:t>
            </w:r>
            <w:r w:rsidR="005B6628">
              <w:rPr>
                <w:i/>
                <w:sz w:val="22"/>
                <w:szCs w:val="22"/>
              </w:rPr>
              <w:t>echnický průkaz, předávací protokol, záruční list</w:t>
            </w:r>
          </w:p>
        </w:tc>
      </w:tr>
    </w:tbl>
    <w:p w14:paraId="314B4AAF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07CF6FD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 xml:space="preserve">Kupní cena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095"/>
        <w:gridCol w:w="3527"/>
      </w:tblGrid>
      <w:tr w:rsidR="00E80DEE" w:rsidRPr="00E80DEE" w14:paraId="5A87FAFC" w14:textId="77777777" w:rsidTr="00D434ED">
        <w:tc>
          <w:tcPr>
            <w:tcW w:w="2977" w:type="dxa"/>
            <w:shd w:val="clear" w:color="auto" w:fill="auto"/>
          </w:tcPr>
          <w:p w14:paraId="451C1277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kupní cena bez DPH</w:t>
            </w:r>
          </w:p>
        </w:tc>
        <w:tc>
          <w:tcPr>
            <w:tcW w:w="3260" w:type="dxa"/>
            <w:shd w:val="clear" w:color="auto" w:fill="auto"/>
          </w:tcPr>
          <w:p w14:paraId="60FD2ECD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3717" w:type="dxa"/>
            <w:shd w:val="clear" w:color="auto" w:fill="auto"/>
          </w:tcPr>
          <w:p w14:paraId="6BF96AED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kupní cena celkem</w:t>
            </w:r>
          </w:p>
        </w:tc>
      </w:tr>
      <w:tr w:rsidR="00E80DEE" w:rsidRPr="00E80DEE" w14:paraId="032B65D9" w14:textId="77777777" w:rsidTr="00D434ED">
        <w:tc>
          <w:tcPr>
            <w:tcW w:w="2977" w:type="dxa"/>
            <w:shd w:val="clear" w:color="auto" w:fill="auto"/>
          </w:tcPr>
          <w:p w14:paraId="2DB47D2D" w14:textId="2068A325" w:rsidR="00E80DEE" w:rsidRPr="00E80DEE" w:rsidRDefault="005B6628" w:rsidP="00D434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340.000,-</w:t>
            </w:r>
          </w:p>
        </w:tc>
        <w:tc>
          <w:tcPr>
            <w:tcW w:w="3260" w:type="dxa"/>
            <w:shd w:val="clear" w:color="auto" w:fill="auto"/>
          </w:tcPr>
          <w:p w14:paraId="0032E2D8" w14:textId="5FE5294E" w:rsidR="00E80DEE" w:rsidRPr="00E80DEE" w:rsidRDefault="005B6628" w:rsidP="00D434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71.400,-</w:t>
            </w:r>
          </w:p>
        </w:tc>
        <w:tc>
          <w:tcPr>
            <w:tcW w:w="3717" w:type="dxa"/>
            <w:shd w:val="clear" w:color="auto" w:fill="auto"/>
          </w:tcPr>
          <w:p w14:paraId="3B35347D" w14:textId="756E79D0" w:rsidR="00E80DEE" w:rsidRPr="00E80DEE" w:rsidRDefault="005B6628" w:rsidP="005B6628">
            <w:pPr>
              <w:tabs>
                <w:tab w:val="left" w:pos="11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411.400,-</w:t>
            </w:r>
          </w:p>
        </w:tc>
      </w:tr>
    </w:tbl>
    <w:p w14:paraId="32EEEDCE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1325C59E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Způsob úhrady a splatnost kupní ceny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001"/>
        <w:gridCol w:w="3436"/>
      </w:tblGrid>
      <w:tr w:rsidR="00E80DEE" w:rsidRPr="00E80DEE" w14:paraId="070DD3C8" w14:textId="77777777" w:rsidTr="005B6628">
        <w:tc>
          <w:tcPr>
            <w:tcW w:w="2799" w:type="dxa"/>
            <w:shd w:val="clear" w:color="auto" w:fill="auto"/>
          </w:tcPr>
          <w:p w14:paraId="2B1AF75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způsob úhrady</w:t>
            </w:r>
          </w:p>
        </w:tc>
        <w:tc>
          <w:tcPr>
            <w:tcW w:w="3001" w:type="dxa"/>
            <w:shd w:val="clear" w:color="auto" w:fill="auto"/>
          </w:tcPr>
          <w:p w14:paraId="448FC69B" w14:textId="7567BC56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částka v</w:t>
            </w:r>
            <w:r w:rsidR="00524541">
              <w:rPr>
                <w:b/>
                <w:sz w:val="22"/>
                <w:szCs w:val="22"/>
              </w:rPr>
              <w:t> </w:t>
            </w:r>
            <w:r w:rsidRPr="00E80DE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436" w:type="dxa"/>
            <w:shd w:val="clear" w:color="auto" w:fill="auto"/>
          </w:tcPr>
          <w:p w14:paraId="5AC307C4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splatnost</w:t>
            </w:r>
          </w:p>
        </w:tc>
      </w:tr>
      <w:tr w:rsidR="00E80DEE" w:rsidRPr="00E80DEE" w14:paraId="5DF53B5A" w14:textId="77777777" w:rsidTr="005B6628">
        <w:tc>
          <w:tcPr>
            <w:tcW w:w="2799" w:type="dxa"/>
            <w:shd w:val="clear" w:color="auto" w:fill="auto"/>
          </w:tcPr>
          <w:p w14:paraId="6F752948" w14:textId="503A8D0F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jednorázová platba</w:t>
            </w:r>
          </w:p>
        </w:tc>
        <w:tc>
          <w:tcPr>
            <w:tcW w:w="3001" w:type="dxa"/>
            <w:shd w:val="clear" w:color="auto" w:fill="auto"/>
          </w:tcPr>
          <w:p w14:paraId="7CBD91AF" w14:textId="0DFC1D97" w:rsidR="00E80DEE" w:rsidRPr="00E80DEE" w:rsidRDefault="00600FC0" w:rsidP="00600FC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</w:t>
            </w:r>
            <w:r w:rsidR="00B059C1">
              <w:rPr>
                <w:b/>
                <w:sz w:val="22"/>
                <w:szCs w:val="22"/>
              </w:rPr>
              <w:t>.400,-</w:t>
            </w:r>
          </w:p>
        </w:tc>
        <w:tc>
          <w:tcPr>
            <w:tcW w:w="3436" w:type="dxa"/>
            <w:shd w:val="clear" w:color="auto" w:fill="auto"/>
          </w:tcPr>
          <w:p w14:paraId="0F8AE16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14 dnů od předání stroje</w:t>
            </w:r>
          </w:p>
        </w:tc>
      </w:tr>
    </w:tbl>
    <w:p w14:paraId="23F2C1DD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30410C8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613"/>
      </w:tblGrid>
      <w:tr w:rsidR="00E80DEE" w:rsidRPr="00E80DEE" w14:paraId="2FD87977" w14:textId="77777777" w:rsidTr="00D434ED">
        <w:tc>
          <w:tcPr>
            <w:tcW w:w="2977" w:type="dxa"/>
            <w:shd w:val="clear" w:color="auto" w:fill="auto"/>
          </w:tcPr>
          <w:p w14:paraId="3E0485CC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Termín dodání stroje</w:t>
            </w:r>
          </w:p>
        </w:tc>
        <w:tc>
          <w:tcPr>
            <w:tcW w:w="6977" w:type="dxa"/>
            <w:shd w:val="clear" w:color="auto" w:fill="auto"/>
          </w:tcPr>
          <w:p w14:paraId="4E8DC557" w14:textId="16DA68A2" w:rsidR="00E80DEE" w:rsidRPr="00E80DEE" w:rsidRDefault="000D2D53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proofErr w:type="gramStart"/>
            <w:r>
              <w:rPr>
                <w:sz w:val="22"/>
                <w:szCs w:val="22"/>
              </w:rPr>
              <w:t>30.4.2019</w:t>
            </w:r>
            <w:proofErr w:type="gramEnd"/>
          </w:p>
        </w:tc>
      </w:tr>
      <w:tr w:rsidR="00E80DEE" w:rsidRPr="00E80DEE" w14:paraId="0F4F8F6A" w14:textId="77777777" w:rsidTr="00D434ED">
        <w:tc>
          <w:tcPr>
            <w:tcW w:w="2977" w:type="dxa"/>
            <w:shd w:val="clear" w:color="auto" w:fill="auto"/>
          </w:tcPr>
          <w:p w14:paraId="1EB8A26C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Místo dodání</w:t>
            </w:r>
          </w:p>
        </w:tc>
        <w:tc>
          <w:tcPr>
            <w:tcW w:w="6977" w:type="dxa"/>
            <w:shd w:val="clear" w:color="auto" w:fill="auto"/>
          </w:tcPr>
          <w:p w14:paraId="2C3BDB0F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 kupujícího</w:t>
            </w:r>
          </w:p>
        </w:tc>
      </w:tr>
    </w:tbl>
    <w:p w14:paraId="7A3D9B7D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6CFAD6C3" w14:textId="77777777" w:rsidR="005B6628" w:rsidRDefault="005B6628" w:rsidP="00E80DEE">
      <w:pPr>
        <w:spacing w:after="120"/>
        <w:jc w:val="center"/>
        <w:rPr>
          <w:b/>
          <w:sz w:val="22"/>
          <w:szCs w:val="22"/>
        </w:rPr>
      </w:pPr>
    </w:p>
    <w:p w14:paraId="443B51CD" w14:textId="189D9BC7" w:rsidR="00E80DEE" w:rsidRPr="00E80DEE" w:rsidRDefault="00E80DEE" w:rsidP="00E80DEE">
      <w:pPr>
        <w:spacing w:after="120"/>
        <w:jc w:val="center"/>
        <w:rPr>
          <w:sz w:val="22"/>
          <w:szCs w:val="22"/>
        </w:rPr>
      </w:pPr>
      <w:r w:rsidRPr="00E80DEE">
        <w:rPr>
          <w:b/>
          <w:sz w:val="22"/>
          <w:szCs w:val="22"/>
        </w:rPr>
        <w:t>II. Předmět smlouvy</w:t>
      </w:r>
    </w:p>
    <w:p w14:paraId="32BE0A7A" w14:textId="77777777" w:rsidR="00E80DEE" w:rsidRPr="00E80DEE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touto smlouvou zavazuje, že kupujícímu odevzdá předmět koupě, včetně jeho vybavení, příslušenství a související dokumentace, a umožní mu nabýt vlastnické právo k němu, a kupující se zavazuje předmět koupě převzít a zaplatit prodávajícímu kupní cenu.</w:t>
      </w:r>
    </w:p>
    <w:p w14:paraId="3FA4BE77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E2BB466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lastRenderedPageBreak/>
        <w:t>III. Kupní cena a způsob její úhrady</w:t>
      </w:r>
    </w:p>
    <w:p w14:paraId="5DB46660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Je-li ujednána úhrada zálohy kupní ceny splatná ke dni uzavření smlouvy, potvrzují smluvní strany podpisem této smlouvy její úhradu.</w:t>
      </w:r>
    </w:p>
    <w:p w14:paraId="6CC848FD" w14:textId="745D8DFD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zaplatí kupní cenou jednorázovou platbou bezhotovostním převodem na bankovní účet prodávajícího uvedený v hlavičce této smlouvy, a to na základě daňového dokladu (faktury) vystaveného prodávajícím. Den předání stroje kupujícímu je datem poskytnutí zdanitelného plnění.</w:t>
      </w:r>
    </w:p>
    <w:p w14:paraId="4D725462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se stává vlastníkem předmětu koupě až úplným zaplacením kupní ceny. Nebezpečí škody na předmětu koupě na kupujícího přechází okamžikem jeho převzetí.</w:t>
      </w:r>
    </w:p>
    <w:p w14:paraId="65641698" w14:textId="77777777" w:rsidR="009A106E" w:rsidRDefault="009A106E" w:rsidP="00E80DEE">
      <w:pPr>
        <w:spacing w:after="120"/>
        <w:jc w:val="center"/>
        <w:rPr>
          <w:b/>
          <w:sz w:val="22"/>
          <w:szCs w:val="22"/>
        </w:rPr>
      </w:pPr>
    </w:p>
    <w:p w14:paraId="6B25D1C6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IV.  Práva a povinnosti smluvních stran</w:t>
      </w:r>
    </w:p>
    <w:p w14:paraId="446A2430" w14:textId="3DB8EED9" w:rsidR="00E80DEE" w:rsidRPr="000D2D53" w:rsidRDefault="00E80DEE" w:rsidP="000D2D53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tímto výslovně bere na vědomí, že sjednaný termín dodání předmětu koupě je předběžný a může být s ohledem na kapacitní možnosti výrobce změněn. O případné změně termínu dodání prodávající kupujícího informuje bez zbytečného odkladu po zjištění této skutečnosti. Zdržení s předáním předmětu koupě kupujícímu z důvodů na straně výrobce nebude považováno za prodlení prodávajícího se splněním jeho povinnost předat předmět koupě kupujícímu ve sjednaném termínu.</w:t>
      </w:r>
      <w:r w:rsidRPr="000D2D53">
        <w:t xml:space="preserve"> </w:t>
      </w:r>
    </w:p>
    <w:p w14:paraId="36FB2FE9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je povinen seznámit se se všemi doklady vztahujícími se ke stroji (a jeho provozu) a seznámit se se způsobem jeho užívání.</w:t>
      </w:r>
    </w:p>
    <w:p w14:paraId="5D69DBC1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V případě prodlení s úhradou kupní ceny je kupující povinen uhradit prodávajícímu smluvní úrok z prodlení ve výši 0,05 % z dlužné částky denně až do úplného uhrazení.</w:t>
      </w:r>
    </w:p>
    <w:p w14:paraId="41205A59" w14:textId="3FCD444A" w:rsid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V případě prodlení kupujícího s úhradou kupní ceny delšího než </w:t>
      </w:r>
      <w:r w:rsidR="00EA43AD">
        <w:rPr>
          <w:rFonts w:ascii="Times New Roman" w:hAnsi="Times New Roman"/>
        </w:rPr>
        <w:t>20</w:t>
      </w:r>
      <w:r w:rsidRPr="00E80DEE">
        <w:rPr>
          <w:rFonts w:ascii="Times New Roman" w:hAnsi="Times New Roman"/>
        </w:rPr>
        <w:t xml:space="preserve"> dnů je prodávající oprávněn požadovat po kupujícím smluvní pokutu ve výši 10 % kupní ceny. Smluvní strany vylučují použití § 2050 občanského zákoníku; vedle práva na smluvní pokutu má prodávající právo na plnou náhradu škody vzniklé v důsledku prodlení kupujícího s úhradou kupní ceny delšího než </w:t>
      </w:r>
      <w:r w:rsidR="00EA43AD">
        <w:rPr>
          <w:rFonts w:ascii="Times New Roman" w:hAnsi="Times New Roman"/>
        </w:rPr>
        <w:t>20</w:t>
      </w:r>
      <w:r w:rsidRPr="00E80DEE">
        <w:rPr>
          <w:rFonts w:ascii="Times New Roman" w:hAnsi="Times New Roman"/>
        </w:rPr>
        <w:t xml:space="preserve"> dnů.</w:t>
      </w:r>
    </w:p>
    <w:p w14:paraId="1136DD01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je oprávněn od této smlouvy odstoupit v případě:</w:t>
      </w:r>
    </w:p>
    <w:p w14:paraId="00C92C95" w14:textId="77777777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5EC27C10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b) prodlení kupujícího s úhrado</w:t>
      </w:r>
      <w:r w:rsidR="00683125">
        <w:rPr>
          <w:rFonts w:ascii="Times New Roman" w:hAnsi="Times New Roman"/>
        </w:rPr>
        <w:t>u kupní ceny po dobu delší než 2</w:t>
      </w:r>
      <w:r w:rsidRPr="00E80DEE">
        <w:rPr>
          <w:rFonts w:ascii="Times New Roman" w:hAnsi="Times New Roman"/>
        </w:rPr>
        <w:t>0 dní.</w:t>
      </w:r>
    </w:p>
    <w:p w14:paraId="23A46879" w14:textId="77777777" w:rsidR="00E80DEE" w:rsidRPr="00E80DEE" w:rsidRDefault="00E80DEE" w:rsidP="00E80DEE">
      <w:pPr>
        <w:pStyle w:val="Odstavecseseznamem"/>
        <w:spacing w:after="120"/>
        <w:ind w:left="426" w:hanging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ab/>
        <w:t>Odstoupení je účinné okamžikem jeho doručení kupujícímu.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7548A79F" w14:textId="0A090C3E" w:rsidR="00E80DEE" w:rsidRPr="00E80DEE" w:rsidRDefault="00E80DEE" w:rsidP="000D2D53">
      <w:pPr>
        <w:pStyle w:val="Odstavecseseznamem"/>
        <w:spacing w:after="120"/>
        <w:ind w:left="426"/>
        <w:contextualSpacing w:val="0"/>
        <w:rPr>
          <w:rFonts w:ascii="Times New Roman" w:hAnsi="Times New Roman"/>
        </w:rPr>
      </w:pPr>
    </w:p>
    <w:p w14:paraId="3E4C5D4F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V.  Záruční podmínky</w:t>
      </w:r>
    </w:p>
    <w:p w14:paraId="12A4622A" w14:textId="77777777" w:rsidR="00E80DEE" w:rsidRPr="00E80DEE" w:rsidRDefault="00E80DEE" w:rsidP="00E80DEE">
      <w:pPr>
        <w:pStyle w:val="Odstavecseseznamem"/>
        <w:numPr>
          <w:ilvl w:val="1"/>
          <w:numId w:val="26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zavazuje na základě operativních objednávek kupujícího provádět úplatně a bezúplatně dle podmínek svých či výrobce záruční i pozáruční servis, prohlídky a opravy.</w:t>
      </w:r>
    </w:p>
    <w:p w14:paraId="5213AC08" w14:textId="5338A508" w:rsidR="00E80DEE" w:rsidRPr="000D2D53" w:rsidRDefault="00E80DEE" w:rsidP="00E80DEE">
      <w:pPr>
        <w:pStyle w:val="Odstavecseseznamem"/>
        <w:numPr>
          <w:ilvl w:val="1"/>
          <w:numId w:val="26"/>
        </w:numPr>
        <w:spacing w:after="120"/>
        <w:ind w:left="426" w:hanging="426"/>
        <w:contextualSpacing w:val="0"/>
      </w:pPr>
      <w:r w:rsidRPr="00E80DEE">
        <w:rPr>
          <w:rFonts w:ascii="Times New Roman" w:hAnsi="Times New Roman"/>
        </w:rPr>
        <w:t>Prodávající poskytuje na předmět koupě záruku za jakost v délce 12 měsíců</w:t>
      </w:r>
      <w:r w:rsidR="000D2D53">
        <w:rPr>
          <w:rFonts w:ascii="Times New Roman" w:hAnsi="Times New Roman"/>
        </w:rPr>
        <w:t>.</w:t>
      </w:r>
      <w:r w:rsidRPr="00E80DEE">
        <w:rPr>
          <w:rFonts w:ascii="Times New Roman" w:hAnsi="Times New Roman"/>
        </w:rPr>
        <w:t xml:space="preserve"> </w:t>
      </w:r>
    </w:p>
    <w:p w14:paraId="7FC5ADA3" w14:textId="77777777" w:rsidR="000D2D53" w:rsidRDefault="000D2D53" w:rsidP="00E80DEE">
      <w:pPr>
        <w:spacing w:after="120"/>
        <w:jc w:val="center"/>
        <w:rPr>
          <w:b/>
          <w:sz w:val="22"/>
          <w:szCs w:val="22"/>
        </w:rPr>
      </w:pPr>
    </w:p>
    <w:p w14:paraId="57BB933C" w14:textId="1BF0CBC3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VI.  Společná a závěrečná ustanovení</w:t>
      </w:r>
    </w:p>
    <w:p w14:paraId="520C46F4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3C0AD688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omezují právo kupujícího na náhradu škody způsobené neúmyslně kupujícímu na maximálně 10% kupní ceny.</w:t>
      </w:r>
    </w:p>
    <w:p w14:paraId="06D4FBB9" w14:textId="29A21450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Doručování písemností mezi stranami bude probíhat vždy na adresu uvedenou v</w:t>
      </w:r>
      <w:r w:rsidR="00860CAE">
        <w:rPr>
          <w:rFonts w:ascii="Times New Roman" w:hAnsi="Times New Roman"/>
        </w:rPr>
        <w:t>  této smlouvě</w:t>
      </w:r>
      <w:r w:rsidR="009A106E">
        <w:rPr>
          <w:rFonts w:ascii="Times New Roman" w:hAnsi="Times New Roman"/>
        </w:rPr>
        <w:t>.</w:t>
      </w:r>
      <w:r w:rsidRPr="00E80DEE">
        <w:rPr>
          <w:rFonts w:ascii="Times New Roman" w:hAnsi="Times New Roman"/>
        </w:rPr>
        <w:t xml:space="preserve"> V případě zaslání písemnosti doporučeným podpisem prostřednictvím poskytovatele poštovních služeb Česká pošta </w:t>
      </w:r>
      <w:proofErr w:type="spellStart"/>
      <w:proofErr w:type="gramStart"/>
      <w:r w:rsidRPr="00E80DEE">
        <w:rPr>
          <w:rFonts w:ascii="Times New Roman" w:hAnsi="Times New Roman"/>
        </w:rPr>
        <w:t>s.p</w:t>
      </w:r>
      <w:proofErr w:type="spellEnd"/>
      <w:r w:rsidRPr="00E80DEE">
        <w:rPr>
          <w:rFonts w:ascii="Times New Roman" w:hAnsi="Times New Roman"/>
        </w:rPr>
        <w:t>.</w:t>
      </w:r>
      <w:proofErr w:type="gramEnd"/>
      <w:r w:rsidRPr="00E80DEE">
        <w:rPr>
          <w:rFonts w:ascii="Times New Roman" w:hAnsi="Times New Roman"/>
        </w:rPr>
        <w:t xml:space="preserve"> se smluvní strany dohodly, že takováto písemnost se považuje za doručenou nejpozději pátým dnem od odeslání na adresu sídla smluvní strany.</w:t>
      </w:r>
    </w:p>
    <w:p w14:paraId="33C9934B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lastRenderedPageBreak/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572468BB" w14:textId="105DB83B" w:rsidR="00E80DEE" w:rsidRPr="00E80DEE" w:rsidRDefault="00E80DEE" w:rsidP="00E80DEE">
      <w:pPr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  <w:shd w:val="clear" w:color="auto" w:fill="FFFFFF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Více informací o zpracování osobních údajů prováděného ze strany prodávajícího, včetně práv z toho vyplývajících pro kupujícího, je k dispozici na webových stránkách prodávajícího </w:t>
      </w:r>
      <w:r w:rsidRPr="00E80DEE">
        <w:rPr>
          <w:sz w:val="22"/>
          <w:szCs w:val="22"/>
        </w:rPr>
        <w:t>www.</w:t>
      </w:r>
      <w:r w:rsidR="000D2D53">
        <w:rPr>
          <w:sz w:val="22"/>
          <w:szCs w:val="22"/>
        </w:rPr>
        <w:t>agrotechnicmoravia</w:t>
      </w:r>
      <w:r w:rsidRPr="00E80DEE">
        <w:rPr>
          <w:sz w:val="22"/>
          <w:szCs w:val="22"/>
        </w:rPr>
        <w:t>.cz</w:t>
      </w:r>
      <w:r w:rsidRPr="00E80DEE">
        <w:rPr>
          <w:sz w:val="22"/>
          <w:szCs w:val="22"/>
          <w:shd w:val="clear" w:color="auto" w:fill="FFFFFF"/>
        </w:rPr>
        <w:t xml:space="preserve"> v dokumentu „Informace o zpracování osobních údajů“.</w:t>
      </w:r>
    </w:p>
    <w:p w14:paraId="2AD2A886" w14:textId="77777777" w:rsidR="00E80DEE" w:rsidRPr="00E80DEE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</w:rPr>
        <w:t>Smluvní strany prohlašují, že jsou podnikateli a tuto smlouvu uzavírají při své podnikatelské činnosti. Smluvní strany vylučují použití ustanovení § 1793, § 1799 a § 1800 občanského zákoníku.</w:t>
      </w:r>
    </w:p>
    <w:p w14:paraId="6E97E74E" w14:textId="77777777" w:rsidR="00E80DEE" w:rsidRPr="00E80DEE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</w:rPr>
        <w:t>Smluvní strany vylučují použití právních domněnek uvedených v ustanovení § 1949 odst. 1 a § 1950 občanského zákoníku.</w:t>
      </w:r>
    </w:p>
    <w:p w14:paraId="5491983E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Tato smlouva je sepsána ve dvou stejnopisech, z nichž každá ze stran obdrží po jednom. Každý stejnopis má platnost originálu.</w:t>
      </w:r>
    </w:p>
    <w:p w14:paraId="05DB3AE9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66FB66A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49F20985" w14:textId="77777777" w:rsidR="009A106E" w:rsidRDefault="009A106E" w:rsidP="00E80DEE">
      <w:pPr>
        <w:spacing w:after="120"/>
        <w:rPr>
          <w:sz w:val="22"/>
          <w:szCs w:val="22"/>
        </w:rPr>
      </w:pPr>
    </w:p>
    <w:p w14:paraId="49C87707" w14:textId="7F8C9AAE" w:rsidR="00E80DEE" w:rsidRPr="00E80DEE" w:rsidRDefault="000D2D53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V </w:t>
      </w:r>
      <w:r w:rsidR="00E80DEE">
        <w:rPr>
          <w:sz w:val="22"/>
          <w:szCs w:val="22"/>
        </w:rPr>
        <w:t>Olomouc</w:t>
      </w:r>
      <w:r>
        <w:rPr>
          <w:sz w:val="22"/>
          <w:szCs w:val="22"/>
        </w:rPr>
        <w:t xml:space="preserve">i dne </w:t>
      </w:r>
      <w:proofErr w:type="gramStart"/>
      <w:r>
        <w:rPr>
          <w:sz w:val="22"/>
          <w:szCs w:val="22"/>
        </w:rPr>
        <w:t>25.2.2019</w:t>
      </w:r>
      <w:proofErr w:type="gramEnd"/>
    </w:p>
    <w:p w14:paraId="2A8B353D" w14:textId="7777777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prodávající: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kupující:</w:t>
      </w:r>
    </w:p>
    <w:p w14:paraId="6DB8B9D8" w14:textId="77777777" w:rsidR="00E80DEE" w:rsidRDefault="00E80DEE" w:rsidP="00E80DEE">
      <w:pPr>
        <w:spacing w:after="120"/>
        <w:rPr>
          <w:sz w:val="22"/>
          <w:szCs w:val="22"/>
        </w:rPr>
      </w:pPr>
    </w:p>
    <w:p w14:paraId="647824D8" w14:textId="77777777" w:rsidR="009A106E" w:rsidRPr="00E80DEE" w:rsidRDefault="009A106E" w:rsidP="00E80DEE">
      <w:pPr>
        <w:spacing w:after="120"/>
        <w:rPr>
          <w:sz w:val="22"/>
          <w:szCs w:val="22"/>
        </w:rPr>
      </w:pPr>
    </w:p>
    <w:p w14:paraId="62BE783F" w14:textId="32D73811" w:rsid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…………………………………</w:t>
      </w:r>
    </w:p>
    <w:p w14:paraId="4017EE91" w14:textId="290E570F" w:rsidR="00E80DEE" w:rsidRPr="00E80DEE" w:rsidRDefault="00E80DEE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AGROTECHNIC MORAVIA a.s.</w:t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A106E">
        <w:rPr>
          <w:b/>
          <w:sz w:val="22"/>
          <w:szCs w:val="22"/>
        </w:rPr>
        <w:t xml:space="preserve"> </w:t>
      </w:r>
      <w:r w:rsidR="009A106E" w:rsidRPr="009A106E">
        <w:rPr>
          <w:b/>
          <w:sz w:val="22"/>
          <w:szCs w:val="22"/>
        </w:rPr>
        <w:t>VFU BRNO ŠZP NOVÝ JIČÍN</w:t>
      </w:r>
    </w:p>
    <w:p w14:paraId="7127F6CE" w14:textId="6690494D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Ing. Roman Lžičař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A106E">
        <w:rPr>
          <w:sz w:val="22"/>
          <w:szCs w:val="22"/>
        </w:rPr>
        <w:t xml:space="preserve">  Ing. Radek Haas</w:t>
      </w:r>
    </w:p>
    <w:p w14:paraId="602D7958" w14:textId="48590E47" w:rsidR="00E80DEE" w:rsidRPr="00E80DEE" w:rsidRDefault="00E80DEE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předseda představenstva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A106E">
        <w:rPr>
          <w:sz w:val="22"/>
          <w:szCs w:val="22"/>
        </w:rPr>
        <w:t xml:space="preserve">  ředitel podniku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2FC9284F" w14:textId="77777777" w:rsidR="00E80DEE" w:rsidRDefault="00E80DEE" w:rsidP="00E80DEE">
      <w:pPr>
        <w:spacing w:after="120"/>
        <w:rPr>
          <w:sz w:val="22"/>
          <w:szCs w:val="22"/>
        </w:rPr>
      </w:pPr>
    </w:p>
    <w:p w14:paraId="702A713F" w14:textId="77777777" w:rsidR="009A106E" w:rsidRPr="00E80DEE" w:rsidRDefault="009A106E" w:rsidP="00E80DEE">
      <w:pPr>
        <w:spacing w:after="120"/>
        <w:rPr>
          <w:sz w:val="22"/>
          <w:szCs w:val="22"/>
        </w:rPr>
      </w:pPr>
    </w:p>
    <w:p w14:paraId="531C3504" w14:textId="2CF4051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</w:p>
    <w:p w14:paraId="7C2ABDE1" w14:textId="4665EF4F" w:rsidR="00E80DEE" w:rsidRPr="00E80DEE" w:rsidRDefault="00E80DEE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AGROTECHNIC MORAVIA a.s.</w:t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</w:p>
    <w:p w14:paraId="0EC3625E" w14:textId="5005B2C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Ing. Petr Foukal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</w:p>
    <w:p w14:paraId="78A16CEA" w14:textId="1EA0161E" w:rsidR="00E80DEE" w:rsidRPr="00E80DEE" w:rsidRDefault="00E80DEE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místopředseda představenstva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7882E28E" w14:textId="23C77136" w:rsidR="005F68B7" w:rsidRPr="00E80DEE" w:rsidRDefault="005F68B7" w:rsidP="00FC092A">
      <w:pPr>
        <w:rPr>
          <w:sz w:val="22"/>
          <w:szCs w:val="22"/>
        </w:rPr>
      </w:pPr>
    </w:p>
    <w:sectPr w:rsidR="005F68B7" w:rsidRPr="00E80DEE" w:rsidSect="00BA7B7D">
      <w:headerReference w:type="default" r:id="rId12"/>
      <w:footerReference w:type="even" r:id="rId13"/>
      <w:footerReference w:type="default" r:id="rId14"/>
      <w:pgSz w:w="11906" w:h="16838" w:code="9"/>
      <w:pgMar w:top="1134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09BFC" w14:textId="77777777" w:rsidR="006B64FC" w:rsidRDefault="006B64FC">
      <w:r>
        <w:separator/>
      </w:r>
    </w:p>
  </w:endnote>
  <w:endnote w:type="continuationSeparator" w:id="0">
    <w:p w14:paraId="64B986FB" w14:textId="77777777" w:rsidR="006B64FC" w:rsidRDefault="006B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8" w14:textId="6A0041EB" w:rsidR="00B47C08" w:rsidRPr="0030358E" w:rsidRDefault="00C169E7" w:rsidP="00BA7B7D">
    <w:pPr>
      <w:pStyle w:val="Zpat"/>
      <w:ind w:right="360"/>
      <w:rPr>
        <w:rFonts w:ascii="Helvetica" w:hAnsi="Helvetica" w:cs="Helvetica"/>
      </w:rPr>
    </w:pPr>
    <w:r>
      <w:rPr>
        <w:rFonts w:ascii="Gill Sans MT" w:hAnsi="Gill Sans MT"/>
        <w:sz w:val="12"/>
        <w:szCs w:val="12"/>
      </w:rPr>
      <w:t xml:space="preserve"> </w:t>
    </w:r>
    <w:r w:rsidR="00BA7B7D">
      <w:rPr>
        <w:rFonts w:ascii="Gill Sans MT" w:hAnsi="Gill Sans MT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B34295">
      <w:rPr>
        <w:rFonts w:ascii="Gill Sans MT" w:hAnsi="Gill Sans MT"/>
        <w:sz w:val="12"/>
        <w:szCs w:val="12"/>
      </w:rPr>
      <w:t xml:space="preserve">           </w:t>
    </w:r>
    <w:r w:rsidR="00E80DEE" w:rsidRPr="00835DC6">
      <w:rPr>
        <w:rFonts w:ascii="Gill Sans MT" w:hAnsi="Gill Sans MT"/>
        <w:sz w:val="12"/>
        <w:szCs w:val="12"/>
      </w:rPr>
      <w:t>ATM-KS</w:t>
    </w:r>
    <w:r w:rsidR="00E80DEE">
      <w:rPr>
        <w:rFonts w:ascii="Gill Sans MT" w:hAnsi="Gill Sans MT"/>
        <w:sz w:val="12"/>
        <w:szCs w:val="12"/>
      </w:rPr>
      <w:t>-vzor-</w:t>
    </w:r>
    <w:r w:rsidR="00B34295">
      <w:rPr>
        <w:rFonts w:ascii="Gill Sans MT" w:hAnsi="Gill Sans MT"/>
        <w:sz w:val="12"/>
        <w:szCs w:val="12"/>
      </w:rPr>
      <w:t>20</w:t>
    </w:r>
    <w:r w:rsidR="00E80DEE">
      <w:rPr>
        <w:rFonts w:ascii="Gill Sans MT" w:hAnsi="Gill Sans MT"/>
        <w:sz w:val="12"/>
        <w:szCs w:val="12"/>
      </w:rPr>
      <w:t>18120</w:t>
    </w:r>
    <w:r w:rsidR="00B34295">
      <w:rPr>
        <w:rFonts w:ascii="Gill Sans MT" w:hAnsi="Gill Sans MT"/>
        <w:sz w:val="12"/>
        <w:szCs w:val="12"/>
      </w:rPr>
      <w:t>1</w:t>
    </w:r>
    <w:r w:rsidR="00E80DEE" w:rsidRPr="00835DC6">
      <w:rPr>
        <w:rFonts w:ascii="Gill Sans MT" w:hAnsi="Gill Sans MT"/>
        <w:sz w:val="14"/>
        <w:szCs w:val="14"/>
      </w:rPr>
      <w:t xml:space="preserve"> </w:t>
    </w:r>
    <w:r w:rsidR="00B34295">
      <w:rPr>
        <w:rFonts w:ascii="Gill Sans MT" w:hAnsi="Gill Sans MT"/>
        <w:sz w:val="14"/>
        <w:szCs w:val="14"/>
      </w:rPr>
      <w:t xml:space="preserve">    </w:t>
    </w:r>
    <w:r w:rsidR="00E80DEE" w:rsidRPr="00835DC6">
      <w:rPr>
        <w:rFonts w:ascii="Gill Sans MT" w:hAnsi="Gill Sans MT"/>
        <w:sz w:val="18"/>
        <w:szCs w:val="18"/>
      </w:rPr>
      <w:fldChar w:fldCharType="begin"/>
    </w:r>
    <w:r w:rsidR="00E80DEE" w:rsidRPr="00835DC6">
      <w:rPr>
        <w:rFonts w:ascii="Gill Sans MT" w:hAnsi="Gill Sans MT"/>
        <w:sz w:val="18"/>
        <w:szCs w:val="18"/>
      </w:rPr>
      <w:instrText>PAGE</w:instrText>
    </w:r>
    <w:r w:rsidR="00E80DEE" w:rsidRPr="00835DC6">
      <w:rPr>
        <w:rFonts w:ascii="Gill Sans MT" w:hAnsi="Gill Sans MT"/>
        <w:sz w:val="18"/>
        <w:szCs w:val="18"/>
      </w:rPr>
      <w:fldChar w:fldCharType="separate"/>
    </w:r>
    <w:r w:rsidR="009941AE">
      <w:rPr>
        <w:rFonts w:ascii="Gill Sans MT" w:hAnsi="Gill Sans MT"/>
        <w:noProof/>
        <w:sz w:val="18"/>
        <w:szCs w:val="18"/>
      </w:rPr>
      <w:t>2</w:t>
    </w:r>
    <w:r w:rsidR="00E80DEE" w:rsidRPr="00835DC6">
      <w:rPr>
        <w:rFonts w:ascii="Gill Sans MT" w:hAnsi="Gill Sans MT"/>
        <w:sz w:val="18"/>
        <w:szCs w:val="18"/>
      </w:rPr>
      <w:fldChar w:fldCharType="end"/>
    </w:r>
    <w:r w:rsidR="00E80DEE" w:rsidRPr="00835DC6">
      <w:rPr>
        <w:rFonts w:ascii="Gill Sans MT" w:hAnsi="Gill Sans MT"/>
        <w:sz w:val="18"/>
        <w:szCs w:val="18"/>
      </w:rPr>
      <w:t xml:space="preserve"> / </w:t>
    </w:r>
    <w:r w:rsidR="00E80DEE" w:rsidRPr="00835DC6">
      <w:rPr>
        <w:rFonts w:ascii="Gill Sans MT" w:hAnsi="Gill Sans MT"/>
        <w:sz w:val="18"/>
        <w:szCs w:val="18"/>
      </w:rPr>
      <w:fldChar w:fldCharType="begin"/>
    </w:r>
    <w:r w:rsidR="00E80DEE" w:rsidRPr="00835DC6">
      <w:rPr>
        <w:rFonts w:ascii="Gill Sans MT" w:hAnsi="Gill Sans MT"/>
        <w:sz w:val="18"/>
        <w:szCs w:val="18"/>
      </w:rPr>
      <w:instrText>NUMPAGES</w:instrText>
    </w:r>
    <w:r w:rsidR="00E80DEE" w:rsidRPr="00835DC6">
      <w:rPr>
        <w:rFonts w:ascii="Gill Sans MT" w:hAnsi="Gill Sans MT"/>
        <w:sz w:val="18"/>
        <w:szCs w:val="18"/>
      </w:rPr>
      <w:fldChar w:fldCharType="separate"/>
    </w:r>
    <w:r w:rsidR="009941AE">
      <w:rPr>
        <w:rFonts w:ascii="Gill Sans MT" w:hAnsi="Gill Sans MT"/>
        <w:noProof/>
        <w:sz w:val="18"/>
        <w:szCs w:val="18"/>
      </w:rPr>
      <w:t>3</w:t>
    </w:r>
    <w:r w:rsidR="00E80DEE" w:rsidRPr="00835DC6">
      <w:rPr>
        <w:rFonts w:ascii="Gill Sans MT" w:hAnsi="Gill Sans MT"/>
        <w:sz w:val="18"/>
        <w:szCs w:val="18"/>
      </w:rPr>
      <w:fldChar w:fldCharType="end"/>
    </w:r>
    <w:r w:rsidR="001736D7">
      <w:rPr>
        <w:rFonts w:ascii="Gill Sans MT" w:hAnsi="Gill Sans MT"/>
        <w:sz w:val="12"/>
        <w:szCs w:val="12"/>
      </w:rPr>
      <w:t xml:space="preserve">             </w:t>
    </w:r>
    <w:r w:rsidR="00FD225E">
      <w:rPr>
        <w:noProof/>
      </w:rPr>
      <w:drawing>
        <wp:anchor distT="0" distB="0" distL="114300" distR="114300" simplePos="0" relativeHeight="251662336" behindDoc="1" locked="0" layoutInCell="1" allowOverlap="0" wp14:anchorId="5CDC09DC" wp14:editId="26CC8A46">
          <wp:simplePos x="0" y="0"/>
          <wp:positionH relativeFrom="page">
            <wp:align>left</wp:align>
          </wp:positionH>
          <wp:positionV relativeFrom="paragraph">
            <wp:posOffset>-162560</wp:posOffset>
          </wp:positionV>
          <wp:extent cx="7560000" cy="1080000"/>
          <wp:effectExtent l="0" t="0" r="3175" b="6350"/>
          <wp:wrapNone/>
          <wp:docPr id="7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l. papír_AGROTECHNIC_zápatí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13ED0" w14:textId="77777777" w:rsidR="006B64FC" w:rsidRDefault="006B64FC">
      <w:r>
        <w:separator/>
      </w:r>
    </w:p>
  </w:footnote>
  <w:footnote w:type="continuationSeparator" w:id="0">
    <w:p w14:paraId="4801C46F" w14:textId="77777777" w:rsidR="006B64FC" w:rsidRDefault="006B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5" w14:textId="2331ED9F" w:rsidR="00A50DDA" w:rsidRDefault="00FD225E" w:rsidP="009C569F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9B535A" wp14:editId="4B36B652">
          <wp:simplePos x="0" y="0"/>
          <wp:positionH relativeFrom="column">
            <wp:posOffset>-883285</wp:posOffset>
          </wp:positionH>
          <wp:positionV relativeFrom="paragraph">
            <wp:posOffset>-294640</wp:posOffset>
          </wp:positionV>
          <wp:extent cx="7531100" cy="3941445"/>
          <wp:effectExtent l="0" t="0" r="0" b="1905"/>
          <wp:wrapNone/>
          <wp:docPr id="6" name="obrázek 39" descr="Hl. papír_AGROTECHNIC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l. papír_AGROTECHNIC_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394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17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05C031D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6"/>
  </w:num>
  <w:num w:numId="13">
    <w:abstractNumId w:val="16"/>
  </w:num>
  <w:num w:numId="14">
    <w:abstractNumId w:val="21"/>
  </w:num>
  <w:num w:numId="15">
    <w:abstractNumId w:val="12"/>
  </w:num>
  <w:num w:numId="16">
    <w:abstractNumId w:val="24"/>
  </w:num>
  <w:num w:numId="17">
    <w:abstractNumId w:val="13"/>
  </w:num>
  <w:num w:numId="18">
    <w:abstractNumId w:val="19"/>
  </w:num>
  <w:num w:numId="19">
    <w:abstractNumId w:val="20"/>
  </w:num>
  <w:num w:numId="20">
    <w:abstractNumId w:val="18"/>
  </w:num>
  <w:num w:numId="21">
    <w:abstractNumId w:val="10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DA"/>
    <w:rsid w:val="000018BD"/>
    <w:rsid w:val="000019AF"/>
    <w:rsid w:val="00001DFF"/>
    <w:rsid w:val="0000253E"/>
    <w:rsid w:val="000049A9"/>
    <w:rsid w:val="00006B56"/>
    <w:rsid w:val="0000707C"/>
    <w:rsid w:val="00007B1D"/>
    <w:rsid w:val="000156DC"/>
    <w:rsid w:val="00016893"/>
    <w:rsid w:val="00017E4D"/>
    <w:rsid w:val="00020B92"/>
    <w:rsid w:val="0002269D"/>
    <w:rsid w:val="0002284E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082A"/>
    <w:rsid w:val="0006223E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4AB4"/>
    <w:rsid w:val="000C4AEB"/>
    <w:rsid w:val="000C4F4B"/>
    <w:rsid w:val="000C6B87"/>
    <w:rsid w:val="000D12CE"/>
    <w:rsid w:val="000D2A3C"/>
    <w:rsid w:val="000D2BBE"/>
    <w:rsid w:val="000D2D53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3397"/>
    <w:rsid w:val="00113EF3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26F2"/>
    <w:rsid w:val="001333C8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318B"/>
    <w:rsid w:val="001736D7"/>
    <w:rsid w:val="00173F40"/>
    <w:rsid w:val="00174DBB"/>
    <w:rsid w:val="00175BE4"/>
    <w:rsid w:val="0017637B"/>
    <w:rsid w:val="00181647"/>
    <w:rsid w:val="00182008"/>
    <w:rsid w:val="00182FEA"/>
    <w:rsid w:val="001841C9"/>
    <w:rsid w:val="00184368"/>
    <w:rsid w:val="00184CBB"/>
    <w:rsid w:val="001858D7"/>
    <w:rsid w:val="00185E77"/>
    <w:rsid w:val="001910B8"/>
    <w:rsid w:val="00191AA4"/>
    <w:rsid w:val="00193A5B"/>
    <w:rsid w:val="00193C09"/>
    <w:rsid w:val="001942BF"/>
    <w:rsid w:val="001951A5"/>
    <w:rsid w:val="0019552F"/>
    <w:rsid w:val="00197DF9"/>
    <w:rsid w:val="001A038D"/>
    <w:rsid w:val="001A0958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A58"/>
    <w:rsid w:val="002001A2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47CE8"/>
    <w:rsid w:val="00252E91"/>
    <w:rsid w:val="0025629B"/>
    <w:rsid w:val="00261F9C"/>
    <w:rsid w:val="00262B42"/>
    <w:rsid w:val="00263A06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A0F49"/>
    <w:rsid w:val="002A2D4E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BCE"/>
    <w:rsid w:val="002D6103"/>
    <w:rsid w:val="002D6A26"/>
    <w:rsid w:val="002D6BD5"/>
    <w:rsid w:val="002D6EA8"/>
    <w:rsid w:val="002E2905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5B09"/>
    <w:rsid w:val="00350171"/>
    <w:rsid w:val="00350727"/>
    <w:rsid w:val="00350BAB"/>
    <w:rsid w:val="00352F1D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81230"/>
    <w:rsid w:val="00382942"/>
    <w:rsid w:val="00383814"/>
    <w:rsid w:val="003845AA"/>
    <w:rsid w:val="00385602"/>
    <w:rsid w:val="00387C34"/>
    <w:rsid w:val="00392ACD"/>
    <w:rsid w:val="003930CC"/>
    <w:rsid w:val="003941E6"/>
    <w:rsid w:val="003A0B46"/>
    <w:rsid w:val="003A1FBA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C2403"/>
    <w:rsid w:val="003C3B9E"/>
    <w:rsid w:val="003C638B"/>
    <w:rsid w:val="003C7961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B76"/>
    <w:rsid w:val="00437E06"/>
    <w:rsid w:val="00440215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80A69"/>
    <w:rsid w:val="00480E48"/>
    <w:rsid w:val="00480F20"/>
    <w:rsid w:val="00482B11"/>
    <w:rsid w:val="004840BE"/>
    <w:rsid w:val="0049482E"/>
    <w:rsid w:val="00496F8F"/>
    <w:rsid w:val="00497525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3276"/>
    <w:rsid w:val="004E209B"/>
    <w:rsid w:val="004E29C3"/>
    <w:rsid w:val="004E36EE"/>
    <w:rsid w:val="004E5502"/>
    <w:rsid w:val="004E5713"/>
    <w:rsid w:val="004E646E"/>
    <w:rsid w:val="004F04B1"/>
    <w:rsid w:val="004F0E99"/>
    <w:rsid w:val="004F3C1E"/>
    <w:rsid w:val="004F4A83"/>
    <w:rsid w:val="004F6C2A"/>
    <w:rsid w:val="004F7B0D"/>
    <w:rsid w:val="005009A9"/>
    <w:rsid w:val="00500B8F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541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411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6EC4"/>
    <w:rsid w:val="005774CB"/>
    <w:rsid w:val="0058183D"/>
    <w:rsid w:val="00583BCE"/>
    <w:rsid w:val="00583CFD"/>
    <w:rsid w:val="00585018"/>
    <w:rsid w:val="00586D41"/>
    <w:rsid w:val="00587869"/>
    <w:rsid w:val="00591113"/>
    <w:rsid w:val="00591702"/>
    <w:rsid w:val="00591C28"/>
    <w:rsid w:val="00593EEB"/>
    <w:rsid w:val="00595826"/>
    <w:rsid w:val="00595F68"/>
    <w:rsid w:val="00596013"/>
    <w:rsid w:val="005A017B"/>
    <w:rsid w:val="005A37FD"/>
    <w:rsid w:val="005A5275"/>
    <w:rsid w:val="005A5A35"/>
    <w:rsid w:val="005A6AAB"/>
    <w:rsid w:val="005B1EF2"/>
    <w:rsid w:val="005B5119"/>
    <w:rsid w:val="005B5F9C"/>
    <w:rsid w:val="005B6628"/>
    <w:rsid w:val="005B6C1D"/>
    <w:rsid w:val="005C0043"/>
    <w:rsid w:val="005C1165"/>
    <w:rsid w:val="005C5532"/>
    <w:rsid w:val="005C5C39"/>
    <w:rsid w:val="005C729D"/>
    <w:rsid w:val="005D0209"/>
    <w:rsid w:val="005D249D"/>
    <w:rsid w:val="005D25F1"/>
    <w:rsid w:val="005D262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C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6798"/>
    <w:rsid w:val="0066122C"/>
    <w:rsid w:val="006614AC"/>
    <w:rsid w:val="0066159D"/>
    <w:rsid w:val="0066261C"/>
    <w:rsid w:val="00663815"/>
    <w:rsid w:val="006665EA"/>
    <w:rsid w:val="0067135A"/>
    <w:rsid w:val="006737AD"/>
    <w:rsid w:val="00680175"/>
    <w:rsid w:val="006805BE"/>
    <w:rsid w:val="00680CA8"/>
    <w:rsid w:val="00681550"/>
    <w:rsid w:val="00681B8D"/>
    <w:rsid w:val="00683125"/>
    <w:rsid w:val="0068699A"/>
    <w:rsid w:val="006904E6"/>
    <w:rsid w:val="00690911"/>
    <w:rsid w:val="00690E6B"/>
    <w:rsid w:val="00691E49"/>
    <w:rsid w:val="00693BD6"/>
    <w:rsid w:val="0069622B"/>
    <w:rsid w:val="0069665E"/>
    <w:rsid w:val="006A0B5B"/>
    <w:rsid w:val="006A152E"/>
    <w:rsid w:val="006A1FBC"/>
    <w:rsid w:val="006A5087"/>
    <w:rsid w:val="006A69B2"/>
    <w:rsid w:val="006A6E41"/>
    <w:rsid w:val="006A733D"/>
    <w:rsid w:val="006B105E"/>
    <w:rsid w:val="006B194B"/>
    <w:rsid w:val="006B1DBA"/>
    <w:rsid w:val="006B6170"/>
    <w:rsid w:val="006B6366"/>
    <w:rsid w:val="006B64FC"/>
    <w:rsid w:val="006C123D"/>
    <w:rsid w:val="006C45A5"/>
    <w:rsid w:val="006C605A"/>
    <w:rsid w:val="006C735E"/>
    <w:rsid w:val="006D2E31"/>
    <w:rsid w:val="006D3A58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4921"/>
    <w:rsid w:val="006F4B42"/>
    <w:rsid w:val="006F521F"/>
    <w:rsid w:val="006F5D73"/>
    <w:rsid w:val="00700F50"/>
    <w:rsid w:val="00701155"/>
    <w:rsid w:val="00701F8F"/>
    <w:rsid w:val="00702685"/>
    <w:rsid w:val="0070448C"/>
    <w:rsid w:val="00704DAD"/>
    <w:rsid w:val="00711034"/>
    <w:rsid w:val="00711134"/>
    <w:rsid w:val="0071126D"/>
    <w:rsid w:val="00712C61"/>
    <w:rsid w:val="0071354A"/>
    <w:rsid w:val="00713C4B"/>
    <w:rsid w:val="0071486C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60F3"/>
    <w:rsid w:val="0073757C"/>
    <w:rsid w:val="00740357"/>
    <w:rsid w:val="00741E1F"/>
    <w:rsid w:val="00742A09"/>
    <w:rsid w:val="007435A5"/>
    <w:rsid w:val="0074639B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9AE"/>
    <w:rsid w:val="00770FAF"/>
    <w:rsid w:val="00771E40"/>
    <w:rsid w:val="007725A9"/>
    <w:rsid w:val="007725B8"/>
    <w:rsid w:val="00772B5F"/>
    <w:rsid w:val="00772C20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F7C"/>
    <w:rsid w:val="007A3995"/>
    <w:rsid w:val="007A5664"/>
    <w:rsid w:val="007B3CB0"/>
    <w:rsid w:val="007B6772"/>
    <w:rsid w:val="007C1369"/>
    <w:rsid w:val="007C1987"/>
    <w:rsid w:val="007C48C7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0CAE"/>
    <w:rsid w:val="00861B43"/>
    <w:rsid w:val="0086277E"/>
    <w:rsid w:val="00863F89"/>
    <w:rsid w:val="008644AC"/>
    <w:rsid w:val="00865EEE"/>
    <w:rsid w:val="00871690"/>
    <w:rsid w:val="00871E5F"/>
    <w:rsid w:val="00872564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4B99"/>
    <w:rsid w:val="008E5A28"/>
    <w:rsid w:val="008E7099"/>
    <w:rsid w:val="008E7433"/>
    <w:rsid w:val="008F1749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20DBF"/>
    <w:rsid w:val="009211C6"/>
    <w:rsid w:val="00922CE9"/>
    <w:rsid w:val="009254FB"/>
    <w:rsid w:val="00925687"/>
    <w:rsid w:val="00930261"/>
    <w:rsid w:val="00933D78"/>
    <w:rsid w:val="00934476"/>
    <w:rsid w:val="0093504E"/>
    <w:rsid w:val="0093599F"/>
    <w:rsid w:val="00936CF7"/>
    <w:rsid w:val="00937ABF"/>
    <w:rsid w:val="00937FC4"/>
    <w:rsid w:val="00941153"/>
    <w:rsid w:val="00944750"/>
    <w:rsid w:val="00947438"/>
    <w:rsid w:val="00947627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4487"/>
    <w:rsid w:val="009660A9"/>
    <w:rsid w:val="0096706C"/>
    <w:rsid w:val="00967EBE"/>
    <w:rsid w:val="00970949"/>
    <w:rsid w:val="00971A6B"/>
    <w:rsid w:val="00972542"/>
    <w:rsid w:val="00974076"/>
    <w:rsid w:val="009779C6"/>
    <w:rsid w:val="00982405"/>
    <w:rsid w:val="00982CBE"/>
    <w:rsid w:val="00982EF4"/>
    <w:rsid w:val="009831D0"/>
    <w:rsid w:val="0098347F"/>
    <w:rsid w:val="00984222"/>
    <w:rsid w:val="009845DB"/>
    <w:rsid w:val="00986738"/>
    <w:rsid w:val="009941AE"/>
    <w:rsid w:val="00996659"/>
    <w:rsid w:val="00997CA6"/>
    <w:rsid w:val="009A0177"/>
    <w:rsid w:val="009A06F7"/>
    <w:rsid w:val="009A106E"/>
    <w:rsid w:val="009A31E4"/>
    <w:rsid w:val="009A396E"/>
    <w:rsid w:val="009A43EE"/>
    <w:rsid w:val="009A5280"/>
    <w:rsid w:val="009A5527"/>
    <w:rsid w:val="009A692A"/>
    <w:rsid w:val="009B0738"/>
    <w:rsid w:val="009B4D12"/>
    <w:rsid w:val="009B5880"/>
    <w:rsid w:val="009B5A0E"/>
    <w:rsid w:val="009B5B42"/>
    <w:rsid w:val="009B6BB2"/>
    <w:rsid w:val="009B7CF3"/>
    <w:rsid w:val="009C05CB"/>
    <w:rsid w:val="009C3BFA"/>
    <w:rsid w:val="009C45D9"/>
    <w:rsid w:val="009C569F"/>
    <w:rsid w:val="009C743E"/>
    <w:rsid w:val="009D0A1F"/>
    <w:rsid w:val="009D1AFA"/>
    <w:rsid w:val="009D1C90"/>
    <w:rsid w:val="009D357F"/>
    <w:rsid w:val="009D3BA6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1DA2"/>
    <w:rsid w:val="00A11E9B"/>
    <w:rsid w:val="00A135F1"/>
    <w:rsid w:val="00A15815"/>
    <w:rsid w:val="00A1612D"/>
    <w:rsid w:val="00A16FCE"/>
    <w:rsid w:val="00A1749B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40D1"/>
    <w:rsid w:val="00A94FF2"/>
    <w:rsid w:val="00AA3034"/>
    <w:rsid w:val="00AA32A6"/>
    <w:rsid w:val="00AA5081"/>
    <w:rsid w:val="00AA5560"/>
    <w:rsid w:val="00AA6F85"/>
    <w:rsid w:val="00AA7D93"/>
    <w:rsid w:val="00AB35F3"/>
    <w:rsid w:val="00AB3C6E"/>
    <w:rsid w:val="00AB4215"/>
    <w:rsid w:val="00AB5253"/>
    <w:rsid w:val="00AB6D41"/>
    <w:rsid w:val="00AC0CA3"/>
    <w:rsid w:val="00AC2A60"/>
    <w:rsid w:val="00AC30A8"/>
    <w:rsid w:val="00AC6347"/>
    <w:rsid w:val="00AC6951"/>
    <w:rsid w:val="00AC7A9E"/>
    <w:rsid w:val="00AD0824"/>
    <w:rsid w:val="00AD0D62"/>
    <w:rsid w:val="00AD11B3"/>
    <w:rsid w:val="00AD2B6D"/>
    <w:rsid w:val="00AD2DCD"/>
    <w:rsid w:val="00AD3241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47C4"/>
    <w:rsid w:val="00B059C1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184B"/>
    <w:rsid w:val="00B80456"/>
    <w:rsid w:val="00B80653"/>
    <w:rsid w:val="00B8167B"/>
    <w:rsid w:val="00B82949"/>
    <w:rsid w:val="00B8606F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133C"/>
    <w:rsid w:val="00BD1D55"/>
    <w:rsid w:val="00BD1F71"/>
    <w:rsid w:val="00BD212E"/>
    <w:rsid w:val="00BD21BF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557"/>
    <w:rsid w:val="00C169E7"/>
    <w:rsid w:val="00C17206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429E8"/>
    <w:rsid w:val="00C454AD"/>
    <w:rsid w:val="00C457CB"/>
    <w:rsid w:val="00C47652"/>
    <w:rsid w:val="00C5054E"/>
    <w:rsid w:val="00C51A3E"/>
    <w:rsid w:val="00C51ED7"/>
    <w:rsid w:val="00C52A79"/>
    <w:rsid w:val="00C5371D"/>
    <w:rsid w:val="00C5388A"/>
    <w:rsid w:val="00C53FDF"/>
    <w:rsid w:val="00C5423E"/>
    <w:rsid w:val="00C636D2"/>
    <w:rsid w:val="00C649CF"/>
    <w:rsid w:val="00C66B0C"/>
    <w:rsid w:val="00C717D1"/>
    <w:rsid w:val="00C72A20"/>
    <w:rsid w:val="00C7531E"/>
    <w:rsid w:val="00C75874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C0530"/>
    <w:rsid w:val="00CC21E1"/>
    <w:rsid w:val="00CC376F"/>
    <w:rsid w:val="00CC448A"/>
    <w:rsid w:val="00CD0394"/>
    <w:rsid w:val="00CD05DF"/>
    <w:rsid w:val="00CD53A7"/>
    <w:rsid w:val="00CD638B"/>
    <w:rsid w:val="00CE0115"/>
    <w:rsid w:val="00CE1AEA"/>
    <w:rsid w:val="00CE21CF"/>
    <w:rsid w:val="00CE6B91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D3"/>
    <w:rsid w:val="00D27EC3"/>
    <w:rsid w:val="00D34007"/>
    <w:rsid w:val="00D344E2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4360"/>
    <w:rsid w:val="00D94C10"/>
    <w:rsid w:val="00D97D0B"/>
    <w:rsid w:val="00DA056E"/>
    <w:rsid w:val="00DA3A09"/>
    <w:rsid w:val="00DA50F5"/>
    <w:rsid w:val="00DA62D8"/>
    <w:rsid w:val="00DB1434"/>
    <w:rsid w:val="00DB3C26"/>
    <w:rsid w:val="00DB4FC5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7FB6"/>
    <w:rsid w:val="00DE0783"/>
    <w:rsid w:val="00DE093D"/>
    <w:rsid w:val="00DE2A4F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38C8"/>
    <w:rsid w:val="00E7585C"/>
    <w:rsid w:val="00E761FA"/>
    <w:rsid w:val="00E80DEE"/>
    <w:rsid w:val="00E8152C"/>
    <w:rsid w:val="00E81AA9"/>
    <w:rsid w:val="00E8390E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7C70"/>
    <w:rsid w:val="00EA275E"/>
    <w:rsid w:val="00EA3918"/>
    <w:rsid w:val="00EA3BED"/>
    <w:rsid w:val="00EA43AD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467B"/>
    <w:rsid w:val="00EC4B9E"/>
    <w:rsid w:val="00EC590C"/>
    <w:rsid w:val="00EC6073"/>
    <w:rsid w:val="00EC6373"/>
    <w:rsid w:val="00EC68EA"/>
    <w:rsid w:val="00EC748E"/>
    <w:rsid w:val="00EC7C4F"/>
    <w:rsid w:val="00ED2F4D"/>
    <w:rsid w:val="00ED65F5"/>
    <w:rsid w:val="00ED66D6"/>
    <w:rsid w:val="00EE2DD9"/>
    <w:rsid w:val="00EE3FDE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A68"/>
    <w:rsid w:val="00F27B2F"/>
    <w:rsid w:val="00F30C3C"/>
    <w:rsid w:val="00F30DA5"/>
    <w:rsid w:val="00F335D0"/>
    <w:rsid w:val="00F35610"/>
    <w:rsid w:val="00F403C4"/>
    <w:rsid w:val="00F426DE"/>
    <w:rsid w:val="00F43873"/>
    <w:rsid w:val="00F443CA"/>
    <w:rsid w:val="00F4446D"/>
    <w:rsid w:val="00F44617"/>
    <w:rsid w:val="00F471A7"/>
    <w:rsid w:val="00F5282A"/>
    <w:rsid w:val="00F54A24"/>
    <w:rsid w:val="00F56A41"/>
    <w:rsid w:val="00F61C99"/>
    <w:rsid w:val="00F6207E"/>
    <w:rsid w:val="00F63DB1"/>
    <w:rsid w:val="00F63FB4"/>
    <w:rsid w:val="00F654BA"/>
    <w:rsid w:val="00F65D5A"/>
    <w:rsid w:val="00F6669D"/>
    <w:rsid w:val="00F67657"/>
    <w:rsid w:val="00F70A05"/>
    <w:rsid w:val="00F70C7C"/>
    <w:rsid w:val="00F73911"/>
    <w:rsid w:val="00F73AAE"/>
    <w:rsid w:val="00F74F89"/>
    <w:rsid w:val="00F76673"/>
    <w:rsid w:val="00F80694"/>
    <w:rsid w:val="00F852F0"/>
    <w:rsid w:val="00F86C0F"/>
    <w:rsid w:val="00F87143"/>
    <w:rsid w:val="00F87435"/>
    <w:rsid w:val="00F91340"/>
    <w:rsid w:val="00F9537E"/>
    <w:rsid w:val="00F9731E"/>
    <w:rsid w:val="00F97BB7"/>
    <w:rsid w:val="00FA0E1A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FBF245-39EC-4893-9C05-F29B3F65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1</TotalTime>
  <Pages>3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PC-Kristýna</cp:lastModifiedBy>
  <cp:revision>4</cp:revision>
  <cp:lastPrinted>2019-02-27T07:16:00Z</cp:lastPrinted>
  <dcterms:created xsi:type="dcterms:W3CDTF">2019-03-04T08:26:00Z</dcterms:created>
  <dcterms:modified xsi:type="dcterms:W3CDTF">2019-03-04T08:27:00Z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