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975" w:rsidRDefault="00D67EFA">
      <w:pPr>
        <w:spacing w:after="1346" w:line="259" w:lineRule="auto"/>
        <w:ind w:left="0" w:firstLine="0"/>
        <w:jc w:val="left"/>
      </w:pPr>
      <w:r>
        <w:t xml:space="preserve"> </w:t>
      </w:r>
    </w:p>
    <w:p w:rsidR="00600975" w:rsidRDefault="00D67EFA">
      <w:pPr>
        <w:spacing w:after="0" w:line="270" w:lineRule="auto"/>
        <w:ind w:left="883" w:right="881" w:hanging="10"/>
        <w:jc w:val="center"/>
      </w:pPr>
      <w:r>
        <w:rPr>
          <w:b/>
          <w:sz w:val="32"/>
        </w:rPr>
        <w:t xml:space="preserve">Rámcová smlouva </w:t>
      </w:r>
    </w:p>
    <w:p w:rsidR="00600975" w:rsidRDefault="00D67EFA">
      <w:pPr>
        <w:spacing w:after="0" w:line="270" w:lineRule="auto"/>
        <w:ind w:left="883" w:right="787" w:hanging="10"/>
        <w:jc w:val="center"/>
      </w:pPr>
      <w:r>
        <w:rPr>
          <w:b/>
          <w:sz w:val="32"/>
        </w:rPr>
        <w:t xml:space="preserve">na zajištění dodávek volnočasových poukázek č: SMHZ0696 </w:t>
      </w:r>
    </w:p>
    <w:p w:rsidR="00600975" w:rsidRDefault="00D67EFA">
      <w:pPr>
        <w:spacing w:after="381" w:line="234" w:lineRule="auto"/>
        <w:ind w:left="0" w:right="4494" w:firstLine="0"/>
        <w:jc w:val="left"/>
      </w:pPr>
      <w:r>
        <w:rPr>
          <w:color w:val="1F497D"/>
        </w:rPr>
        <w:t xml:space="preserve"> </w:t>
      </w:r>
      <w:r>
        <w:rPr>
          <w:b/>
        </w:rPr>
        <w:t xml:space="preserve"> </w:t>
      </w:r>
    </w:p>
    <w:p w:rsidR="00600975" w:rsidRDefault="00D67EFA">
      <w:pPr>
        <w:spacing w:after="315"/>
        <w:ind w:left="-15" w:firstLine="0"/>
      </w:pPr>
      <w:r>
        <w:t xml:space="preserve">uzavřená níže uvedeného dne, měsíce a roku nikoli na řad v souladu s ustanovením § 1746 odst. 2 zákona č. 89/2012 Sb., občanský zákoník, ve znění pozdějších předpisů (dále jen „občanský zákoník") </w:t>
      </w:r>
    </w:p>
    <w:p w:rsidR="00600975" w:rsidRDefault="00D67EFA">
      <w:pPr>
        <w:spacing w:after="318"/>
        <w:ind w:left="-15" w:firstLine="0"/>
      </w:pPr>
      <w:r>
        <w:t xml:space="preserve">Smluvní strany: </w:t>
      </w:r>
    </w:p>
    <w:p w:rsidR="00600975" w:rsidRDefault="00D67EFA">
      <w:pPr>
        <w:pStyle w:val="Nadpis1"/>
        <w:spacing w:after="121"/>
        <w:ind w:left="0" w:firstLine="0"/>
        <w:jc w:val="left"/>
      </w:pPr>
      <w:r>
        <w:t xml:space="preserve">Fond dalšího vzdělávání </w:t>
      </w:r>
    </w:p>
    <w:tbl>
      <w:tblPr>
        <w:tblStyle w:val="TableGrid"/>
        <w:tblW w:w="8644" w:type="dxa"/>
        <w:tblInd w:w="0" w:type="dxa"/>
        <w:tblCellMar>
          <w:top w:w="33" w:type="dxa"/>
        </w:tblCellMar>
        <w:tblLook w:val="04A0" w:firstRow="1" w:lastRow="0" w:firstColumn="1" w:lastColumn="0" w:noHBand="0" w:noVBand="1"/>
      </w:tblPr>
      <w:tblGrid>
        <w:gridCol w:w="3192"/>
        <w:gridCol w:w="550"/>
        <w:gridCol w:w="4902"/>
      </w:tblGrid>
      <w:tr w:rsidR="00600975">
        <w:trPr>
          <w:trHeight w:val="255"/>
        </w:trPr>
        <w:tc>
          <w:tcPr>
            <w:tcW w:w="3742" w:type="dxa"/>
            <w:gridSpan w:val="2"/>
            <w:tcBorders>
              <w:top w:val="nil"/>
              <w:left w:val="nil"/>
              <w:bottom w:val="nil"/>
              <w:right w:val="nil"/>
            </w:tcBorders>
          </w:tcPr>
          <w:p w:rsidR="00600975" w:rsidRDefault="00D67EFA">
            <w:pPr>
              <w:spacing w:after="0" w:line="259" w:lineRule="auto"/>
              <w:ind w:left="0" w:firstLine="0"/>
              <w:jc w:val="left"/>
            </w:pPr>
            <w:r>
              <w:t xml:space="preserve">Se sídlem: </w:t>
            </w:r>
          </w:p>
        </w:tc>
        <w:tc>
          <w:tcPr>
            <w:tcW w:w="4902" w:type="dxa"/>
            <w:tcBorders>
              <w:top w:val="nil"/>
              <w:left w:val="nil"/>
              <w:bottom w:val="nil"/>
              <w:right w:val="nil"/>
            </w:tcBorders>
          </w:tcPr>
          <w:p w:rsidR="00600975" w:rsidRDefault="00D67EFA">
            <w:pPr>
              <w:spacing w:after="0" w:line="259" w:lineRule="auto"/>
              <w:ind w:left="0" w:firstLine="0"/>
              <w:jc w:val="left"/>
            </w:pPr>
            <w:r>
              <w:t xml:space="preserve">Na </w:t>
            </w:r>
            <w:proofErr w:type="spellStart"/>
            <w:r>
              <w:t>Maninách</w:t>
            </w:r>
            <w:proofErr w:type="spellEnd"/>
            <w:r>
              <w:t xml:space="preserve"> 876/7, 170 00 Praha 7 - Holešovice </w:t>
            </w:r>
          </w:p>
        </w:tc>
      </w:tr>
      <w:tr w:rsidR="00600975">
        <w:trPr>
          <w:trHeight w:val="288"/>
        </w:trPr>
        <w:tc>
          <w:tcPr>
            <w:tcW w:w="3742" w:type="dxa"/>
            <w:gridSpan w:val="2"/>
            <w:tcBorders>
              <w:top w:val="nil"/>
              <w:left w:val="nil"/>
              <w:bottom w:val="nil"/>
              <w:right w:val="nil"/>
            </w:tcBorders>
          </w:tcPr>
          <w:p w:rsidR="00600975" w:rsidRDefault="00D67EFA">
            <w:pPr>
              <w:spacing w:after="0" w:line="259" w:lineRule="auto"/>
              <w:ind w:left="0" w:firstLine="0"/>
              <w:jc w:val="left"/>
            </w:pPr>
            <w:r>
              <w:t xml:space="preserve">Jednající: </w:t>
            </w:r>
          </w:p>
        </w:tc>
        <w:tc>
          <w:tcPr>
            <w:tcW w:w="4902" w:type="dxa"/>
            <w:tcBorders>
              <w:top w:val="nil"/>
              <w:left w:val="nil"/>
              <w:bottom w:val="nil"/>
              <w:right w:val="nil"/>
            </w:tcBorders>
          </w:tcPr>
          <w:p w:rsidR="00600975" w:rsidRDefault="00D67EFA">
            <w:pPr>
              <w:spacing w:after="0" w:line="259" w:lineRule="auto"/>
              <w:ind w:left="0" w:firstLine="0"/>
              <w:jc w:val="left"/>
            </w:pPr>
            <w:r>
              <w:t xml:space="preserve">Ing. Richard Ščerba, MBA </w:t>
            </w:r>
          </w:p>
        </w:tc>
      </w:tr>
      <w:tr w:rsidR="00600975">
        <w:trPr>
          <w:trHeight w:val="864"/>
        </w:trPr>
        <w:tc>
          <w:tcPr>
            <w:tcW w:w="3742" w:type="dxa"/>
            <w:gridSpan w:val="2"/>
            <w:tcBorders>
              <w:top w:val="nil"/>
              <w:left w:val="nil"/>
              <w:bottom w:val="nil"/>
              <w:right w:val="nil"/>
            </w:tcBorders>
          </w:tcPr>
          <w:p w:rsidR="00600975" w:rsidRDefault="00D67EFA">
            <w:pPr>
              <w:spacing w:after="0" w:line="259" w:lineRule="auto"/>
              <w:ind w:left="0" w:firstLine="0"/>
              <w:jc w:val="left"/>
            </w:pPr>
            <w:r>
              <w:t xml:space="preserve">Kontaktní osoba: </w:t>
            </w:r>
          </w:p>
        </w:tc>
        <w:tc>
          <w:tcPr>
            <w:tcW w:w="4902" w:type="dxa"/>
            <w:tcBorders>
              <w:top w:val="nil"/>
              <w:left w:val="nil"/>
              <w:bottom w:val="nil"/>
              <w:right w:val="nil"/>
            </w:tcBorders>
          </w:tcPr>
          <w:p w:rsidR="00600975" w:rsidRDefault="007C434F">
            <w:pPr>
              <w:spacing w:after="0" w:line="259" w:lineRule="auto"/>
              <w:ind w:left="0" w:right="2200" w:firstLine="0"/>
              <w:jc w:val="left"/>
            </w:pPr>
            <w:proofErr w:type="spellStart"/>
            <w:r>
              <w:t>xxxxxxxxxxxxxxxxxxxxxxxxxx</w:t>
            </w:r>
            <w:proofErr w:type="spellEnd"/>
            <w:r w:rsidR="00D67EFA">
              <w:t xml:space="preserve"> </w:t>
            </w:r>
          </w:p>
        </w:tc>
      </w:tr>
      <w:tr w:rsidR="00600975">
        <w:trPr>
          <w:trHeight w:val="288"/>
        </w:trPr>
        <w:tc>
          <w:tcPr>
            <w:tcW w:w="3742" w:type="dxa"/>
            <w:gridSpan w:val="2"/>
            <w:tcBorders>
              <w:top w:val="nil"/>
              <w:left w:val="nil"/>
              <w:bottom w:val="nil"/>
              <w:right w:val="nil"/>
            </w:tcBorders>
          </w:tcPr>
          <w:p w:rsidR="00600975" w:rsidRDefault="00D67EFA">
            <w:pPr>
              <w:spacing w:after="0" w:line="259" w:lineRule="auto"/>
              <w:ind w:left="0" w:firstLine="0"/>
              <w:jc w:val="left"/>
            </w:pPr>
            <w:r>
              <w:t xml:space="preserve">bankovní spojení: </w:t>
            </w:r>
          </w:p>
        </w:tc>
        <w:tc>
          <w:tcPr>
            <w:tcW w:w="4902" w:type="dxa"/>
            <w:tcBorders>
              <w:top w:val="nil"/>
              <w:left w:val="nil"/>
              <w:bottom w:val="nil"/>
              <w:right w:val="nil"/>
            </w:tcBorders>
          </w:tcPr>
          <w:p w:rsidR="00600975" w:rsidRDefault="00D67EFA">
            <w:pPr>
              <w:spacing w:after="0" w:line="259" w:lineRule="auto"/>
              <w:ind w:left="0" w:firstLine="0"/>
              <w:jc w:val="left"/>
            </w:pPr>
            <w:r>
              <w:t xml:space="preserve">ČNB 1139071/0710 </w:t>
            </w:r>
          </w:p>
        </w:tc>
      </w:tr>
      <w:tr w:rsidR="00600975">
        <w:trPr>
          <w:trHeight w:val="288"/>
        </w:trPr>
        <w:tc>
          <w:tcPr>
            <w:tcW w:w="3742" w:type="dxa"/>
            <w:gridSpan w:val="2"/>
            <w:tcBorders>
              <w:top w:val="nil"/>
              <w:left w:val="nil"/>
              <w:bottom w:val="nil"/>
              <w:right w:val="nil"/>
            </w:tcBorders>
          </w:tcPr>
          <w:p w:rsidR="00600975" w:rsidRDefault="00D67EFA">
            <w:pPr>
              <w:spacing w:after="0" w:line="259" w:lineRule="auto"/>
              <w:ind w:left="0" w:firstLine="0"/>
              <w:jc w:val="left"/>
            </w:pPr>
            <w:r>
              <w:t xml:space="preserve">IČO: </w:t>
            </w:r>
          </w:p>
        </w:tc>
        <w:tc>
          <w:tcPr>
            <w:tcW w:w="4902" w:type="dxa"/>
            <w:tcBorders>
              <w:top w:val="nil"/>
              <w:left w:val="nil"/>
              <w:bottom w:val="nil"/>
              <w:right w:val="nil"/>
            </w:tcBorders>
          </w:tcPr>
          <w:p w:rsidR="00600975" w:rsidRDefault="00D67EFA">
            <w:pPr>
              <w:spacing w:after="0" w:line="259" w:lineRule="auto"/>
              <w:ind w:left="0" w:firstLine="0"/>
              <w:jc w:val="left"/>
            </w:pPr>
            <w:r>
              <w:t xml:space="preserve">00405698 </w:t>
            </w:r>
          </w:p>
        </w:tc>
      </w:tr>
      <w:tr w:rsidR="00600975">
        <w:trPr>
          <w:trHeight w:val="1533"/>
        </w:trPr>
        <w:tc>
          <w:tcPr>
            <w:tcW w:w="3742" w:type="dxa"/>
            <w:gridSpan w:val="2"/>
            <w:tcBorders>
              <w:top w:val="nil"/>
              <w:left w:val="nil"/>
              <w:bottom w:val="nil"/>
              <w:right w:val="nil"/>
            </w:tcBorders>
          </w:tcPr>
          <w:p w:rsidR="00600975" w:rsidRDefault="00D67EFA">
            <w:pPr>
              <w:spacing w:after="0" w:line="259" w:lineRule="auto"/>
              <w:ind w:left="0" w:firstLine="0"/>
              <w:jc w:val="left"/>
            </w:pPr>
            <w:r>
              <w:t xml:space="preserve">ID schránky: </w:t>
            </w:r>
          </w:p>
          <w:p w:rsidR="00600975" w:rsidRDefault="00D67EFA">
            <w:pPr>
              <w:spacing w:after="0" w:line="259" w:lineRule="auto"/>
              <w:ind w:left="0" w:firstLine="0"/>
              <w:jc w:val="left"/>
            </w:pPr>
            <w:r>
              <w:t xml:space="preserve"> </w:t>
            </w:r>
          </w:p>
          <w:p w:rsidR="00600975" w:rsidRDefault="00D67EFA">
            <w:pPr>
              <w:spacing w:after="166" w:line="259" w:lineRule="auto"/>
              <w:ind w:left="0" w:firstLine="0"/>
              <w:jc w:val="left"/>
            </w:pPr>
            <w:r>
              <w:t xml:space="preserve"> </w:t>
            </w:r>
          </w:p>
          <w:p w:rsidR="00600975" w:rsidRDefault="00D67EFA">
            <w:pPr>
              <w:spacing w:after="0" w:line="259" w:lineRule="auto"/>
              <w:ind w:left="0" w:firstLine="0"/>
              <w:jc w:val="left"/>
            </w:pPr>
            <w:r>
              <w:t xml:space="preserve">(dále jen </w:t>
            </w:r>
            <w:r>
              <w:rPr>
                <w:b/>
              </w:rPr>
              <w:t xml:space="preserve">„objednatel" </w:t>
            </w:r>
            <w:r>
              <w:t xml:space="preserve">nebo </w:t>
            </w:r>
            <w:r>
              <w:rPr>
                <w:b/>
              </w:rPr>
              <w:t xml:space="preserve">FDV")  </w:t>
            </w:r>
          </w:p>
        </w:tc>
        <w:tc>
          <w:tcPr>
            <w:tcW w:w="4902" w:type="dxa"/>
            <w:vMerge w:val="restart"/>
            <w:tcBorders>
              <w:top w:val="nil"/>
              <w:left w:val="nil"/>
              <w:bottom w:val="nil"/>
              <w:right w:val="nil"/>
            </w:tcBorders>
          </w:tcPr>
          <w:p w:rsidR="00600975" w:rsidRDefault="00D67EFA">
            <w:pPr>
              <w:spacing w:after="0" w:line="259" w:lineRule="auto"/>
              <w:ind w:left="0" w:firstLine="0"/>
              <w:jc w:val="left"/>
            </w:pPr>
            <w:r>
              <w:t xml:space="preserve">hxu5e9c </w:t>
            </w:r>
          </w:p>
        </w:tc>
      </w:tr>
      <w:tr w:rsidR="00600975">
        <w:trPr>
          <w:trHeight w:val="1694"/>
        </w:trPr>
        <w:tc>
          <w:tcPr>
            <w:tcW w:w="3193" w:type="dxa"/>
            <w:tcBorders>
              <w:top w:val="nil"/>
              <w:left w:val="nil"/>
              <w:bottom w:val="nil"/>
              <w:right w:val="nil"/>
            </w:tcBorders>
          </w:tcPr>
          <w:p w:rsidR="00600975" w:rsidRDefault="00D67EFA">
            <w:pPr>
              <w:spacing w:after="0" w:line="649" w:lineRule="auto"/>
              <w:ind w:left="0" w:right="1591" w:firstLine="0"/>
              <w:jc w:val="left"/>
            </w:pPr>
            <w:r>
              <w:t xml:space="preserve">na straně jedné  a </w:t>
            </w:r>
          </w:p>
          <w:p w:rsidR="00600975" w:rsidRDefault="00D67EFA">
            <w:pPr>
              <w:spacing w:after="45" w:line="259" w:lineRule="auto"/>
              <w:ind w:left="0" w:firstLine="0"/>
              <w:jc w:val="left"/>
            </w:pPr>
            <w:proofErr w:type="spellStart"/>
            <w:r>
              <w:rPr>
                <w:b/>
              </w:rPr>
              <w:t>Edenred</w:t>
            </w:r>
            <w:proofErr w:type="spellEnd"/>
            <w:r>
              <w:rPr>
                <w:b/>
              </w:rPr>
              <w:t xml:space="preserve"> CZ s.r.o. </w:t>
            </w:r>
          </w:p>
          <w:p w:rsidR="00600975" w:rsidRDefault="00D67EFA">
            <w:pPr>
              <w:spacing w:after="0" w:line="259" w:lineRule="auto"/>
              <w:ind w:left="0" w:firstLine="0"/>
              <w:jc w:val="left"/>
            </w:pPr>
            <w:r>
              <w:rPr>
                <w:b/>
              </w:rPr>
              <w:t xml:space="preserve"> </w:t>
            </w:r>
          </w:p>
        </w:tc>
        <w:tc>
          <w:tcPr>
            <w:tcW w:w="550" w:type="dxa"/>
            <w:tcBorders>
              <w:top w:val="nil"/>
              <w:left w:val="nil"/>
              <w:bottom w:val="nil"/>
              <w:right w:val="nil"/>
            </w:tcBorders>
          </w:tcPr>
          <w:p w:rsidR="00600975" w:rsidRDefault="00600975">
            <w:pPr>
              <w:spacing w:after="160" w:line="259" w:lineRule="auto"/>
              <w:ind w:left="0" w:firstLine="0"/>
              <w:jc w:val="left"/>
            </w:pPr>
          </w:p>
        </w:tc>
        <w:tc>
          <w:tcPr>
            <w:tcW w:w="0" w:type="auto"/>
            <w:vMerge/>
            <w:tcBorders>
              <w:top w:val="nil"/>
              <w:left w:val="nil"/>
              <w:bottom w:val="nil"/>
              <w:right w:val="nil"/>
            </w:tcBorders>
          </w:tcPr>
          <w:p w:rsidR="00600975" w:rsidRDefault="00600975">
            <w:pPr>
              <w:spacing w:after="160" w:line="259" w:lineRule="auto"/>
              <w:ind w:left="0" w:firstLine="0"/>
              <w:jc w:val="left"/>
            </w:pPr>
          </w:p>
        </w:tc>
      </w:tr>
      <w:tr w:rsidR="00600975">
        <w:trPr>
          <w:trHeight w:val="292"/>
        </w:trPr>
        <w:tc>
          <w:tcPr>
            <w:tcW w:w="3193" w:type="dxa"/>
            <w:tcBorders>
              <w:top w:val="nil"/>
              <w:left w:val="nil"/>
              <w:bottom w:val="nil"/>
              <w:right w:val="nil"/>
            </w:tcBorders>
          </w:tcPr>
          <w:p w:rsidR="00600975" w:rsidRDefault="00D67EFA">
            <w:pPr>
              <w:spacing w:after="0" w:line="259" w:lineRule="auto"/>
              <w:ind w:left="0" w:firstLine="0"/>
              <w:jc w:val="left"/>
            </w:pPr>
            <w:r>
              <w:t xml:space="preserve">Se sídlem: </w:t>
            </w:r>
          </w:p>
        </w:tc>
        <w:tc>
          <w:tcPr>
            <w:tcW w:w="550" w:type="dxa"/>
            <w:tcBorders>
              <w:top w:val="nil"/>
              <w:left w:val="nil"/>
              <w:bottom w:val="nil"/>
              <w:right w:val="nil"/>
            </w:tcBorders>
          </w:tcPr>
          <w:p w:rsidR="00600975" w:rsidRDefault="00600975">
            <w:pPr>
              <w:spacing w:after="160" w:line="259" w:lineRule="auto"/>
              <w:ind w:left="0" w:firstLine="0"/>
              <w:jc w:val="left"/>
            </w:pPr>
          </w:p>
        </w:tc>
        <w:tc>
          <w:tcPr>
            <w:tcW w:w="4902" w:type="dxa"/>
            <w:tcBorders>
              <w:top w:val="nil"/>
              <w:left w:val="nil"/>
              <w:bottom w:val="nil"/>
              <w:right w:val="nil"/>
            </w:tcBorders>
          </w:tcPr>
          <w:p w:rsidR="00600975" w:rsidRDefault="00D67EFA">
            <w:pPr>
              <w:spacing w:after="0" w:line="259" w:lineRule="auto"/>
              <w:ind w:left="0" w:firstLine="0"/>
              <w:jc w:val="left"/>
            </w:pPr>
            <w:r>
              <w:t xml:space="preserve">Pernerova 691/42, Praha 8 - Karlín </w:t>
            </w:r>
          </w:p>
        </w:tc>
      </w:tr>
      <w:tr w:rsidR="00600975">
        <w:trPr>
          <w:trHeight w:val="293"/>
        </w:trPr>
        <w:tc>
          <w:tcPr>
            <w:tcW w:w="3193" w:type="dxa"/>
            <w:tcBorders>
              <w:top w:val="nil"/>
              <w:left w:val="nil"/>
              <w:bottom w:val="nil"/>
              <w:right w:val="nil"/>
            </w:tcBorders>
          </w:tcPr>
          <w:p w:rsidR="00600975" w:rsidRDefault="00D67EFA">
            <w:pPr>
              <w:spacing w:after="0" w:line="259" w:lineRule="auto"/>
              <w:ind w:left="0" w:firstLine="0"/>
              <w:jc w:val="left"/>
            </w:pPr>
            <w:r>
              <w:t xml:space="preserve">Zastoupený: </w:t>
            </w:r>
          </w:p>
        </w:tc>
        <w:tc>
          <w:tcPr>
            <w:tcW w:w="550" w:type="dxa"/>
            <w:tcBorders>
              <w:top w:val="nil"/>
              <w:left w:val="nil"/>
              <w:bottom w:val="nil"/>
              <w:right w:val="nil"/>
            </w:tcBorders>
          </w:tcPr>
          <w:p w:rsidR="00600975" w:rsidRDefault="00600975">
            <w:pPr>
              <w:spacing w:after="160" w:line="259" w:lineRule="auto"/>
              <w:ind w:left="0" w:firstLine="0"/>
              <w:jc w:val="left"/>
            </w:pPr>
          </w:p>
        </w:tc>
        <w:tc>
          <w:tcPr>
            <w:tcW w:w="4902" w:type="dxa"/>
            <w:tcBorders>
              <w:top w:val="nil"/>
              <w:left w:val="nil"/>
              <w:bottom w:val="nil"/>
              <w:right w:val="nil"/>
            </w:tcBorders>
          </w:tcPr>
          <w:p w:rsidR="00600975" w:rsidRDefault="001429B4">
            <w:pPr>
              <w:spacing w:after="0" w:line="259" w:lineRule="auto"/>
              <w:ind w:left="0" w:firstLine="0"/>
              <w:jc w:val="left"/>
            </w:pPr>
            <w:r w:rsidRPr="001429B4">
              <w:t xml:space="preserve">Prokura: Nicolas </w:t>
            </w:r>
            <w:proofErr w:type="spellStart"/>
            <w:r w:rsidRPr="001429B4">
              <w:t>Eich</w:t>
            </w:r>
            <w:proofErr w:type="spellEnd"/>
            <w:r w:rsidRPr="001429B4">
              <w:t>, Generální ředitel</w:t>
            </w:r>
          </w:p>
        </w:tc>
      </w:tr>
      <w:tr w:rsidR="00600975">
        <w:trPr>
          <w:trHeight w:val="583"/>
        </w:trPr>
        <w:tc>
          <w:tcPr>
            <w:tcW w:w="3193" w:type="dxa"/>
            <w:tcBorders>
              <w:top w:val="nil"/>
              <w:left w:val="nil"/>
              <w:bottom w:val="nil"/>
              <w:right w:val="nil"/>
            </w:tcBorders>
          </w:tcPr>
          <w:p w:rsidR="00600975" w:rsidRDefault="00D67EFA">
            <w:pPr>
              <w:spacing w:after="77" w:line="259" w:lineRule="auto"/>
              <w:ind w:left="0" w:firstLine="0"/>
              <w:jc w:val="left"/>
            </w:pPr>
            <w:r>
              <w:t xml:space="preserve">Společnost zapsaná v OR: </w:t>
            </w:r>
          </w:p>
          <w:p w:rsidR="00600975" w:rsidRDefault="00D67EFA">
            <w:pPr>
              <w:spacing w:after="0" w:line="259" w:lineRule="auto"/>
              <w:ind w:left="0" w:firstLine="0"/>
              <w:jc w:val="left"/>
            </w:pPr>
            <w:r>
              <w:t xml:space="preserve">Kontaktní osoba a osoba  </w:t>
            </w:r>
          </w:p>
        </w:tc>
        <w:tc>
          <w:tcPr>
            <w:tcW w:w="550" w:type="dxa"/>
            <w:tcBorders>
              <w:top w:val="nil"/>
              <w:left w:val="nil"/>
              <w:bottom w:val="nil"/>
              <w:right w:val="nil"/>
            </w:tcBorders>
          </w:tcPr>
          <w:p w:rsidR="00600975" w:rsidRDefault="00600975">
            <w:pPr>
              <w:spacing w:after="160" w:line="259" w:lineRule="auto"/>
              <w:ind w:left="0" w:firstLine="0"/>
              <w:jc w:val="left"/>
            </w:pPr>
          </w:p>
        </w:tc>
        <w:tc>
          <w:tcPr>
            <w:tcW w:w="4902" w:type="dxa"/>
            <w:tcBorders>
              <w:top w:val="nil"/>
              <w:left w:val="nil"/>
              <w:bottom w:val="nil"/>
              <w:right w:val="nil"/>
            </w:tcBorders>
          </w:tcPr>
          <w:p w:rsidR="00600975" w:rsidRDefault="00D67EFA">
            <w:pPr>
              <w:spacing w:after="0" w:line="259" w:lineRule="auto"/>
              <w:ind w:left="0" w:firstLine="0"/>
            </w:pPr>
            <w:proofErr w:type="gramStart"/>
            <w:r>
              <w:t>vedeném</w:t>
            </w:r>
            <w:proofErr w:type="gramEnd"/>
            <w:r>
              <w:t xml:space="preserve"> městským soudem v Praze </w:t>
            </w:r>
            <w:proofErr w:type="spellStart"/>
            <w:r>
              <w:t>sp</w:t>
            </w:r>
            <w:proofErr w:type="spellEnd"/>
            <w:r>
              <w:t xml:space="preserve">. zn. C 170804 </w:t>
            </w:r>
          </w:p>
        </w:tc>
      </w:tr>
      <w:tr w:rsidR="00600975">
        <w:trPr>
          <w:trHeight w:val="654"/>
        </w:trPr>
        <w:tc>
          <w:tcPr>
            <w:tcW w:w="3193" w:type="dxa"/>
            <w:tcBorders>
              <w:top w:val="nil"/>
              <w:left w:val="nil"/>
              <w:bottom w:val="nil"/>
              <w:right w:val="nil"/>
            </w:tcBorders>
          </w:tcPr>
          <w:p w:rsidR="00600975" w:rsidRDefault="00D67EFA">
            <w:pPr>
              <w:spacing w:after="0" w:line="259" w:lineRule="auto"/>
              <w:ind w:left="0" w:firstLine="0"/>
              <w:jc w:val="left"/>
            </w:pPr>
            <w:r>
              <w:t xml:space="preserve">oprávněná k podpisu smlouvy: </w:t>
            </w:r>
          </w:p>
          <w:p w:rsidR="00600975" w:rsidRDefault="00D67EFA">
            <w:pPr>
              <w:spacing w:after="0" w:line="259" w:lineRule="auto"/>
              <w:ind w:left="0" w:firstLine="0"/>
              <w:jc w:val="left"/>
            </w:pPr>
            <w:r>
              <w:t xml:space="preserve"> </w:t>
            </w:r>
          </w:p>
        </w:tc>
        <w:tc>
          <w:tcPr>
            <w:tcW w:w="550" w:type="dxa"/>
            <w:tcBorders>
              <w:top w:val="nil"/>
              <w:left w:val="nil"/>
              <w:bottom w:val="nil"/>
              <w:right w:val="nil"/>
            </w:tcBorders>
          </w:tcPr>
          <w:p w:rsidR="00600975" w:rsidRDefault="00600975">
            <w:pPr>
              <w:spacing w:after="160" w:line="259" w:lineRule="auto"/>
              <w:ind w:left="0" w:firstLine="0"/>
              <w:jc w:val="left"/>
            </w:pPr>
          </w:p>
        </w:tc>
        <w:tc>
          <w:tcPr>
            <w:tcW w:w="4902" w:type="dxa"/>
            <w:tcBorders>
              <w:top w:val="nil"/>
              <w:left w:val="nil"/>
              <w:bottom w:val="nil"/>
              <w:right w:val="nil"/>
            </w:tcBorders>
          </w:tcPr>
          <w:p w:rsidR="00600975" w:rsidRDefault="007C434F">
            <w:pPr>
              <w:spacing w:after="0" w:line="259" w:lineRule="auto"/>
              <w:ind w:left="0" w:firstLine="0"/>
              <w:jc w:val="left"/>
            </w:pPr>
            <w:proofErr w:type="spellStart"/>
            <w:r>
              <w:t>xxxxxxxxxxxxxxxxxxxxx</w:t>
            </w:r>
            <w:proofErr w:type="spellEnd"/>
            <w:r w:rsidR="00D67EFA">
              <w:t xml:space="preserve"> </w:t>
            </w:r>
          </w:p>
        </w:tc>
      </w:tr>
      <w:tr w:rsidR="00600975">
        <w:trPr>
          <w:trHeight w:val="410"/>
        </w:trPr>
        <w:tc>
          <w:tcPr>
            <w:tcW w:w="3193" w:type="dxa"/>
            <w:tcBorders>
              <w:top w:val="nil"/>
              <w:left w:val="nil"/>
              <w:bottom w:val="nil"/>
              <w:right w:val="nil"/>
            </w:tcBorders>
            <w:vAlign w:val="bottom"/>
          </w:tcPr>
          <w:p w:rsidR="00600975" w:rsidRDefault="00D67EFA">
            <w:pPr>
              <w:spacing w:after="0" w:line="259" w:lineRule="auto"/>
              <w:ind w:left="0" w:firstLine="0"/>
              <w:jc w:val="left"/>
            </w:pPr>
            <w:r>
              <w:t xml:space="preserve">Bankovní spojení: </w:t>
            </w:r>
          </w:p>
        </w:tc>
        <w:tc>
          <w:tcPr>
            <w:tcW w:w="550" w:type="dxa"/>
            <w:tcBorders>
              <w:top w:val="nil"/>
              <w:left w:val="nil"/>
              <w:bottom w:val="nil"/>
              <w:right w:val="nil"/>
            </w:tcBorders>
            <w:vAlign w:val="bottom"/>
          </w:tcPr>
          <w:p w:rsidR="00600975" w:rsidRDefault="00D67EFA">
            <w:pPr>
              <w:spacing w:after="0" w:line="259" w:lineRule="auto"/>
              <w:ind w:left="156" w:firstLine="0"/>
              <w:jc w:val="left"/>
            </w:pPr>
            <w:r>
              <w:t xml:space="preserve">  </w:t>
            </w:r>
          </w:p>
        </w:tc>
        <w:tc>
          <w:tcPr>
            <w:tcW w:w="4902" w:type="dxa"/>
            <w:tcBorders>
              <w:top w:val="nil"/>
              <w:left w:val="nil"/>
              <w:bottom w:val="nil"/>
              <w:right w:val="nil"/>
            </w:tcBorders>
            <w:vAlign w:val="bottom"/>
          </w:tcPr>
          <w:p w:rsidR="00600975" w:rsidRDefault="00D67EFA">
            <w:pPr>
              <w:spacing w:after="0" w:line="259" w:lineRule="auto"/>
              <w:ind w:left="0" w:firstLine="0"/>
              <w:jc w:val="left"/>
            </w:pPr>
            <w:r>
              <w:t xml:space="preserve">51-2498720257/0100 </w:t>
            </w:r>
          </w:p>
        </w:tc>
      </w:tr>
      <w:tr w:rsidR="00600975">
        <w:trPr>
          <w:trHeight w:val="288"/>
        </w:trPr>
        <w:tc>
          <w:tcPr>
            <w:tcW w:w="3193" w:type="dxa"/>
            <w:tcBorders>
              <w:top w:val="nil"/>
              <w:left w:val="nil"/>
              <w:bottom w:val="nil"/>
              <w:right w:val="nil"/>
            </w:tcBorders>
          </w:tcPr>
          <w:p w:rsidR="00600975" w:rsidRDefault="00D67EFA">
            <w:pPr>
              <w:spacing w:after="0" w:line="259" w:lineRule="auto"/>
              <w:ind w:left="0" w:firstLine="0"/>
              <w:jc w:val="left"/>
            </w:pPr>
            <w:r>
              <w:t xml:space="preserve">IČO: </w:t>
            </w:r>
          </w:p>
        </w:tc>
        <w:tc>
          <w:tcPr>
            <w:tcW w:w="550" w:type="dxa"/>
            <w:tcBorders>
              <w:top w:val="nil"/>
              <w:left w:val="nil"/>
              <w:bottom w:val="nil"/>
              <w:right w:val="nil"/>
            </w:tcBorders>
          </w:tcPr>
          <w:p w:rsidR="00600975" w:rsidRDefault="00D67EFA">
            <w:pPr>
              <w:spacing w:after="0" w:line="259" w:lineRule="auto"/>
              <w:ind w:left="156" w:firstLine="0"/>
              <w:jc w:val="left"/>
            </w:pPr>
            <w:r>
              <w:t xml:space="preserve"> </w:t>
            </w:r>
          </w:p>
        </w:tc>
        <w:tc>
          <w:tcPr>
            <w:tcW w:w="4902" w:type="dxa"/>
            <w:tcBorders>
              <w:top w:val="nil"/>
              <w:left w:val="nil"/>
              <w:bottom w:val="nil"/>
              <w:right w:val="nil"/>
            </w:tcBorders>
          </w:tcPr>
          <w:p w:rsidR="00600975" w:rsidRDefault="00D67EFA">
            <w:pPr>
              <w:spacing w:after="0" w:line="259" w:lineRule="auto"/>
              <w:ind w:left="0" w:firstLine="0"/>
              <w:jc w:val="left"/>
            </w:pPr>
            <w:r>
              <w:t xml:space="preserve">24745391 </w:t>
            </w:r>
          </w:p>
        </w:tc>
      </w:tr>
      <w:tr w:rsidR="00600975">
        <w:trPr>
          <w:trHeight w:val="1383"/>
        </w:trPr>
        <w:tc>
          <w:tcPr>
            <w:tcW w:w="3193" w:type="dxa"/>
            <w:tcBorders>
              <w:top w:val="nil"/>
              <w:left w:val="nil"/>
              <w:bottom w:val="nil"/>
              <w:right w:val="nil"/>
            </w:tcBorders>
          </w:tcPr>
          <w:p w:rsidR="00600975" w:rsidRDefault="00D67EFA">
            <w:pPr>
              <w:spacing w:after="67" w:line="259" w:lineRule="auto"/>
              <w:ind w:left="0" w:firstLine="0"/>
              <w:jc w:val="left"/>
            </w:pPr>
            <w:r>
              <w:t xml:space="preserve">DIČ: </w:t>
            </w:r>
          </w:p>
          <w:p w:rsidR="00600975" w:rsidRDefault="00D67EFA">
            <w:pPr>
              <w:spacing w:after="197" w:line="259" w:lineRule="auto"/>
              <w:ind w:left="0" w:firstLine="0"/>
              <w:jc w:val="left"/>
            </w:pPr>
            <w:r>
              <w:t xml:space="preserve"> </w:t>
            </w:r>
          </w:p>
          <w:p w:rsidR="00600975" w:rsidRDefault="00D67EFA">
            <w:pPr>
              <w:spacing w:after="0" w:line="259" w:lineRule="auto"/>
              <w:ind w:left="0" w:right="854" w:firstLine="0"/>
              <w:jc w:val="left"/>
            </w:pPr>
            <w:r>
              <w:rPr>
                <w:b/>
              </w:rPr>
              <w:t xml:space="preserve">(dále jen „dodavatel") </w:t>
            </w:r>
            <w:r>
              <w:t xml:space="preserve">na straně druhé </w:t>
            </w:r>
          </w:p>
        </w:tc>
        <w:tc>
          <w:tcPr>
            <w:tcW w:w="550" w:type="dxa"/>
            <w:tcBorders>
              <w:top w:val="nil"/>
              <w:left w:val="nil"/>
              <w:bottom w:val="nil"/>
              <w:right w:val="nil"/>
            </w:tcBorders>
          </w:tcPr>
          <w:p w:rsidR="00600975" w:rsidRDefault="00D67EFA">
            <w:pPr>
              <w:spacing w:after="0" w:line="259" w:lineRule="auto"/>
              <w:ind w:left="156" w:firstLine="0"/>
              <w:jc w:val="left"/>
            </w:pPr>
            <w:r>
              <w:t xml:space="preserve"> </w:t>
            </w:r>
          </w:p>
        </w:tc>
        <w:tc>
          <w:tcPr>
            <w:tcW w:w="4902" w:type="dxa"/>
            <w:tcBorders>
              <w:top w:val="nil"/>
              <w:left w:val="nil"/>
              <w:bottom w:val="nil"/>
              <w:right w:val="nil"/>
            </w:tcBorders>
          </w:tcPr>
          <w:p w:rsidR="00600975" w:rsidRDefault="00D67EFA">
            <w:pPr>
              <w:spacing w:after="0" w:line="259" w:lineRule="auto"/>
              <w:ind w:left="0" w:firstLine="0"/>
              <w:jc w:val="left"/>
            </w:pPr>
            <w:r>
              <w:t xml:space="preserve">CZ24745391 </w:t>
            </w:r>
          </w:p>
        </w:tc>
      </w:tr>
    </w:tbl>
    <w:p w:rsidR="00600975" w:rsidRDefault="00D67EFA">
      <w:pPr>
        <w:spacing w:after="19" w:line="546" w:lineRule="auto"/>
        <w:ind w:left="-15" w:firstLine="0"/>
        <w:jc w:val="left"/>
      </w:pPr>
      <w:r>
        <w:t xml:space="preserve">(objednatel a dodavatel společně též jako </w:t>
      </w:r>
      <w:r>
        <w:rPr>
          <w:b/>
        </w:rPr>
        <w:t xml:space="preserve">„smluvní strany" </w:t>
      </w:r>
      <w:r>
        <w:t xml:space="preserve">a/nebo jednotlivě jako </w:t>
      </w:r>
      <w:r>
        <w:rPr>
          <w:b/>
        </w:rPr>
        <w:t>„smluvní strana")</w:t>
      </w:r>
      <w:r>
        <w:t xml:space="preserve"> spolu uzavírají tuto Rámcovou smlouvu na zajištění dodávek volnočasových poukázek </w:t>
      </w:r>
      <w:proofErr w:type="spellStart"/>
      <w:r>
        <w:t>Ticket</w:t>
      </w:r>
      <w:proofErr w:type="spellEnd"/>
      <w:r>
        <w:t xml:space="preserve"> </w:t>
      </w:r>
      <w:proofErr w:type="spellStart"/>
      <w:r>
        <w:t>Multi</w:t>
      </w:r>
      <w:proofErr w:type="spellEnd"/>
      <w:r>
        <w:t xml:space="preserve"> </w:t>
      </w:r>
      <w:r>
        <w:lastRenderedPageBreak/>
        <w:t xml:space="preserve">(dále jen „smlouva") a projevují vůli řídit se všemi jejími ustanoveními. Plnění této smlouvy je financováno z Fondu kulturních a sociálních služeb. </w:t>
      </w:r>
    </w:p>
    <w:p w:rsidR="00600975" w:rsidRDefault="00D67EFA">
      <w:pPr>
        <w:spacing w:after="0" w:line="259" w:lineRule="auto"/>
        <w:ind w:left="0" w:firstLine="0"/>
        <w:jc w:val="left"/>
      </w:pPr>
      <w:r>
        <w:t xml:space="preserve"> </w:t>
      </w:r>
    </w:p>
    <w:p w:rsidR="00600975" w:rsidRDefault="00D67EFA">
      <w:pPr>
        <w:spacing w:after="11" w:line="259" w:lineRule="auto"/>
        <w:ind w:left="0" w:firstLine="0"/>
        <w:jc w:val="left"/>
      </w:pPr>
      <w:r>
        <w:t xml:space="preserve"> </w:t>
      </w:r>
    </w:p>
    <w:p w:rsidR="00600975" w:rsidRDefault="00D67EFA">
      <w:pPr>
        <w:spacing w:after="56" w:line="259" w:lineRule="auto"/>
        <w:ind w:left="10" w:right="3" w:hanging="10"/>
        <w:jc w:val="center"/>
      </w:pPr>
      <w:r>
        <w:rPr>
          <w:b/>
        </w:rPr>
        <w:t xml:space="preserve">Článek I. </w:t>
      </w:r>
    </w:p>
    <w:p w:rsidR="00600975" w:rsidRDefault="00D67EFA">
      <w:pPr>
        <w:pStyle w:val="Nadpis1"/>
        <w:ind w:right="1"/>
      </w:pPr>
      <w:r>
        <w:t xml:space="preserve">Předmět smlouvy </w:t>
      </w:r>
    </w:p>
    <w:p w:rsidR="00600975" w:rsidRDefault="00D67EFA">
      <w:pPr>
        <w:spacing w:after="51" w:line="259" w:lineRule="auto"/>
        <w:ind w:left="52" w:firstLine="0"/>
        <w:jc w:val="center"/>
      </w:pPr>
      <w:r>
        <w:rPr>
          <w:b/>
        </w:rPr>
        <w:t xml:space="preserve"> </w:t>
      </w:r>
    </w:p>
    <w:p w:rsidR="00600975" w:rsidRDefault="00D67EFA">
      <w:pPr>
        <w:numPr>
          <w:ilvl w:val="0"/>
          <w:numId w:val="1"/>
        </w:numPr>
        <w:ind w:hanging="410"/>
      </w:pPr>
      <w:r>
        <w:t>Předmětem této smlouvy je vymezení vzájemných práv a povinností jakož i sjednání závazných podmínek, kterými se budou smluvní strany po dobu její platnosti řídit při realizaci dodávek proti zfalšování zabezpečených volnočasových poukázek (dále jen „poukázky</w:t>
      </w:r>
      <w:r>
        <w:rPr>
          <w:vertAlign w:val="superscript"/>
        </w:rPr>
        <w:t>11</w:t>
      </w:r>
      <w:r>
        <w:t xml:space="preserve">) dodavatele v nominální hodnotě 100,- Kč (slovy: sto korun českých), za něž je možno čerpat služby ve smyslu § 236 zákona č. 262/2006 Sb., zákoník práce, ve znění pozdějších předpisů. </w:t>
      </w:r>
    </w:p>
    <w:p w:rsidR="00600975" w:rsidRDefault="00D67EFA">
      <w:pPr>
        <w:numPr>
          <w:ilvl w:val="0"/>
          <w:numId w:val="1"/>
        </w:numPr>
        <w:spacing w:after="311"/>
        <w:ind w:hanging="410"/>
      </w:pPr>
      <w:r>
        <w:t xml:space="preserve">Poukázky může uživatel uplatnit ve vybraných provozovnách, jež budou označeny emblémem </w:t>
      </w:r>
      <w:proofErr w:type="spellStart"/>
      <w:r>
        <w:t>Edenred</w:t>
      </w:r>
      <w:proofErr w:type="spellEnd"/>
      <w:r>
        <w:t xml:space="preserve"> </w:t>
      </w:r>
      <w:proofErr w:type="spellStart"/>
      <w:r>
        <w:t>Multi</w:t>
      </w:r>
      <w:proofErr w:type="spellEnd"/>
      <w:r>
        <w:t xml:space="preserve"> Poukázky budou použity pro potřeby objednatele v České republice, které budou sloužit k zajištění úhrady služeb a pořízení zboží jako zaměstnanecký benefit pro využití ve volném čase v oblasti kultury, tělovýchovy a sportu, vzdělávání, rehabilitace, zdraví apod. a jejich použití je v souladu s vyhláškou č. 114/2002 Sb., o fondu kulturních a sociálních potřeb, v platném znění. Za řádně dodané poukázky objednatel zaplatí řádně a včas úplatu sjednanou za podmínek stanovených dále v této smlouvě. </w:t>
      </w:r>
    </w:p>
    <w:p w:rsidR="00600975" w:rsidRDefault="00D67EFA">
      <w:pPr>
        <w:spacing w:after="56" w:line="259" w:lineRule="auto"/>
        <w:ind w:left="10" w:right="5" w:hanging="10"/>
        <w:jc w:val="center"/>
      </w:pPr>
      <w:r>
        <w:rPr>
          <w:b/>
        </w:rPr>
        <w:t xml:space="preserve">Článek II. </w:t>
      </w:r>
    </w:p>
    <w:p w:rsidR="00600975" w:rsidRDefault="00D67EFA">
      <w:pPr>
        <w:pStyle w:val="Nadpis1"/>
        <w:ind w:right="8"/>
      </w:pPr>
      <w:r>
        <w:t xml:space="preserve">Podmínky uzavírání dílčích objednávek </w:t>
      </w:r>
    </w:p>
    <w:p w:rsidR="00600975" w:rsidRDefault="00D67EFA">
      <w:pPr>
        <w:spacing w:after="53" w:line="259" w:lineRule="auto"/>
        <w:ind w:left="52" w:firstLine="0"/>
        <w:jc w:val="center"/>
      </w:pPr>
      <w:r>
        <w:rPr>
          <w:b/>
        </w:rPr>
        <w:t xml:space="preserve"> </w:t>
      </w:r>
    </w:p>
    <w:p w:rsidR="00600975" w:rsidRDefault="00D67EFA">
      <w:pPr>
        <w:ind w:left="-15" w:firstLine="0"/>
      </w:pPr>
      <w:r>
        <w:t>1.  Dodávky poukázek v rámci uzavřené smlouvy budou realizovány na základě samostatných dílčích objednávek formou písemných výzev objednatele k poskytnutí plnění (dále také jen „objednávky</w:t>
      </w:r>
      <w:r>
        <w:rPr>
          <w:vertAlign w:val="superscript"/>
        </w:rPr>
        <w:t>11</w:t>
      </w:r>
      <w:r>
        <w:t xml:space="preserve">). 2.  Osobami oprávněnými k vystavení objednávky za objednatele jsou zaměstnankyně objednatele </w:t>
      </w:r>
      <w:proofErr w:type="spellStart"/>
      <w:r w:rsidR="007C434F">
        <w:t>xxxxxxxxxxxxxxxxxxxxxxx</w:t>
      </w:r>
      <w:r>
        <w:t>Případnou</w:t>
      </w:r>
      <w:proofErr w:type="spellEnd"/>
      <w:r>
        <w:t xml:space="preserve"> změnu oprávněných osob se objednatel zavazuje dodavateli sdělit před realizací dílčí objednávky. </w:t>
      </w:r>
    </w:p>
    <w:p w:rsidR="00600975" w:rsidRDefault="00D67EFA">
      <w:pPr>
        <w:numPr>
          <w:ilvl w:val="0"/>
          <w:numId w:val="2"/>
        </w:numPr>
        <w:ind w:hanging="410"/>
      </w:pPr>
      <w:r>
        <w:t xml:space="preserve">Objednávka bude obsahovat číslo objednávky, požadavek konkrétního počtu poukázek v nominální hodnotě dle této smlouvy a celkovou cenu plnění. </w:t>
      </w:r>
    </w:p>
    <w:p w:rsidR="00600975" w:rsidRDefault="00D67EFA">
      <w:pPr>
        <w:numPr>
          <w:ilvl w:val="0"/>
          <w:numId w:val="2"/>
        </w:numPr>
        <w:ind w:hanging="410"/>
      </w:pPr>
      <w:r>
        <w:t xml:space="preserve">Objednatel poukázky objednává zpravidla 1x (slovy: jedenkrát) za 3. měsíce, a to elektronickou poštou na adrese: </w:t>
      </w:r>
      <w:r>
        <w:rPr>
          <w:color w:val="0066CC"/>
          <w:u w:val="single" w:color="0066CC"/>
        </w:rPr>
        <w:t>obiednavkv-cz@edenred.com</w:t>
      </w:r>
      <w:r>
        <w:t xml:space="preserve">. Dodavatel potvrdí přijetí objednávky nejpozději do konce následujícího pracovního dne po dni, kdy tuto obdržel a to v souladu s formou objednávky na adresu kontaktní osoby objednatele, která tuto objednávku dodavateli odeslala. </w:t>
      </w:r>
    </w:p>
    <w:p w:rsidR="00600975" w:rsidRDefault="00D67EFA">
      <w:pPr>
        <w:numPr>
          <w:ilvl w:val="0"/>
          <w:numId w:val="2"/>
        </w:numPr>
        <w:ind w:hanging="410"/>
      </w:pPr>
      <w:r>
        <w:t>Dodavatel se zavazuje dodávat jednotlivé zásilky v personifikované podobě tj. dodávat konkrétní počet poukázek pro konkrétní zaměstnance FDV s uvedením jména zaměstnance na přední straně obálky (dále jen „personifikace stravenky</w:t>
      </w:r>
      <w:r>
        <w:rPr>
          <w:vertAlign w:val="superscript"/>
        </w:rPr>
        <w:t>11</w:t>
      </w:r>
      <w:r>
        <w:t xml:space="preserve">), případně i v podobě nepersonifikovaných obálek, a to na své nebezpečí a zdarma do sídla objednatele, a to do 5 (slovy: pěti) pracovních dnů ode dne doručení objednávky. </w:t>
      </w:r>
    </w:p>
    <w:p w:rsidR="00600975" w:rsidRDefault="00D67EFA">
      <w:pPr>
        <w:numPr>
          <w:ilvl w:val="0"/>
          <w:numId w:val="2"/>
        </w:numPr>
        <w:ind w:hanging="410"/>
      </w:pPr>
      <w:r>
        <w:t xml:space="preserve">Bude-li mít dodavatel jakékoli pochybnosti ohledně dílčích objednávek, požádá objednatele o upřesnění nebo doplnění. Neučiní-li tak, mají smluvní strany za to, že požadavky jsou dodavateli srozumitelné a nemůže se z tohoto důvodu zprostit odpovědnosti za případné vady plnění. </w:t>
      </w:r>
    </w:p>
    <w:p w:rsidR="00600975" w:rsidRDefault="00D67EFA">
      <w:pPr>
        <w:numPr>
          <w:ilvl w:val="0"/>
          <w:numId w:val="2"/>
        </w:numPr>
        <w:ind w:hanging="410"/>
      </w:pPr>
      <w:r>
        <w:t xml:space="preserve">Korespondence smluvních stran bude při uzavírání dílčích objednávek vedena v elektronické podobě ve formátu a zabezpečení dohodnutém oběma smluvními stranami. </w:t>
      </w:r>
    </w:p>
    <w:p w:rsidR="00600975" w:rsidRDefault="00D67EFA">
      <w:pPr>
        <w:numPr>
          <w:ilvl w:val="0"/>
          <w:numId w:val="2"/>
        </w:numPr>
        <w:ind w:hanging="410"/>
      </w:pPr>
      <w:r>
        <w:t xml:space="preserve">Převzetí dodávek poukázek na základě dílčích objednávek potvrzuje oprávněný zástupce objednatele při jejich doručení a převzetí v sídle objednatele na dodavatelem vypracovaném předávacím protokolu. Potvrzuje převzetí nepoškozené a uzavřené zásilky s tím, že dodací list je uvnitř této zásilky. Úplnost zásilky kontroluje objednatel následně. Není-li zásilka úplná, případně má-li jiné vady, je povinen ji bez odkladu reklamovat u dodavatele za podmínek uvedených v této smlouvě (čl. VII.). </w:t>
      </w:r>
    </w:p>
    <w:p w:rsidR="00600975" w:rsidRDefault="00D67EFA">
      <w:pPr>
        <w:numPr>
          <w:ilvl w:val="0"/>
          <w:numId w:val="2"/>
        </w:numPr>
        <w:spacing w:after="19" w:line="254" w:lineRule="auto"/>
        <w:ind w:hanging="410"/>
      </w:pPr>
      <w:r>
        <w:t xml:space="preserve">Seznam osob oprávněných k převzetí dodávek v sídle objednatele je uveden v příloze č. 1 této smlouvy, která je její nedílnou součástí. Případné změny bude objednatel oznamovat dodavateli bezodkladně. </w:t>
      </w:r>
    </w:p>
    <w:p w:rsidR="00600975" w:rsidRDefault="00D67EFA">
      <w:pPr>
        <w:numPr>
          <w:ilvl w:val="0"/>
          <w:numId w:val="2"/>
        </w:numPr>
        <w:spacing w:after="2053"/>
        <w:ind w:hanging="410"/>
      </w:pPr>
      <w:r>
        <w:t>Předávací protokol musí obsahovat zejména specifikaci poukázek (zejména co do množství), číslo objednávky, datum a místo dodání, podpisy oprávněných osob a informaci o stavu převzaté dodávky (odst. 8 výše).</w:t>
      </w:r>
    </w:p>
    <w:p w:rsidR="00600975" w:rsidRDefault="00D67EFA">
      <w:pPr>
        <w:spacing w:after="0" w:line="259" w:lineRule="auto"/>
        <w:ind w:left="0" w:firstLine="0"/>
        <w:jc w:val="left"/>
      </w:pPr>
      <w:r>
        <w:lastRenderedPageBreak/>
        <w:t xml:space="preserve"> </w:t>
      </w:r>
    </w:p>
    <w:p w:rsidR="00600975" w:rsidRDefault="00600975">
      <w:pPr>
        <w:sectPr w:rsidR="00600975">
          <w:footnotePr>
            <w:numRestart w:val="eachPage"/>
          </w:footnotePr>
          <w:pgSz w:w="11899" w:h="16841"/>
          <w:pgMar w:top="7" w:right="1438" w:bottom="4" w:left="1366" w:header="708" w:footer="708" w:gutter="0"/>
          <w:cols w:space="708"/>
        </w:sectPr>
      </w:pPr>
    </w:p>
    <w:p w:rsidR="00600975" w:rsidRDefault="00D67EFA">
      <w:pPr>
        <w:spacing w:after="518" w:line="259" w:lineRule="auto"/>
        <w:ind w:left="0" w:firstLine="0"/>
        <w:jc w:val="left"/>
      </w:pPr>
      <w:r>
        <w:rPr>
          <w:sz w:val="16"/>
        </w:rPr>
        <w:lastRenderedPageBreak/>
        <w:t xml:space="preserve"> </w:t>
      </w:r>
    </w:p>
    <w:p w:rsidR="00600975" w:rsidRDefault="00D67EFA">
      <w:pPr>
        <w:spacing w:after="241" w:line="259" w:lineRule="auto"/>
        <w:ind w:left="0" w:firstLine="0"/>
        <w:jc w:val="left"/>
      </w:pPr>
      <w:r>
        <w:rPr>
          <w:sz w:val="2"/>
        </w:rPr>
        <w:t xml:space="preserve"> </w:t>
      </w:r>
    </w:p>
    <w:p w:rsidR="00600975" w:rsidRDefault="00D67EFA">
      <w:pPr>
        <w:numPr>
          <w:ilvl w:val="0"/>
          <w:numId w:val="2"/>
        </w:numPr>
        <w:spacing w:after="310"/>
        <w:ind w:hanging="410"/>
      </w:pPr>
      <w:r>
        <w:t xml:space="preserve">Objednatel si vyhrazuje právo libovolně stanovit počet objednaných poukázek, případně určitý kalendářní měsíc (měsíce) poukázky neobjednat a neodebrat vůbec, a to bez jakýchkoli sankčních následků ze strany dodavatele. Dodavatel s touto výhradou souhlasí a zavazuje se dodávat poukázky podle pokynů objednatele. </w:t>
      </w:r>
    </w:p>
    <w:p w:rsidR="00600975" w:rsidRDefault="00D67EFA">
      <w:pPr>
        <w:spacing w:after="2" w:line="259" w:lineRule="auto"/>
        <w:ind w:left="10" w:right="5" w:hanging="10"/>
        <w:jc w:val="center"/>
      </w:pPr>
      <w:r>
        <w:rPr>
          <w:b/>
        </w:rPr>
        <w:t xml:space="preserve">Článek III. </w:t>
      </w:r>
    </w:p>
    <w:p w:rsidR="00600975" w:rsidRDefault="00D67EFA">
      <w:pPr>
        <w:pStyle w:val="Nadpis1"/>
        <w:ind w:right="8"/>
      </w:pPr>
      <w:r>
        <w:t xml:space="preserve">Kupní cena a platební podmínky </w:t>
      </w:r>
    </w:p>
    <w:p w:rsidR="00600975" w:rsidRDefault="00D67EFA">
      <w:pPr>
        <w:spacing w:after="8" w:line="259" w:lineRule="auto"/>
        <w:ind w:left="50" w:firstLine="0"/>
        <w:jc w:val="center"/>
      </w:pPr>
      <w:r>
        <w:rPr>
          <w:b/>
        </w:rPr>
        <w:t xml:space="preserve"> </w:t>
      </w:r>
    </w:p>
    <w:p w:rsidR="00600975" w:rsidRDefault="00D67EFA">
      <w:pPr>
        <w:numPr>
          <w:ilvl w:val="0"/>
          <w:numId w:val="3"/>
        </w:numPr>
        <w:spacing w:after="64"/>
        <w:ind w:hanging="360"/>
      </w:pPr>
      <w:r>
        <w:t xml:space="preserve">Cena plnění každé zakázky, tj. dodávky stravenek v kalendářním měsíci, se sjednává ve výši násobku jednotkové ceny 100,- Kč (slovy: sto korun českých) za poukázku a počtu poukázek objednatelem objednaných a dodavatelem skutečně dodaných v daný kalendářní </w:t>
      </w:r>
      <w:proofErr w:type="gramStart"/>
      <w:r>
        <w:t>měsíc</w:t>
      </w:r>
      <w:proofErr w:type="gramEnd"/>
      <w:r>
        <w:t xml:space="preserve">. Cena plnění je vždy uvedena ve výzvě k plnění. </w:t>
      </w:r>
    </w:p>
    <w:p w:rsidR="00600975" w:rsidRDefault="00D67EFA">
      <w:pPr>
        <w:numPr>
          <w:ilvl w:val="0"/>
          <w:numId w:val="3"/>
        </w:numPr>
        <w:spacing w:after="64"/>
        <w:ind w:hanging="360"/>
      </w:pPr>
      <w:r>
        <w:t xml:space="preserve">Objednatel a dodavatel se dohodli na provizi ve výši 0% z celkové hodnoty objednávaných poukázek. </w:t>
      </w:r>
    </w:p>
    <w:p w:rsidR="00600975" w:rsidRDefault="00D67EFA">
      <w:pPr>
        <w:numPr>
          <w:ilvl w:val="0"/>
          <w:numId w:val="3"/>
        </w:numPr>
        <w:spacing w:after="66"/>
        <w:ind w:hanging="360"/>
      </w:pPr>
      <w:r>
        <w:t xml:space="preserve">Cena plnění obsahuje veškeré náklady dodavatele spojené s plněním této smlouvy, a to včetně nákladů na pořízení poukázek, jejich třídění, personifikaci stravenek, dopravu do sídla objednatele, případně jakékoli další vedlejší náklady dodavatele nezbytné k řádnému splnění předmětu plnění. </w:t>
      </w:r>
    </w:p>
    <w:p w:rsidR="00600975" w:rsidRDefault="00D67EFA">
      <w:pPr>
        <w:numPr>
          <w:ilvl w:val="0"/>
          <w:numId w:val="3"/>
        </w:numPr>
        <w:spacing w:after="68"/>
        <w:ind w:hanging="360"/>
      </w:pPr>
      <w:r>
        <w:t>Daňový doklad - faktura (dále jen „faktura"), vystavená dodavatelem po řádném a včasném splnění dílčí objednávky, musí obsahovat veškeré náležitosti daňového dokladu podle obecně závazných předpisů a dále musí obsahovat označení zakázky „Dodávka volnočasových poukázek 2019“, název a registrační číslo projektu, z nějž bude příslušné dílčí plnění financováno</w:t>
      </w:r>
      <w:r>
        <w:rPr>
          <w:vertAlign w:val="superscript"/>
        </w:rPr>
        <w:footnoteReference w:id="1"/>
      </w:r>
      <w:r>
        <w:t xml:space="preserve">. Přílohou faktury musí být stejnopis dodacího listu s potvrzením převzetí dodávky bez jakýchkoli vad oběma smluvními stranami. </w:t>
      </w:r>
    </w:p>
    <w:p w:rsidR="00600975" w:rsidRDefault="00D67EFA">
      <w:pPr>
        <w:numPr>
          <w:ilvl w:val="0"/>
          <w:numId w:val="3"/>
        </w:numPr>
        <w:ind w:hanging="360"/>
      </w:pPr>
      <w:r>
        <w:t xml:space="preserve">Doba splatnosti faktury je stanovena na 30 kalendářních dnů ode dne jeho doručení objednateli. </w:t>
      </w:r>
    </w:p>
    <w:p w:rsidR="00600975" w:rsidRDefault="00D67EFA">
      <w:pPr>
        <w:numPr>
          <w:ilvl w:val="0"/>
          <w:numId w:val="3"/>
        </w:numPr>
        <w:spacing w:after="61"/>
        <w:ind w:hanging="360"/>
      </w:pPr>
      <w:r>
        <w:t xml:space="preserve">Platby budou probíhat výhradně v korunách českých (Kč) a rovněž veškeré uvedené cenová údaje budou v Kč. </w:t>
      </w:r>
    </w:p>
    <w:p w:rsidR="00600975" w:rsidRDefault="00D67EFA">
      <w:pPr>
        <w:numPr>
          <w:ilvl w:val="0"/>
          <w:numId w:val="3"/>
        </w:numPr>
        <w:spacing w:after="65"/>
        <w:ind w:hanging="360"/>
      </w:pPr>
      <w:r>
        <w:t xml:space="preserve">Každá faktura vystavená dodavatelem bude objednateli doručena k proplacení buď v listinné podobě na adresu sídla objednatele uvedenou v záhlaví smlouvy nebo v elektronické podobě do datové schránky objednatele či na emailovou adresu </w:t>
      </w:r>
      <w:r>
        <w:rPr>
          <w:color w:val="0066CC"/>
          <w:u w:val="single" w:color="0066CC"/>
        </w:rPr>
        <w:t>fakturace@fdv.cz</w:t>
      </w:r>
      <w:r>
        <w:t xml:space="preserve">. </w:t>
      </w:r>
    </w:p>
    <w:p w:rsidR="00600975" w:rsidRDefault="00D67EFA">
      <w:pPr>
        <w:numPr>
          <w:ilvl w:val="0"/>
          <w:numId w:val="3"/>
        </w:numPr>
        <w:spacing w:after="58"/>
        <w:ind w:hanging="360"/>
      </w:pPr>
      <w:r>
        <w:t xml:space="preserve">Nebude-li faktura obsahovat stanovené náležitosti nebo v ní nebudou správně uvedené údaje, je objednatel oprávněn vrátit jí ve lhůtě splatnosti dodavateli s uvedením chybějících náležitostí nebo nesprávných údajů (výhrad). V takovém případě se ruší doba splatnosti této faktury. Námitky proti údajům uvedeným na faktuře může objednatel uplatnit do konce lhůty její splatnosti s tím, že ji odešle zpět dodavateli s uvedením výhrad. V případě, že dodavatel výhrady bezodkladně jako neoprávněné s odůvodněním neodmítne, je povinen vystavit opravenou fakturu. Okamžikem doručení opravené faktury objednateli běží nová lhůta splatnosti. 9. Faktura se vždy hradí bezhotovostně bankovním převodem na účet dodavatele uvedený v záhlaví této smlouvy. Faktura se pro účely této smlouvy považuje za uhrazenou okamžikem odepsání fakturované částky z účtu objednatele ve prospěch účtu dodavatele. </w:t>
      </w:r>
    </w:p>
    <w:p w:rsidR="00600975" w:rsidRDefault="00D67EFA">
      <w:pPr>
        <w:spacing w:after="264"/>
        <w:ind w:left="-15" w:firstLine="0"/>
      </w:pPr>
      <w:r>
        <w:t xml:space="preserve">10. Objednatel nepřipouští zálohové platby. </w:t>
      </w:r>
    </w:p>
    <w:p w:rsidR="00600975" w:rsidRDefault="00D67EFA">
      <w:pPr>
        <w:spacing w:after="2" w:line="259" w:lineRule="auto"/>
        <w:ind w:left="10" w:right="8" w:hanging="10"/>
        <w:jc w:val="center"/>
      </w:pPr>
      <w:r>
        <w:rPr>
          <w:b/>
        </w:rPr>
        <w:t xml:space="preserve">Článek IV. </w:t>
      </w:r>
    </w:p>
    <w:p w:rsidR="00600975" w:rsidRDefault="00D67EFA">
      <w:pPr>
        <w:pStyle w:val="Nadpis1"/>
        <w:ind w:right="7"/>
      </w:pPr>
      <w:r>
        <w:t xml:space="preserve">Povinnosti dodavatele </w:t>
      </w:r>
    </w:p>
    <w:p w:rsidR="00600975" w:rsidRDefault="00D67EFA">
      <w:pPr>
        <w:spacing w:after="8" w:line="259" w:lineRule="auto"/>
        <w:ind w:left="50" w:firstLine="0"/>
        <w:jc w:val="center"/>
      </w:pPr>
      <w:r>
        <w:rPr>
          <w:b/>
        </w:rPr>
        <w:t xml:space="preserve"> </w:t>
      </w:r>
    </w:p>
    <w:p w:rsidR="00600975" w:rsidRDefault="00D67EFA">
      <w:pPr>
        <w:numPr>
          <w:ilvl w:val="0"/>
          <w:numId w:val="4"/>
        </w:numPr>
        <w:spacing w:after="61"/>
      </w:pPr>
      <w:r>
        <w:t xml:space="preserve">Dodavatel se zavazuje dodávat volnočasové poukázky do sídla objednatele v množství, které objednatel určí dle svých potřeb, na základě řádně vyplněné objednávky. </w:t>
      </w:r>
    </w:p>
    <w:p w:rsidR="00600975" w:rsidRDefault="00D67EFA">
      <w:pPr>
        <w:numPr>
          <w:ilvl w:val="0"/>
          <w:numId w:val="4"/>
        </w:numPr>
      </w:pPr>
      <w:r>
        <w:t xml:space="preserve">Vrátí-li objednatel dodavateli poukázky dle ustanovení čl. VI. odst. 2 smlouvy, zavazuje se dodavatel uhradit objednateli cenu, kterou mu objednatel za tyto poukázky zaplatil, a to formou bezhotovostní úhrady </w:t>
      </w:r>
      <w:r>
        <w:lastRenderedPageBreak/>
        <w:t xml:space="preserve">předmětné nominální částky na účet objednatele uvedený v této smlouvě, a to do 30 dnů ode dne jejich doručení dodavateli.  </w:t>
      </w:r>
    </w:p>
    <w:p w:rsidR="00600975" w:rsidRDefault="00D67EFA">
      <w:pPr>
        <w:numPr>
          <w:ilvl w:val="0"/>
          <w:numId w:val="4"/>
        </w:numPr>
      </w:pPr>
      <w:r>
        <w:t xml:space="preserve">Dodavatel se zavazuje k povinnosti umožnit osobám oprávněným k výkonu kontroly projektů, v rámci něhož je plnění smlouvy hrazeno, provést kontrolu dokladů souvisejících s plněním smlouvy, a to po dobu danou právními předpisy ČR k jejich archivaci (zákon č. 563/1991 Sb., o účetnictví, ve znění pozdějších předpisů a zákon č. 235/2004 Sb., o dani z přidané hodnoty, ve </w:t>
      </w:r>
      <w:proofErr w:type="spellStart"/>
      <w:r>
        <w:t>zněnípozdějších</w:t>
      </w:r>
      <w:proofErr w:type="spellEnd"/>
      <w:r>
        <w:t xml:space="preserve"> předpisů). Dále se dodavatel zavazuje, že je </w:t>
      </w:r>
      <w:proofErr w:type="spellStart"/>
      <w:r>
        <w:t>podleustanovení</w:t>
      </w:r>
      <w:proofErr w:type="spellEnd"/>
      <w:r>
        <w:t xml:space="preserve"> § 2 písm. e) zákona </w:t>
      </w:r>
    </w:p>
    <w:p w:rsidR="00600975" w:rsidRDefault="00D67EFA">
      <w:pPr>
        <w:ind w:left="401" w:firstLine="0"/>
      </w:pPr>
      <w:r>
        <w:t xml:space="preserve">č. 320/2001 Sb., o finanční kontrole ve veřejné správě a </w:t>
      </w:r>
      <w:proofErr w:type="spellStart"/>
      <w:r>
        <w:t>ozměně</w:t>
      </w:r>
      <w:proofErr w:type="spellEnd"/>
      <w:r>
        <w:t xml:space="preserve"> některých zákonů (zákon </w:t>
      </w:r>
    </w:p>
    <w:p w:rsidR="00600975" w:rsidRDefault="00D67EFA">
      <w:pPr>
        <w:spacing w:after="312"/>
        <w:ind w:left="401" w:firstLine="0"/>
      </w:pPr>
      <w:r>
        <w:t xml:space="preserve">o finanční kontrole), ve znění pozdějších předpisů, osobou povinnou spolupůsobit při výkonu finanční kontroly prováděné v souvislosti s úhradou služeb z veřejných výdajů. Veškerá kontrola bude prováděna po předběžné dohodě s dodavatelem. </w:t>
      </w:r>
    </w:p>
    <w:p w:rsidR="00600975" w:rsidRDefault="00D67EFA">
      <w:pPr>
        <w:spacing w:after="43" w:line="259" w:lineRule="auto"/>
        <w:ind w:left="10" w:right="24" w:hanging="10"/>
        <w:jc w:val="center"/>
      </w:pPr>
      <w:r>
        <w:rPr>
          <w:b/>
        </w:rPr>
        <w:t xml:space="preserve">Článek V. </w:t>
      </w:r>
    </w:p>
    <w:p w:rsidR="00600975" w:rsidRDefault="00D67EFA">
      <w:pPr>
        <w:pStyle w:val="Nadpis1"/>
        <w:spacing w:after="45"/>
        <w:ind w:right="28"/>
      </w:pPr>
      <w:r>
        <w:t xml:space="preserve">Povinnosti objednatele </w:t>
      </w:r>
    </w:p>
    <w:p w:rsidR="00600975" w:rsidRDefault="00D67EFA">
      <w:pPr>
        <w:spacing w:after="79" w:line="259" w:lineRule="auto"/>
        <w:ind w:left="31" w:firstLine="0"/>
        <w:jc w:val="center"/>
      </w:pPr>
      <w:r>
        <w:rPr>
          <w:b/>
        </w:rPr>
        <w:t xml:space="preserve"> </w:t>
      </w:r>
    </w:p>
    <w:p w:rsidR="00600975" w:rsidRDefault="00D67EFA">
      <w:pPr>
        <w:numPr>
          <w:ilvl w:val="0"/>
          <w:numId w:val="5"/>
        </w:numPr>
        <w:ind w:hanging="356"/>
      </w:pPr>
      <w:r>
        <w:t xml:space="preserve">Objednatel je povinen dodavateli uhradit dohodnutou cenu sjednanou podle této smlouvy. </w:t>
      </w:r>
    </w:p>
    <w:p w:rsidR="00600975" w:rsidRDefault="00D67EFA">
      <w:pPr>
        <w:numPr>
          <w:ilvl w:val="0"/>
          <w:numId w:val="5"/>
        </w:numPr>
        <w:spacing w:after="311"/>
        <w:ind w:hanging="356"/>
      </w:pPr>
      <w:r>
        <w:t xml:space="preserve">Objednatel se zavazuje pověřit pro styk s dodavatelem nejméně jednu kontaktní osobu, která bude oprávněna odebírat poukázky v sídle objednatele (příloha č. 1 smlouvy). Změnu kontaktní osoby je objednatel povinen dodavateli oznámit bez zbytečného odkladu na adresu uvedenou v záhlaví této smlouvy. </w:t>
      </w:r>
    </w:p>
    <w:p w:rsidR="00600975" w:rsidRDefault="00D67EFA">
      <w:pPr>
        <w:spacing w:after="2" w:line="259" w:lineRule="auto"/>
        <w:ind w:left="10" w:right="27" w:hanging="10"/>
        <w:jc w:val="center"/>
      </w:pPr>
      <w:r>
        <w:rPr>
          <w:b/>
        </w:rPr>
        <w:t xml:space="preserve">Článek VI. </w:t>
      </w:r>
    </w:p>
    <w:p w:rsidR="00600975" w:rsidRDefault="00D67EFA">
      <w:pPr>
        <w:pStyle w:val="Nadpis1"/>
        <w:ind w:right="26"/>
      </w:pPr>
      <w:r>
        <w:t xml:space="preserve">Platnost volnočasových poukázek </w:t>
      </w:r>
    </w:p>
    <w:p w:rsidR="00600975" w:rsidRDefault="00D67EFA">
      <w:pPr>
        <w:spacing w:after="10" w:line="259" w:lineRule="auto"/>
        <w:ind w:left="31" w:firstLine="0"/>
        <w:jc w:val="center"/>
      </w:pPr>
      <w:r>
        <w:rPr>
          <w:b/>
        </w:rPr>
        <w:t xml:space="preserve"> </w:t>
      </w:r>
    </w:p>
    <w:p w:rsidR="00600975" w:rsidRDefault="00D67EFA">
      <w:pPr>
        <w:numPr>
          <w:ilvl w:val="0"/>
          <w:numId w:val="6"/>
        </w:numPr>
        <w:ind w:hanging="356"/>
      </w:pPr>
      <w:r>
        <w:t xml:space="preserve">Poukázky jsou platné vždy pro příslušný kalendářní rok, ve kterém jsou distribuovány. Poukázky distribuované po 10. prosinci daného roku, jsou platné minimálně v lednu následujícího kalendářního roku. Rok platnosti je vždy uveden na poukázce. </w:t>
      </w:r>
    </w:p>
    <w:p w:rsidR="00600975" w:rsidRDefault="00D67EFA">
      <w:pPr>
        <w:numPr>
          <w:ilvl w:val="0"/>
          <w:numId w:val="6"/>
        </w:numPr>
        <w:spacing w:after="311"/>
        <w:ind w:hanging="356"/>
      </w:pPr>
      <w:r>
        <w:t xml:space="preserve">Vrácení nespotřebovaných poukázek objednatelem dodavateli k proplacení je možné, jsou-li doručeny dodavateli nejdéle do 15 (slovy: patnácti) kalendářních dnů po skončení doby platnosti poukázek. Skartační poplatek nebude účtován. Reklamované poukázky tj. poukázky zaslané dodavateli, jejichž reklamace nebyla dosud vyřízena, se z tohoto pohledu považují za řádně vrácené. </w:t>
      </w:r>
    </w:p>
    <w:p w:rsidR="00600975" w:rsidRDefault="00D67EFA">
      <w:pPr>
        <w:spacing w:after="2" w:line="259" w:lineRule="auto"/>
        <w:ind w:left="10" w:right="27" w:hanging="10"/>
        <w:jc w:val="center"/>
      </w:pPr>
      <w:r>
        <w:rPr>
          <w:b/>
        </w:rPr>
        <w:t xml:space="preserve">Článek VII. </w:t>
      </w:r>
    </w:p>
    <w:p w:rsidR="00600975" w:rsidRDefault="00D67EFA">
      <w:pPr>
        <w:pStyle w:val="Nadpis1"/>
        <w:ind w:right="28"/>
      </w:pPr>
      <w:r>
        <w:t xml:space="preserve">Záruční podmínky </w:t>
      </w:r>
    </w:p>
    <w:p w:rsidR="00600975" w:rsidRDefault="00D67EFA">
      <w:pPr>
        <w:spacing w:after="9" w:line="259" w:lineRule="auto"/>
        <w:ind w:left="31" w:firstLine="0"/>
        <w:jc w:val="center"/>
      </w:pPr>
      <w:r>
        <w:rPr>
          <w:b/>
        </w:rPr>
        <w:t xml:space="preserve"> </w:t>
      </w:r>
    </w:p>
    <w:p w:rsidR="00600975" w:rsidRDefault="00D67EFA">
      <w:pPr>
        <w:numPr>
          <w:ilvl w:val="0"/>
          <w:numId w:val="7"/>
        </w:numPr>
      </w:pPr>
      <w:r>
        <w:t xml:space="preserve">Dodavatel poskytuje na dodané poukázky záruku po celou dobu jejich platnosti. Záruka se vztahuje na poukázky jako takové (použitelnost z hlediska jejich kvality). </w:t>
      </w:r>
    </w:p>
    <w:p w:rsidR="00600975" w:rsidRDefault="00D67EFA">
      <w:pPr>
        <w:numPr>
          <w:ilvl w:val="0"/>
          <w:numId w:val="7"/>
        </w:numPr>
      </w:pPr>
      <w:r>
        <w:t xml:space="preserve">Případná reklamace objednatelem musí být zaslána poštou nebo elektronicky (zaručený elektronický podpis smluvní strany pro tento účel nepožadují) a musí obsahovat číslo dílčí objednávky, důvod reklamace, co objednatel požaduje, jméno podavatele reklamace a zpětný kontakt na něj, datum a podpis (podpis se nepožaduje u elektronického podání). Dodavatel se zavazuje vyřídit reklamaci nejpozději do 30 (slovy: třiceti) kalendářních dnů od jejího přijetí. </w:t>
      </w:r>
    </w:p>
    <w:p w:rsidR="00600975" w:rsidRDefault="00D67EFA">
      <w:pPr>
        <w:numPr>
          <w:ilvl w:val="0"/>
          <w:numId w:val="7"/>
        </w:numPr>
      </w:pPr>
      <w:r>
        <w:t xml:space="preserve">Reklamuje-li objednatel kvalitativní vadu poukázek, musí být k reklamaci tyto poukázky přiloženy nebo jinak doručeny dodavateli. Dodavatel následně potvrdí přijetí takto reklamovaných poukázek způsobem sjednaným v odst. 2 tohoto článku smlouvy (tzn. písemně nebo elektronicky). </w:t>
      </w:r>
    </w:p>
    <w:p w:rsidR="00600975" w:rsidRDefault="00D67EFA">
      <w:pPr>
        <w:numPr>
          <w:ilvl w:val="0"/>
          <w:numId w:val="7"/>
        </w:numPr>
        <w:spacing w:after="303"/>
      </w:pPr>
      <w:r>
        <w:t xml:space="preserve">V případě kvalitativně vadných poukázek se dodavatel zavazuje nahradit tyto vadné poukázky bezvadnými do 5 (slovy: pěti) pracovních dnů od obdržení reklamace. </w:t>
      </w:r>
    </w:p>
    <w:p w:rsidR="00600975" w:rsidRDefault="00D67EFA">
      <w:pPr>
        <w:spacing w:after="2" w:line="259" w:lineRule="auto"/>
        <w:ind w:left="10" w:right="24" w:hanging="10"/>
        <w:jc w:val="center"/>
      </w:pPr>
      <w:r>
        <w:rPr>
          <w:b/>
        </w:rPr>
        <w:t xml:space="preserve">Článek </w:t>
      </w:r>
      <w:proofErr w:type="spellStart"/>
      <w:r>
        <w:rPr>
          <w:b/>
        </w:rPr>
        <w:t>VlIl</w:t>
      </w:r>
      <w:proofErr w:type="spellEnd"/>
      <w:r>
        <w:rPr>
          <w:b/>
        </w:rPr>
        <w:t xml:space="preserve">. </w:t>
      </w:r>
    </w:p>
    <w:p w:rsidR="00600975" w:rsidRDefault="00D67EFA">
      <w:pPr>
        <w:pStyle w:val="Nadpis1"/>
        <w:ind w:right="27"/>
      </w:pPr>
      <w:r>
        <w:t xml:space="preserve">Sankční ujednání a odpovědnost za škodu </w:t>
      </w:r>
    </w:p>
    <w:p w:rsidR="00600975" w:rsidRDefault="00D67EFA">
      <w:pPr>
        <w:spacing w:after="22" w:line="259" w:lineRule="auto"/>
        <w:ind w:left="31" w:firstLine="0"/>
        <w:jc w:val="center"/>
      </w:pPr>
      <w:r>
        <w:rPr>
          <w:b/>
        </w:rPr>
        <w:t xml:space="preserve"> </w:t>
      </w:r>
    </w:p>
    <w:p w:rsidR="00600975" w:rsidRDefault="00D67EFA">
      <w:pPr>
        <w:numPr>
          <w:ilvl w:val="0"/>
          <w:numId w:val="8"/>
        </w:numPr>
      </w:pPr>
      <w:r>
        <w:t xml:space="preserve">Žádná ze smluvních stran není odpovědná za škodu nebo prodlení způsobené okolnostmi vylučujícími odpovědnost ve smyslu § 2913 odst. 2 občanského zákoníku. </w:t>
      </w:r>
    </w:p>
    <w:p w:rsidR="00600975" w:rsidRDefault="00D67EFA">
      <w:pPr>
        <w:numPr>
          <w:ilvl w:val="0"/>
          <w:numId w:val="8"/>
        </w:numPr>
        <w:spacing w:after="19" w:line="254" w:lineRule="auto"/>
      </w:pPr>
      <w:r>
        <w:lastRenderedPageBreak/>
        <w:t xml:space="preserve">Objednatel je oprávněn na dodavateli požadovat úhradu smluvní pokuty v případě, že dodavatel řádně neposkytne objednané plnění, tj. nedodá objednané stravenky vůbec či v požadované kvalitě, a to ve výši 500,- Kč (slovy: pět set korun českých) za každý započatý den prodlení. </w:t>
      </w:r>
    </w:p>
    <w:p w:rsidR="00600975" w:rsidRDefault="00D67EFA">
      <w:pPr>
        <w:numPr>
          <w:ilvl w:val="0"/>
          <w:numId w:val="8"/>
        </w:numPr>
      </w:pPr>
      <w:r>
        <w:t xml:space="preserve">Dodavatel se zavazuje pro případ prodlení s vyřízením reklamace vadných poukázek zaplatit objednateli smluvní pokutu ve výši 200,- Kč (slovy: dvě stě korun českých) za každý i započatý den prodlení. </w:t>
      </w:r>
    </w:p>
    <w:p w:rsidR="00600975" w:rsidRDefault="00D67EFA">
      <w:pPr>
        <w:numPr>
          <w:ilvl w:val="0"/>
          <w:numId w:val="8"/>
        </w:numPr>
      </w:pPr>
      <w:r>
        <w:t xml:space="preserve">V případě porušení povinnosti mlčenlivosti dodavatele vyplývající z ochrany důvěrných informací dle čl. </w:t>
      </w:r>
    </w:p>
    <w:p w:rsidR="00600975" w:rsidRDefault="00D67EFA">
      <w:pPr>
        <w:ind w:left="401" w:firstLine="0"/>
      </w:pPr>
      <w:r>
        <w:t xml:space="preserve">IX. této smlouvy, je dodavatel povinen zaplatit objednateli smluvní pokutu ve výši 20.000,- Kč (slovy: dvacet tisíc korun českých) za každý jednotlivý případ porušení takové povinnosti. </w:t>
      </w:r>
    </w:p>
    <w:p w:rsidR="00600975" w:rsidRDefault="00D67EFA">
      <w:pPr>
        <w:numPr>
          <w:ilvl w:val="0"/>
          <w:numId w:val="8"/>
        </w:numPr>
      </w:pPr>
      <w:r>
        <w:t xml:space="preserve">V případě prodlení objednatele s platbou faktur je dodavatel oprávněn požadovat pouze a jen zákonný úrok z prodlení ve výši stanovené platnými a účinnými právními předpisy. </w:t>
      </w:r>
    </w:p>
    <w:p w:rsidR="00600975" w:rsidRDefault="00D67EFA">
      <w:pPr>
        <w:numPr>
          <w:ilvl w:val="0"/>
          <w:numId w:val="8"/>
        </w:numPr>
        <w:spacing w:after="19" w:line="254" w:lineRule="auto"/>
      </w:pPr>
      <w:r>
        <w:t xml:space="preserve">Není-li dále stanoveno jinak, zaplacení jakékoliv smluvní pokuty nezbavuje povinnou smluvní stranu povinnosti splnit své závazky a povinnosti dle této smlouvy a nedotýká se nároku na náhradu škody v plné výši. </w:t>
      </w:r>
    </w:p>
    <w:p w:rsidR="00600975" w:rsidRDefault="00D67EFA">
      <w:pPr>
        <w:numPr>
          <w:ilvl w:val="0"/>
          <w:numId w:val="8"/>
        </w:numPr>
      </w:pPr>
      <w:r>
        <w:t xml:space="preserve">Smluvní pokuty a nároky na náhradu škody jsou splatné do 30 (slovy: třiceti) dnů ode dne, kdy budou smluvní stranou oprávněnou vůči smluvní straně povinné uplatněny. </w:t>
      </w:r>
    </w:p>
    <w:p w:rsidR="00600975" w:rsidRDefault="00D67EFA">
      <w:pPr>
        <w:numPr>
          <w:ilvl w:val="0"/>
          <w:numId w:val="8"/>
        </w:numPr>
      </w:pPr>
      <w:r>
        <w:t xml:space="preserve">Odpovědnost za škodu se řídí obecně platnou právní úpravou občanského zákoníku a souvisejících právních předpisů ČR. </w:t>
      </w:r>
    </w:p>
    <w:p w:rsidR="00600975" w:rsidRDefault="00D67EFA">
      <w:pPr>
        <w:numPr>
          <w:ilvl w:val="0"/>
          <w:numId w:val="8"/>
        </w:numPr>
        <w:spacing w:after="305"/>
      </w:pPr>
      <w:r>
        <w:t xml:space="preserve">V případě nároku na úhradu smluvní pokuty má objednatel právo jednostranného zápočtu takové smluvní pokuty vůči dodavateli, a to do kteréhokoli budoucího finančního závazku z této smlouvy. </w:t>
      </w:r>
    </w:p>
    <w:p w:rsidR="00600975" w:rsidRDefault="00D67EFA">
      <w:pPr>
        <w:spacing w:after="2" w:line="259" w:lineRule="auto"/>
        <w:ind w:left="10" w:right="8" w:hanging="10"/>
        <w:jc w:val="center"/>
      </w:pPr>
      <w:r>
        <w:rPr>
          <w:b/>
        </w:rPr>
        <w:t xml:space="preserve">Článek IX. </w:t>
      </w:r>
    </w:p>
    <w:p w:rsidR="00600975" w:rsidRDefault="00D67EFA">
      <w:pPr>
        <w:pStyle w:val="Nadpis1"/>
        <w:ind w:right="11"/>
      </w:pPr>
      <w:r>
        <w:t xml:space="preserve">Mlčenlivost, ochrana informací a osobních údajů  </w:t>
      </w:r>
    </w:p>
    <w:p w:rsidR="00600975" w:rsidRDefault="00D67EFA">
      <w:pPr>
        <w:spacing w:after="8" w:line="259" w:lineRule="auto"/>
        <w:ind w:left="50" w:firstLine="0"/>
        <w:jc w:val="center"/>
      </w:pPr>
      <w:r>
        <w:rPr>
          <w:b/>
        </w:rPr>
        <w:t xml:space="preserve"> </w:t>
      </w:r>
    </w:p>
    <w:p w:rsidR="00600975" w:rsidRDefault="00D67EFA">
      <w:pPr>
        <w:numPr>
          <w:ilvl w:val="0"/>
          <w:numId w:val="9"/>
        </w:numPr>
      </w:pPr>
      <w:r>
        <w:t xml:space="preserve">Smluvní strany se zavazují, že neposkytnou třetím osobám jakékoliv informace či skutečnosti finanční, výrobní, technické, organizační nebo ekonomické povahy (dále jen „důvěrné informace"), které se v souvislosti s touto smlouvou či v rámci vzájemných jednání v souvislosti s ní nebo jednotlivými dílčími objednávkami dozví, ani je samy nepoužijí k jiným, než touto smlouvou stanoveným účelům, bez souhlasu druhé smluvní strany. Za důvěrné jsou považovány ty informace, které nejsou běžně dostupné z jiných zdrojů. Tímto ustanovením však nejsou dotčeny povinnosti objednatele jako povinné osoby podle zákona č. 106/1999 Sb., o svobodném přístupu k informacím, ve znění pozdějších předpisů. </w:t>
      </w:r>
    </w:p>
    <w:p w:rsidR="00600975" w:rsidRDefault="00D67EFA">
      <w:pPr>
        <w:numPr>
          <w:ilvl w:val="0"/>
          <w:numId w:val="9"/>
        </w:numPr>
      </w:pPr>
      <w:r>
        <w:t xml:space="preserve">Dodavatel je povinen zajistit plnění této povinnosti u svých zaměstnanců i dalších osob, které v rámci plnění této smlouvy jakkoli použije. </w:t>
      </w:r>
    </w:p>
    <w:p w:rsidR="00600975" w:rsidRDefault="00D67EFA">
      <w:pPr>
        <w:numPr>
          <w:ilvl w:val="0"/>
          <w:numId w:val="9"/>
        </w:numPr>
      </w:pPr>
      <w:r>
        <w:t xml:space="preserve">Dodavatel je oprávněn poskytovat potřebné informace subdodavatelům a je povinen subdodavatele zavázat k mlčenlivosti v rozsahu daném tímto článkem. </w:t>
      </w:r>
    </w:p>
    <w:p w:rsidR="00600975" w:rsidRDefault="00D67EFA">
      <w:pPr>
        <w:numPr>
          <w:ilvl w:val="0"/>
          <w:numId w:val="9"/>
        </w:numPr>
      </w:pPr>
      <w:r>
        <w:t xml:space="preserve">Smluvní strany jsou povinny zachovávat mlčenlivost ohledně všech důvěrných informací souvisejících s touto smlouvou či se zájmy druhé smluvní strany. Povinnost mlčenlivosti se nevztahuje na případy, kdy: a. dodavatel prokáže, že je tato informace veřejně dostupná, aniž by tuto dostupnost způsobil on sám; </w:t>
      </w:r>
    </w:p>
    <w:p w:rsidR="00600975" w:rsidRDefault="00D67EFA">
      <w:pPr>
        <w:numPr>
          <w:ilvl w:val="1"/>
          <w:numId w:val="9"/>
        </w:numPr>
        <w:ind w:hanging="348"/>
      </w:pPr>
      <w:r>
        <w:t xml:space="preserve">dodavatel prokáže, že měl tuto informaci k dispozici ještě před datem zpřístupnění objednatelem, a že ji nenabyl v rozporu se zákonem; </w:t>
      </w:r>
    </w:p>
    <w:p w:rsidR="00600975" w:rsidRDefault="00D67EFA">
      <w:pPr>
        <w:numPr>
          <w:ilvl w:val="1"/>
          <w:numId w:val="9"/>
        </w:numPr>
        <w:ind w:hanging="348"/>
      </w:pPr>
      <w:r>
        <w:t xml:space="preserve">dodavatel obdrží písemný souhlas objednatele zpřístupňovat danou informaci; </w:t>
      </w:r>
    </w:p>
    <w:p w:rsidR="00600975" w:rsidRDefault="00D67EFA">
      <w:pPr>
        <w:numPr>
          <w:ilvl w:val="1"/>
          <w:numId w:val="9"/>
        </w:numPr>
        <w:spacing w:after="15" w:line="259" w:lineRule="auto"/>
        <w:ind w:hanging="348"/>
      </w:pPr>
      <w:r>
        <w:t xml:space="preserve">je-li zpřístupnění informace vyžadováno zákonem nebo závazným rozhodnutím oprávněného orgánu. </w:t>
      </w:r>
    </w:p>
    <w:p w:rsidR="00600975" w:rsidRDefault="00D67EFA">
      <w:pPr>
        <w:numPr>
          <w:ilvl w:val="0"/>
          <w:numId w:val="9"/>
        </w:numPr>
      </w:pPr>
      <w:r>
        <w:t xml:space="preserve">Dodavatel bere na vědomí, že objednatel je povinným subjektem dle zákona č. 106/1999 Sb., o svobodném přístupu k informacím, ve znění pozdějších předpisů a výslovně souhlasí se zveřejněním celého znění smlouvy včetně všech jejích změn a dodatků, dále též v registru smluv dle zákona č. 340/2015 Sb., o zvláštních podmínkách účinnosti smluv, uveřejňování těchto smluv a o registru smluv (zákon o registru smluv), či na jiných místech k tomu určených, bude-li tímto objednatel povinován </w:t>
      </w:r>
    </w:p>
    <w:p w:rsidR="00600975" w:rsidRDefault="00D67EFA">
      <w:pPr>
        <w:numPr>
          <w:ilvl w:val="0"/>
          <w:numId w:val="9"/>
        </w:numPr>
        <w:spacing w:after="19" w:line="254" w:lineRule="auto"/>
      </w:pPr>
      <w:r>
        <w:t xml:space="preserve">Pokud má dodavatel na základě spolupráce s objednatelem ve smyslu plnění této smlouvy k dispozici jakékoli osobní údaje, bude je spravovat v souladu s právními předpisy o ochraně osobních údajů, které jsou platné v České republice. Dodavatel neposkytne osobní údaje třetím osobám, vyjma situací, ve kterých to ukládá zákon. Objednatel má právo kontrolovat osobní údaje, které o něm dodavatel má. </w:t>
      </w:r>
    </w:p>
    <w:p w:rsidR="00600975" w:rsidRDefault="00D67EFA">
      <w:pPr>
        <w:spacing w:after="0" w:line="259" w:lineRule="auto"/>
        <w:ind w:left="31" w:firstLine="0"/>
        <w:jc w:val="center"/>
      </w:pPr>
      <w:r>
        <w:rPr>
          <w:b/>
        </w:rPr>
        <w:t xml:space="preserve"> </w:t>
      </w:r>
    </w:p>
    <w:p w:rsidR="00600975" w:rsidRDefault="00D67EFA">
      <w:pPr>
        <w:spacing w:after="0" w:line="259" w:lineRule="auto"/>
        <w:ind w:left="31" w:firstLine="0"/>
        <w:jc w:val="center"/>
      </w:pPr>
      <w:r>
        <w:rPr>
          <w:b/>
        </w:rPr>
        <w:t xml:space="preserve"> </w:t>
      </w:r>
    </w:p>
    <w:p w:rsidR="00600975" w:rsidRDefault="00D67EFA">
      <w:pPr>
        <w:spacing w:after="2" w:line="259" w:lineRule="auto"/>
        <w:ind w:left="10" w:right="24" w:hanging="10"/>
        <w:jc w:val="center"/>
      </w:pPr>
      <w:r>
        <w:rPr>
          <w:b/>
        </w:rPr>
        <w:t xml:space="preserve">Článek X. </w:t>
      </w:r>
    </w:p>
    <w:p w:rsidR="00600975" w:rsidRDefault="00D67EFA">
      <w:pPr>
        <w:pStyle w:val="Nadpis1"/>
        <w:ind w:right="26"/>
      </w:pPr>
      <w:r>
        <w:lastRenderedPageBreak/>
        <w:t xml:space="preserve">Ostatní ustanovení </w:t>
      </w:r>
    </w:p>
    <w:p w:rsidR="00600975" w:rsidRDefault="00D67EFA">
      <w:pPr>
        <w:spacing w:after="10" w:line="259" w:lineRule="auto"/>
        <w:ind w:left="0" w:firstLine="0"/>
        <w:jc w:val="left"/>
      </w:pPr>
      <w:r>
        <w:rPr>
          <w:b/>
        </w:rPr>
        <w:t xml:space="preserve"> </w:t>
      </w:r>
    </w:p>
    <w:p w:rsidR="00600975" w:rsidRDefault="00D67EFA">
      <w:pPr>
        <w:numPr>
          <w:ilvl w:val="0"/>
          <w:numId w:val="10"/>
        </w:numPr>
        <w:spacing w:after="73"/>
      </w:pPr>
      <w:r>
        <w:t xml:space="preserve">Objednatel tímto bere na vědomí, že dodavatel neručí za kvalitu služeb poskytovaných konkrétním zařízením. Za kvalitu těchto služeb ručí pouze jeho provozovatel, případné reklamace vyřizuje objednatel přímo s provozovatelem takového zařízení. </w:t>
      </w:r>
    </w:p>
    <w:p w:rsidR="00600975" w:rsidRDefault="00D67EFA">
      <w:pPr>
        <w:numPr>
          <w:ilvl w:val="0"/>
          <w:numId w:val="10"/>
        </w:numPr>
        <w:spacing w:after="304"/>
      </w:pPr>
      <w:r>
        <w:t xml:space="preserve">Objednatel souhlasí s tím, aby jej dodavatel oslovoval s nabídkou nových služeb nebo v souvislosti s průzkumem poskytovaných služeb podle této smlouvy. </w:t>
      </w:r>
    </w:p>
    <w:p w:rsidR="00600975" w:rsidRDefault="00D67EFA">
      <w:pPr>
        <w:spacing w:after="27" w:line="259" w:lineRule="auto"/>
        <w:ind w:left="10" w:right="27" w:hanging="10"/>
        <w:jc w:val="center"/>
      </w:pPr>
      <w:r>
        <w:rPr>
          <w:b/>
        </w:rPr>
        <w:t xml:space="preserve">Článek XI. </w:t>
      </w:r>
    </w:p>
    <w:p w:rsidR="00600975" w:rsidRDefault="00D67EFA">
      <w:pPr>
        <w:pStyle w:val="Nadpis1"/>
        <w:ind w:right="27"/>
      </w:pPr>
      <w:r>
        <w:t xml:space="preserve">Účinnost smlouvy, ukončení smlouvy </w:t>
      </w:r>
    </w:p>
    <w:p w:rsidR="00600975" w:rsidRDefault="00D67EFA">
      <w:pPr>
        <w:spacing w:after="10" w:line="259" w:lineRule="auto"/>
        <w:ind w:left="0" w:firstLine="0"/>
        <w:jc w:val="left"/>
      </w:pPr>
      <w:r>
        <w:rPr>
          <w:b/>
        </w:rPr>
        <w:t xml:space="preserve"> </w:t>
      </w:r>
    </w:p>
    <w:p w:rsidR="00600975" w:rsidRDefault="00D67EFA">
      <w:pPr>
        <w:numPr>
          <w:ilvl w:val="0"/>
          <w:numId w:val="11"/>
        </w:numPr>
        <w:ind w:hanging="358"/>
      </w:pPr>
      <w:r>
        <w:t xml:space="preserve">Smlouva nabývá platnosti okamžikem jejího podpisu oběma smluvními stranami. Smlouva se uzavírá na dobu určitou, a to do 30. 6. 2019. </w:t>
      </w:r>
    </w:p>
    <w:p w:rsidR="00600975" w:rsidRDefault="00D67EFA">
      <w:pPr>
        <w:numPr>
          <w:ilvl w:val="0"/>
          <w:numId w:val="11"/>
        </w:numPr>
        <w:spacing w:after="69"/>
        <w:ind w:hanging="358"/>
      </w:pPr>
      <w:r>
        <w:t xml:space="preserve">Objednatel i dodavatel jsou oprávněni smlouvu vypovědět bez udání důvodu. Výpovědní lhůta činí 2 měsíce a začíná běžet prvním dnem měsíce následujícího po měsíci, ve kterém bylo písemné vyhotovení výpovědi prokazatelně doručeno druhé smluvní straně. </w:t>
      </w:r>
    </w:p>
    <w:p w:rsidR="00600975" w:rsidRDefault="00D67EFA">
      <w:pPr>
        <w:numPr>
          <w:ilvl w:val="0"/>
          <w:numId w:val="11"/>
        </w:numPr>
        <w:spacing w:after="65"/>
        <w:ind w:hanging="358"/>
      </w:pPr>
      <w:r>
        <w:t xml:space="preserve">Smlouva může být dále ukončena písemnou dohodou smluvních stran či odstoupením od smlouvy kteroukoliv smluvní stranou v případě, že druhá smluvní strana podstatným způsobem porušila ustanovení této smlouvy, byla-li na takové porušení druhou smluvní stranou písemně upozorněna a závadný stav neodstranila ani ve lhůtě, která jí k tomu byla druhou smluvní stranou poskytnuta. </w:t>
      </w:r>
    </w:p>
    <w:p w:rsidR="00600975" w:rsidRDefault="00D67EFA">
      <w:pPr>
        <w:numPr>
          <w:ilvl w:val="0"/>
          <w:numId w:val="11"/>
        </w:numPr>
        <w:ind w:hanging="358"/>
      </w:pPr>
      <w:r>
        <w:t xml:space="preserve">Za podstatné porušení smlouvy dodavatelem se považuje: </w:t>
      </w:r>
    </w:p>
    <w:p w:rsidR="00600975" w:rsidRDefault="00D67EFA">
      <w:pPr>
        <w:numPr>
          <w:ilvl w:val="1"/>
          <w:numId w:val="11"/>
        </w:numPr>
        <w:spacing w:after="69"/>
        <w:ind w:hanging="355"/>
      </w:pPr>
      <w:r>
        <w:t xml:space="preserve">nedodal-li dodavatel minimálně 2x (slovy: dvakrát) na základě řádně uzavřené dílčí objednávky poukázky vůbec nebo byl-li minimálně 3x (slovy: třikrát) v prodlení s dodáním poukázek dle čl. II. odst. 5; </w:t>
      </w:r>
    </w:p>
    <w:p w:rsidR="00600975" w:rsidRDefault="00D67EFA">
      <w:pPr>
        <w:numPr>
          <w:ilvl w:val="1"/>
          <w:numId w:val="11"/>
        </w:numPr>
        <w:spacing w:after="33"/>
        <w:ind w:hanging="355"/>
      </w:pPr>
      <w:r>
        <w:t xml:space="preserve">byla-li u dodavatele ze strany objednatele minimálně 3x (slovy: třikrát) uplatněna oprávněná reklamace dodaných poukázek dle čl. VII. smlouvy; 5. Za podstatné porušení smlouvy objednatelem se považuje: </w:t>
      </w:r>
    </w:p>
    <w:p w:rsidR="00600975" w:rsidRDefault="00D67EFA">
      <w:pPr>
        <w:spacing w:after="71"/>
        <w:ind w:left="812"/>
      </w:pPr>
      <w:r>
        <w:t xml:space="preserve">a. došlo-li ze strany objednatele minimálně 3x (slovy: třikrát) k prodlení s placením oprávněně účtované ceny dle čl. III. smlouvy. </w:t>
      </w:r>
    </w:p>
    <w:p w:rsidR="00600975" w:rsidRDefault="00D67EFA">
      <w:pPr>
        <w:numPr>
          <w:ilvl w:val="0"/>
          <w:numId w:val="12"/>
        </w:numPr>
        <w:spacing w:after="64"/>
        <w:ind w:hanging="358"/>
      </w:pPr>
      <w:r>
        <w:t xml:space="preserve">Skutečnosti uvedené v odst. 4. a 5. výše se posuzují vždy v rámci 6 (slovy: šesti) po sobě jdoucích kalendářních měsíců. </w:t>
      </w:r>
    </w:p>
    <w:p w:rsidR="00600975" w:rsidRDefault="00D67EFA">
      <w:pPr>
        <w:numPr>
          <w:ilvl w:val="0"/>
          <w:numId w:val="12"/>
        </w:numPr>
        <w:spacing w:after="1449"/>
        <w:ind w:hanging="358"/>
      </w:pPr>
      <w:r>
        <w:t xml:space="preserve">Odstoupení od smlouvy je účinné dnem doručení písemného projevu oznámeni o odstoupení druhé smluvní straně, a smlouva tak zaniká dnem doručení takového oznámení. Nezanikají však ustanovení, která mají podle zákona a/nebo této smlouvy trvat i po zrušení smlouvy, zejména ustanovení týkající se náhrady škody, smluvních pokut, ochrany informací a řešení sporů. </w:t>
      </w:r>
    </w:p>
    <w:p w:rsidR="00600975" w:rsidRDefault="00D67EFA">
      <w:pPr>
        <w:spacing w:after="2" w:line="259" w:lineRule="auto"/>
        <w:ind w:left="10" w:right="27" w:hanging="10"/>
        <w:jc w:val="center"/>
      </w:pPr>
      <w:r>
        <w:rPr>
          <w:b/>
        </w:rPr>
        <w:t xml:space="preserve">Článek XII. </w:t>
      </w:r>
    </w:p>
    <w:p w:rsidR="00600975" w:rsidRDefault="00D67EFA">
      <w:pPr>
        <w:pStyle w:val="Nadpis1"/>
        <w:ind w:right="23"/>
      </w:pPr>
      <w:r>
        <w:t xml:space="preserve">Závěrečná ustanovení </w:t>
      </w:r>
    </w:p>
    <w:p w:rsidR="00600975" w:rsidRDefault="00D67EFA">
      <w:pPr>
        <w:spacing w:after="8" w:line="259" w:lineRule="auto"/>
        <w:ind w:left="31" w:firstLine="0"/>
        <w:jc w:val="center"/>
      </w:pPr>
      <w:r>
        <w:rPr>
          <w:b/>
        </w:rPr>
        <w:t xml:space="preserve"> </w:t>
      </w:r>
    </w:p>
    <w:p w:rsidR="00600975" w:rsidRDefault="00D67EFA">
      <w:pPr>
        <w:numPr>
          <w:ilvl w:val="0"/>
          <w:numId w:val="13"/>
        </w:numPr>
        <w:ind w:hanging="358"/>
      </w:pPr>
      <w:r>
        <w:t xml:space="preserve">Tato smlouva je uzavřena ve čtyřech (4) vyhotoveních splatností originálu, z nichž tři (3) vyhotovení obdrží objednatel a jedno (1) vyhotovení dodavatel. </w:t>
      </w:r>
    </w:p>
    <w:p w:rsidR="00600975" w:rsidRDefault="00D67EFA">
      <w:pPr>
        <w:ind w:left="380" w:firstLine="0"/>
      </w:pPr>
      <w:r>
        <w:t xml:space="preserve">Nestanoví-li tato smlouva něco jiného, je možné ji měnit pouze písemnou dohodou smluvních stran ve formě vzestupně číslovaných dodatků této smlouvy. Podpisy osob oprávněných za smluvní strany dle této smlouvy, musí být na jedné straně téže listiny. Veškerá práva a povinnosti vyplývající z této smlouvy přecházejí, pokud to povaha těchto práv a povinností nevylučuje, na právní nástupce smluvních stran. </w:t>
      </w:r>
    </w:p>
    <w:p w:rsidR="00600975" w:rsidRDefault="00D67EFA">
      <w:pPr>
        <w:numPr>
          <w:ilvl w:val="0"/>
          <w:numId w:val="13"/>
        </w:numPr>
        <w:ind w:hanging="358"/>
      </w:pPr>
      <w:r>
        <w:t xml:space="preserve">Pokud by se kterékoliv ustanovení této smlouvy ukázalo být neplatným z důvodů rozporu s kogentními ustanoveními obecně závazných právních předpisů, pak tato skutečnost nezpůsobí neplatnost této smlouvy než onoho konkrétního ustanovení, pokud je oddělitelné od ostatního obsahu smlouvy. Smluvní strany se </w:t>
      </w:r>
      <w:r>
        <w:lastRenderedPageBreak/>
        <w:t xml:space="preserve">zavazují takové neplatné ustanovení nahradit dohodou svým obsahem ustanovením nejbližším duchu takového neplatného ustanovení respektující požadavky kogentních ustanovení právních předpisů. </w:t>
      </w:r>
    </w:p>
    <w:p w:rsidR="00600975" w:rsidRDefault="00D67EFA">
      <w:pPr>
        <w:numPr>
          <w:ilvl w:val="0"/>
          <w:numId w:val="13"/>
        </w:numPr>
        <w:ind w:hanging="358"/>
      </w:pPr>
      <w:r>
        <w:t xml:space="preserve">Dodavatel není oprávněn bez souhlasu objednatele postoupit svá práva a povinnosti plynoucí z této smlouvy třetí osobě dle ustanovení § 1895 občanského zákoníku. </w:t>
      </w:r>
    </w:p>
    <w:p w:rsidR="00600975" w:rsidRDefault="00D67EFA">
      <w:pPr>
        <w:numPr>
          <w:ilvl w:val="0"/>
          <w:numId w:val="13"/>
        </w:numPr>
        <w:ind w:hanging="358"/>
      </w:pPr>
      <w:r>
        <w:t xml:space="preserve">Dodavatel bere na vědomí a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 této rámcové smlouvy nebo dílčích objednávek s tím, že se dodavatel podrobí této kontrole, a bude působit jako osoba povinná ve smyslu ustanovení § 2 písm. e) citovaného zákona. </w:t>
      </w:r>
    </w:p>
    <w:p w:rsidR="00600975" w:rsidRDefault="00D67EFA">
      <w:pPr>
        <w:numPr>
          <w:ilvl w:val="0"/>
          <w:numId w:val="13"/>
        </w:numPr>
        <w:ind w:hanging="358"/>
      </w:pPr>
      <w:r>
        <w:t xml:space="preserve">Práva a povinnosti vzniklé na základě této smlouvy nebo v souvislosti s ní se řídí českým právním řádem, zejména pak občanským zákoníkem. </w:t>
      </w:r>
    </w:p>
    <w:p w:rsidR="00600975" w:rsidRDefault="00D67EFA">
      <w:pPr>
        <w:numPr>
          <w:ilvl w:val="0"/>
          <w:numId w:val="13"/>
        </w:numPr>
        <w:ind w:hanging="358"/>
      </w:pPr>
      <w:r>
        <w:t xml:space="preserve">Smluvní strany se zavazují vyvinout maximální úsilí k odstranění vzájemných sporů vzniklých na základě této smlouvy nebo v souvislosti s touto smlouvou a k jejich vyřešení, a to zejména prostřednictvím jednání oprávněných osob nebo jiných osob oprávněných za smluvní strany jednat. Nedohodnou-li se smluvní strany na způsobu řešení vzájemného sporu, je kterákoliv smluvní strana oprávněna předložit takový spor </w:t>
      </w:r>
    </w:p>
    <w:p w:rsidR="00600975" w:rsidRDefault="00D67EFA">
      <w:pPr>
        <w:ind w:left="380" w:firstLine="0"/>
      </w:pPr>
      <w:r>
        <w:t xml:space="preserve">u věcně a místně příslušného soudu ČR. </w:t>
      </w:r>
    </w:p>
    <w:p w:rsidR="00600975" w:rsidRDefault="00D67EFA">
      <w:pPr>
        <w:numPr>
          <w:ilvl w:val="0"/>
          <w:numId w:val="13"/>
        </w:numPr>
        <w:ind w:hanging="358"/>
      </w:pPr>
      <w:r>
        <w:t xml:space="preserve">Přílohou a nedílnou součástí smlouvy je: Příloha č. 1 - Seznam osob oprávněných k převzetí jednotlivých dodávek v sídle objednatele. </w:t>
      </w:r>
    </w:p>
    <w:p w:rsidR="00600975" w:rsidRDefault="00D67EFA">
      <w:pPr>
        <w:numPr>
          <w:ilvl w:val="0"/>
          <w:numId w:val="13"/>
        </w:numPr>
        <w:ind w:hanging="358"/>
      </w:pPr>
      <w:r>
        <w:t xml:space="preserve">Smluvní strany výslovně prohlašují, že si smlouvu přečetly, že byla sepsána podle jejich pravé a svobodné </w:t>
      </w:r>
    </w:p>
    <w:p w:rsidR="00600975" w:rsidRDefault="00D67EFA">
      <w:pPr>
        <w:spacing w:after="0" w:line="259" w:lineRule="auto"/>
        <w:ind w:left="0" w:right="92" w:firstLine="0"/>
        <w:jc w:val="center"/>
      </w:pPr>
      <w:r>
        <w:t xml:space="preserve">vůle a nebyla ujednána v tísni, nebo za nápadně nevýhodných podmínek, což stvrzují svými podpisy.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tbl>
      <w:tblPr>
        <w:tblStyle w:val="TableGrid"/>
        <w:tblW w:w="8246" w:type="dxa"/>
        <w:tblInd w:w="0" w:type="dxa"/>
        <w:tblLook w:val="04A0" w:firstRow="1" w:lastRow="0" w:firstColumn="1" w:lastColumn="0" w:noHBand="0" w:noVBand="1"/>
      </w:tblPr>
      <w:tblGrid>
        <w:gridCol w:w="3743"/>
        <w:gridCol w:w="4503"/>
      </w:tblGrid>
      <w:tr w:rsidR="00600975">
        <w:trPr>
          <w:trHeight w:val="677"/>
        </w:trPr>
        <w:tc>
          <w:tcPr>
            <w:tcW w:w="3743" w:type="dxa"/>
            <w:tcBorders>
              <w:top w:val="nil"/>
              <w:left w:val="nil"/>
              <w:bottom w:val="nil"/>
              <w:right w:val="nil"/>
            </w:tcBorders>
          </w:tcPr>
          <w:p w:rsidR="00600975" w:rsidRDefault="00D67EFA">
            <w:pPr>
              <w:spacing w:after="0" w:line="259" w:lineRule="auto"/>
              <w:ind w:left="0" w:firstLine="0"/>
              <w:jc w:val="left"/>
            </w:pPr>
            <w:r>
              <w:t xml:space="preserve">V Praze dne: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tc>
        <w:tc>
          <w:tcPr>
            <w:tcW w:w="4503" w:type="dxa"/>
            <w:tcBorders>
              <w:top w:val="nil"/>
              <w:left w:val="nil"/>
              <w:bottom w:val="nil"/>
              <w:right w:val="nil"/>
            </w:tcBorders>
          </w:tcPr>
          <w:p w:rsidR="00600975" w:rsidRDefault="00D67EFA">
            <w:pPr>
              <w:spacing w:after="0" w:line="259" w:lineRule="auto"/>
              <w:ind w:left="0" w:firstLine="0"/>
              <w:jc w:val="left"/>
            </w:pPr>
            <w:r>
              <w:t xml:space="preserve">                 V Praze dne: </w:t>
            </w:r>
          </w:p>
        </w:tc>
      </w:tr>
      <w:tr w:rsidR="00600975">
        <w:trPr>
          <w:trHeight w:val="454"/>
        </w:trPr>
        <w:tc>
          <w:tcPr>
            <w:tcW w:w="3743" w:type="dxa"/>
            <w:tcBorders>
              <w:top w:val="nil"/>
              <w:left w:val="nil"/>
              <w:bottom w:val="nil"/>
              <w:right w:val="nil"/>
            </w:tcBorders>
          </w:tcPr>
          <w:p w:rsidR="00600975" w:rsidRDefault="00D67EFA">
            <w:pPr>
              <w:spacing w:after="0" w:line="259" w:lineRule="auto"/>
              <w:ind w:left="0" w:firstLine="0"/>
              <w:jc w:val="left"/>
            </w:pPr>
            <w:r>
              <w:t xml:space="preserve">Dodavatel </w:t>
            </w:r>
          </w:p>
          <w:p w:rsidR="00600975" w:rsidRDefault="00D67EFA">
            <w:pPr>
              <w:spacing w:after="0" w:line="259" w:lineRule="auto"/>
              <w:ind w:left="0" w:firstLine="0"/>
              <w:jc w:val="left"/>
            </w:pPr>
            <w:r>
              <w:t xml:space="preserve"> </w:t>
            </w:r>
          </w:p>
        </w:tc>
        <w:tc>
          <w:tcPr>
            <w:tcW w:w="4503" w:type="dxa"/>
            <w:tcBorders>
              <w:top w:val="nil"/>
              <w:left w:val="nil"/>
              <w:bottom w:val="nil"/>
              <w:right w:val="nil"/>
            </w:tcBorders>
          </w:tcPr>
          <w:p w:rsidR="00600975" w:rsidRDefault="00D67EFA">
            <w:pPr>
              <w:spacing w:after="0" w:line="259" w:lineRule="auto"/>
              <w:ind w:left="0" w:firstLine="0"/>
              <w:jc w:val="left"/>
            </w:pPr>
            <w:r>
              <w:t xml:space="preserve">                 Objednatel </w:t>
            </w:r>
          </w:p>
        </w:tc>
      </w:tr>
      <w:tr w:rsidR="00600975">
        <w:trPr>
          <w:trHeight w:val="455"/>
        </w:trPr>
        <w:tc>
          <w:tcPr>
            <w:tcW w:w="3743" w:type="dxa"/>
            <w:tcBorders>
              <w:top w:val="nil"/>
              <w:left w:val="nil"/>
              <w:bottom w:val="nil"/>
              <w:right w:val="nil"/>
            </w:tcBorders>
          </w:tcPr>
          <w:p w:rsidR="00600975" w:rsidRDefault="00D67EFA">
            <w:pPr>
              <w:spacing w:after="0" w:line="259" w:lineRule="auto"/>
              <w:ind w:left="0" w:firstLine="0"/>
              <w:jc w:val="left"/>
            </w:pPr>
            <w:r>
              <w:t xml:space="preserve">__________________ </w:t>
            </w:r>
          </w:p>
          <w:p w:rsidR="00600975" w:rsidRDefault="00D67EFA">
            <w:pPr>
              <w:spacing w:after="0" w:line="259" w:lineRule="auto"/>
              <w:ind w:left="0" w:firstLine="0"/>
              <w:jc w:val="left"/>
            </w:pPr>
            <w:r>
              <w:t xml:space="preserve"> </w:t>
            </w:r>
          </w:p>
        </w:tc>
        <w:tc>
          <w:tcPr>
            <w:tcW w:w="4503" w:type="dxa"/>
            <w:tcBorders>
              <w:top w:val="nil"/>
              <w:left w:val="nil"/>
              <w:bottom w:val="nil"/>
              <w:right w:val="nil"/>
            </w:tcBorders>
          </w:tcPr>
          <w:p w:rsidR="00600975" w:rsidRDefault="00D67EFA">
            <w:pPr>
              <w:spacing w:after="0" w:line="259" w:lineRule="auto"/>
              <w:ind w:left="0" w:firstLine="0"/>
            </w:pPr>
            <w:r>
              <w:t xml:space="preserve">                  _______________________________ </w:t>
            </w:r>
          </w:p>
        </w:tc>
      </w:tr>
      <w:tr w:rsidR="00600975">
        <w:trPr>
          <w:trHeight w:val="227"/>
        </w:trPr>
        <w:tc>
          <w:tcPr>
            <w:tcW w:w="3743" w:type="dxa"/>
            <w:tcBorders>
              <w:top w:val="nil"/>
              <w:left w:val="nil"/>
              <w:bottom w:val="nil"/>
              <w:right w:val="nil"/>
            </w:tcBorders>
          </w:tcPr>
          <w:p w:rsidR="00600975" w:rsidRDefault="00D67EFA">
            <w:pPr>
              <w:spacing w:after="0" w:line="259" w:lineRule="auto"/>
              <w:ind w:left="0" w:firstLine="0"/>
              <w:jc w:val="left"/>
            </w:pPr>
            <w:r>
              <w:t xml:space="preserve"> </w:t>
            </w:r>
            <w:r>
              <w:tab/>
              <w:t xml:space="preserve"> </w:t>
            </w:r>
          </w:p>
        </w:tc>
        <w:tc>
          <w:tcPr>
            <w:tcW w:w="4503" w:type="dxa"/>
            <w:tcBorders>
              <w:top w:val="nil"/>
              <w:left w:val="nil"/>
              <w:bottom w:val="nil"/>
              <w:right w:val="nil"/>
            </w:tcBorders>
          </w:tcPr>
          <w:p w:rsidR="00600975" w:rsidRDefault="00D67EFA">
            <w:pPr>
              <w:spacing w:after="0" w:line="259" w:lineRule="auto"/>
              <w:ind w:left="0" w:firstLine="0"/>
              <w:jc w:val="left"/>
            </w:pPr>
            <w:r>
              <w:t xml:space="preserve">                  Ing. Richard Ščerba, MBA </w:t>
            </w:r>
          </w:p>
        </w:tc>
      </w:tr>
      <w:tr w:rsidR="00600975">
        <w:trPr>
          <w:trHeight w:val="227"/>
        </w:trPr>
        <w:tc>
          <w:tcPr>
            <w:tcW w:w="3743" w:type="dxa"/>
            <w:tcBorders>
              <w:top w:val="nil"/>
              <w:left w:val="nil"/>
              <w:bottom w:val="nil"/>
              <w:right w:val="nil"/>
            </w:tcBorders>
          </w:tcPr>
          <w:p w:rsidR="00600975" w:rsidRDefault="00D67EFA">
            <w:pPr>
              <w:spacing w:after="0" w:line="259" w:lineRule="auto"/>
              <w:ind w:left="0" w:firstLine="0"/>
              <w:jc w:val="left"/>
            </w:pPr>
            <w:r>
              <w:t xml:space="preserve"> </w:t>
            </w:r>
            <w:r>
              <w:tab/>
              <w:t xml:space="preserve"> </w:t>
            </w:r>
          </w:p>
        </w:tc>
        <w:tc>
          <w:tcPr>
            <w:tcW w:w="4503" w:type="dxa"/>
            <w:tcBorders>
              <w:top w:val="nil"/>
              <w:left w:val="nil"/>
              <w:bottom w:val="nil"/>
              <w:right w:val="nil"/>
            </w:tcBorders>
          </w:tcPr>
          <w:p w:rsidR="00600975" w:rsidRDefault="00D67EFA">
            <w:pPr>
              <w:spacing w:after="0" w:line="259" w:lineRule="auto"/>
              <w:ind w:left="0" w:firstLine="0"/>
              <w:jc w:val="left"/>
            </w:pPr>
            <w:r>
              <w:t xml:space="preserve">                  ředitel  </w:t>
            </w:r>
          </w:p>
        </w:tc>
      </w:tr>
      <w:tr w:rsidR="00600975">
        <w:trPr>
          <w:trHeight w:val="227"/>
        </w:trPr>
        <w:tc>
          <w:tcPr>
            <w:tcW w:w="3743" w:type="dxa"/>
            <w:tcBorders>
              <w:top w:val="nil"/>
              <w:left w:val="nil"/>
              <w:bottom w:val="nil"/>
              <w:right w:val="nil"/>
            </w:tcBorders>
          </w:tcPr>
          <w:p w:rsidR="00600975" w:rsidRDefault="00D67EFA">
            <w:pPr>
              <w:spacing w:after="0" w:line="259" w:lineRule="auto"/>
              <w:ind w:left="0" w:firstLine="0"/>
              <w:jc w:val="left"/>
            </w:pPr>
            <w:r>
              <w:t xml:space="preserve"> </w:t>
            </w:r>
            <w:r>
              <w:tab/>
              <w:t xml:space="preserve"> </w:t>
            </w:r>
          </w:p>
        </w:tc>
        <w:tc>
          <w:tcPr>
            <w:tcW w:w="4503" w:type="dxa"/>
            <w:tcBorders>
              <w:top w:val="nil"/>
              <w:left w:val="nil"/>
              <w:bottom w:val="nil"/>
              <w:right w:val="nil"/>
            </w:tcBorders>
          </w:tcPr>
          <w:p w:rsidR="00600975" w:rsidRDefault="00D67EFA">
            <w:pPr>
              <w:spacing w:after="0" w:line="259" w:lineRule="auto"/>
              <w:ind w:left="0" w:firstLine="0"/>
              <w:jc w:val="left"/>
            </w:pPr>
            <w:r>
              <w:t xml:space="preserve">                  Fondu dalšího vzdělávání </w:t>
            </w:r>
          </w:p>
        </w:tc>
      </w:tr>
      <w:tr w:rsidR="00600975">
        <w:trPr>
          <w:trHeight w:val="227"/>
        </w:trPr>
        <w:tc>
          <w:tcPr>
            <w:tcW w:w="3743" w:type="dxa"/>
            <w:tcBorders>
              <w:top w:val="nil"/>
              <w:left w:val="nil"/>
              <w:bottom w:val="nil"/>
              <w:right w:val="nil"/>
            </w:tcBorders>
          </w:tcPr>
          <w:p w:rsidR="00600975" w:rsidRDefault="00D67EFA">
            <w:pPr>
              <w:spacing w:after="0" w:line="259" w:lineRule="auto"/>
              <w:ind w:left="0" w:firstLine="0"/>
              <w:jc w:val="left"/>
            </w:pPr>
            <w:r>
              <w:t xml:space="preserve"> </w:t>
            </w:r>
            <w:r>
              <w:tab/>
              <w:t xml:space="preserve"> </w:t>
            </w:r>
          </w:p>
        </w:tc>
        <w:tc>
          <w:tcPr>
            <w:tcW w:w="4503" w:type="dxa"/>
            <w:tcBorders>
              <w:top w:val="nil"/>
              <w:left w:val="nil"/>
              <w:bottom w:val="nil"/>
              <w:right w:val="nil"/>
            </w:tcBorders>
          </w:tcPr>
          <w:p w:rsidR="00600975" w:rsidRDefault="00D67EFA">
            <w:pPr>
              <w:spacing w:after="0" w:line="259" w:lineRule="auto"/>
              <w:ind w:left="0" w:firstLine="0"/>
              <w:jc w:val="left"/>
            </w:pPr>
            <w:r>
              <w:t xml:space="preserve"> </w:t>
            </w:r>
          </w:p>
        </w:tc>
      </w:tr>
      <w:tr w:rsidR="00600975">
        <w:trPr>
          <w:trHeight w:val="228"/>
        </w:trPr>
        <w:tc>
          <w:tcPr>
            <w:tcW w:w="3743" w:type="dxa"/>
            <w:tcBorders>
              <w:top w:val="nil"/>
              <w:left w:val="nil"/>
              <w:bottom w:val="nil"/>
              <w:right w:val="nil"/>
            </w:tcBorders>
          </w:tcPr>
          <w:p w:rsidR="00600975" w:rsidRDefault="00D67EFA">
            <w:pPr>
              <w:spacing w:after="0" w:line="259" w:lineRule="auto"/>
              <w:ind w:left="0" w:firstLine="0"/>
              <w:jc w:val="left"/>
            </w:pPr>
            <w:r>
              <w:t xml:space="preserve"> </w:t>
            </w:r>
            <w:r>
              <w:tab/>
              <w:t xml:space="preserve"> </w:t>
            </w:r>
          </w:p>
        </w:tc>
        <w:tc>
          <w:tcPr>
            <w:tcW w:w="4503" w:type="dxa"/>
            <w:tcBorders>
              <w:top w:val="nil"/>
              <w:left w:val="nil"/>
              <w:bottom w:val="nil"/>
              <w:right w:val="nil"/>
            </w:tcBorders>
          </w:tcPr>
          <w:p w:rsidR="00600975" w:rsidRDefault="00D67EFA">
            <w:pPr>
              <w:spacing w:after="0" w:line="259" w:lineRule="auto"/>
              <w:ind w:left="0" w:firstLine="0"/>
              <w:jc w:val="left"/>
            </w:pPr>
            <w:r>
              <w:t xml:space="preserve"> </w:t>
            </w:r>
          </w:p>
        </w:tc>
      </w:tr>
      <w:tr w:rsidR="00600975">
        <w:trPr>
          <w:trHeight w:val="225"/>
        </w:trPr>
        <w:tc>
          <w:tcPr>
            <w:tcW w:w="3743" w:type="dxa"/>
            <w:tcBorders>
              <w:top w:val="nil"/>
              <w:left w:val="nil"/>
              <w:bottom w:val="nil"/>
              <w:right w:val="nil"/>
            </w:tcBorders>
          </w:tcPr>
          <w:p w:rsidR="00600975" w:rsidRDefault="00D67EFA">
            <w:pPr>
              <w:spacing w:after="0" w:line="259" w:lineRule="auto"/>
              <w:ind w:left="0" w:firstLine="0"/>
              <w:jc w:val="left"/>
            </w:pPr>
            <w:r>
              <w:t xml:space="preserve"> </w:t>
            </w:r>
            <w:r>
              <w:tab/>
              <w:t xml:space="preserve"> </w:t>
            </w:r>
          </w:p>
        </w:tc>
        <w:tc>
          <w:tcPr>
            <w:tcW w:w="4503" w:type="dxa"/>
            <w:tcBorders>
              <w:top w:val="nil"/>
              <w:left w:val="nil"/>
              <w:bottom w:val="nil"/>
              <w:right w:val="nil"/>
            </w:tcBorders>
          </w:tcPr>
          <w:p w:rsidR="00600975" w:rsidRDefault="00D67EFA">
            <w:pPr>
              <w:spacing w:after="0" w:line="259" w:lineRule="auto"/>
              <w:ind w:left="0" w:firstLine="0"/>
              <w:jc w:val="left"/>
            </w:pPr>
            <w:r>
              <w:t xml:space="preserve"> </w:t>
            </w:r>
            <w:r>
              <w:tab/>
              <w:t xml:space="preserve"> </w:t>
            </w:r>
          </w:p>
        </w:tc>
      </w:tr>
    </w:tbl>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3"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lastRenderedPageBreak/>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pStyle w:val="Nadpis1"/>
        <w:ind w:right="6"/>
      </w:pPr>
      <w:r>
        <w:t xml:space="preserve">Příloha č. 1 </w:t>
      </w:r>
    </w:p>
    <w:p w:rsidR="00600975" w:rsidRDefault="00D67EFA">
      <w:pPr>
        <w:spacing w:after="35" w:line="259" w:lineRule="auto"/>
        <w:ind w:left="50" w:firstLine="0"/>
        <w:jc w:val="center"/>
      </w:pPr>
      <w:r>
        <w:t xml:space="preserve"> </w:t>
      </w:r>
    </w:p>
    <w:p w:rsidR="00600975" w:rsidRDefault="00D67EFA">
      <w:pPr>
        <w:ind w:left="-15" w:firstLine="0"/>
      </w:pPr>
      <w:r>
        <w:t xml:space="preserve">Seznam osob oprávněných k převzetí jednotlivých dodávek v sídle objednatele: </w:t>
      </w:r>
    </w:p>
    <w:p w:rsidR="00600975" w:rsidRDefault="00D67EFA">
      <w:pPr>
        <w:spacing w:after="32" w:line="259" w:lineRule="auto"/>
        <w:ind w:left="0" w:firstLine="0"/>
        <w:jc w:val="left"/>
      </w:pPr>
      <w:r>
        <w:t xml:space="preserve"> </w:t>
      </w:r>
    </w:p>
    <w:p w:rsidR="00600975" w:rsidRDefault="007C434F">
      <w:pPr>
        <w:numPr>
          <w:ilvl w:val="0"/>
          <w:numId w:val="14"/>
        </w:numPr>
        <w:ind w:hanging="360"/>
      </w:pPr>
      <w:r>
        <w:t>xxxxxxxxxx</w:t>
      </w:r>
      <w:bookmarkStart w:id="0" w:name="_GoBack"/>
      <w:bookmarkEnd w:id="0"/>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3"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2"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p w:rsidR="00600975" w:rsidRDefault="00D67EFA">
      <w:pPr>
        <w:spacing w:after="0" w:line="259" w:lineRule="auto"/>
        <w:ind w:left="0" w:firstLine="0"/>
        <w:jc w:val="left"/>
      </w:pPr>
      <w:r>
        <w:t xml:space="preserve"> </w:t>
      </w:r>
    </w:p>
    <w:sectPr w:rsidR="00600975">
      <w:footnotePr>
        <w:numRestart w:val="eachPage"/>
      </w:footnotePr>
      <w:pgSz w:w="11906" w:h="16838"/>
      <w:pgMar w:top="1563" w:right="989" w:bottom="1416"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EFA" w:rsidRDefault="00D67EFA">
      <w:pPr>
        <w:spacing w:after="0" w:line="240" w:lineRule="auto"/>
      </w:pPr>
      <w:r>
        <w:separator/>
      </w:r>
    </w:p>
  </w:endnote>
  <w:endnote w:type="continuationSeparator" w:id="0">
    <w:p w:rsidR="00D67EFA" w:rsidRDefault="00D6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EFA" w:rsidRDefault="00D67EFA">
      <w:pPr>
        <w:spacing w:after="0" w:line="259" w:lineRule="auto"/>
        <w:ind w:left="0" w:firstLine="0"/>
        <w:jc w:val="left"/>
      </w:pPr>
      <w:r>
        <w:separator/>
      </w:r>
    </w:p>
  </w:footnote>
  <w:footnote w:type="continuationSeparator" w:id="0">
    <w:p w:rsidR="00D67EFA" w:rsidRDefault="00D67EFA">
      <w:pPr>
        <w:spacing w:after="0" w:line="259" w:lineRule="auto"/>
        <w:ind w:left="0" w:firstLine="0"/>
        <w:jc w:val="left"/>
      </w:pPr>
      <w:r>
        <w:continuationSeparator/>
      </w:r>
    </w:p>
  </w:footnote>
  <w:footnote w:id="1">
    <w:p w:rsidR="00600975" w:rsidRDefault="00D67EFA">
      <w:pPr>
        <w:pStyle w:val="footnotedescription"/>
      </w:pPr>
      <w:r>
        <w:rPr>
          <w:rStyle w:val="footnotemark"/>
        </w:rPr>
        <w:footnoteRef/>
      </w:r>
      <w:r>
        <w:t xml:space="preserve"> Bude v případě spolufinancování z projektů specifikováno v objednávce.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B3E"/>
    <w:multiLevelType w:val="hybridMultilevel"/>
    <w:tmpl w:val="1B004238"/>
    <w:lvl w:ilvl="0" w:tplc="D9DE94F6">
      <w:start w:val="1"/>
      <w:numFmt w:val="decimal"/>
      <w:lvlText w:val="%1."/>
      <w:lvlJc w:val="left"/>
      <w:pPr>
        <w:ind w:left="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4C35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D021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8EFD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BCB1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D4E2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721F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FCE9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9027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BE5F50"/>
    <w:multiLevelType w:val="hybridMultilevel"/>
    <w:tmpl w:val="85EC3F08"/>
    <w:lvl w:ilvl="0" w:tplc="6EF6366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1634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94E6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FCF2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DC38D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6CFF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DCB8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C0C8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5C9F6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FA6017"/>
    <w:multiLevelType w:val="hybridMultilevel"/>
    <w:tmpl w:val="38D4721A"/>
    <w:lvl w:ilvl="0" w:tplc="D5300D7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8385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2064C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1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A464D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E099F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FC93E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542E2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98D77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3F0621"/>
    <w:multiLevelType w:val="hybridMultilevel"/>
    <w:tmpl w:val="964EC1E0"/>
    <w:lvl w:ilvl="0" w:tplc="504612D8">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2A8FF8">
      <w:start w:val="1"/>
      <w:numFmt w:val="lowerLetter"/>
      <w:lvlText w:val="%2."/>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346C32">
      <w:start w:val="1"/>
      <w:numFmt w:val="lowerRoman"/>
      <w:lvlText w:val="%3"/>
      <w:lvlJc w:val="left"/>
      <w:pPr>
        <w:ind w:left="1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3E7FAA">
      <w:start w:val="1"/>
      <w:numFmt w:val="decimal"/>
      <w:lvlText w:val="%4"/>
      <w:lvlJc w:val="left"/>
      <w:pPr>
        <w:ind w:left="2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C64350">
      <w:start w:val="1"/>
      <w:numFmt w:val="lowerLetter"/>
      <w:lvlText w:val="%5"/>
      <w:lvlJc w:val="left"/>
      <w:pPr>
        <w:ind w:left="2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60434C">
      <w:start w:val="1"/>
      <w:numFmt w:val="lowerRoman"/>
      <w:lvlText w:val="%6"/>
      <w:lvlJc w:val="left"/>
      <w:pPr>
        <w:ind w:left="3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8ABAF2">
      <w:start w:val="1"/>
      <w:numFmt w:val="decimal"/>
      <w:lvlText w:val="%7"/>
      <w:lvlJc w:val="left"/>
      <w:pPr>
        <w:ind w:left="4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C0A37E">
      <w:start w:val="1"/>
      <w:numFmt w:val="lowerLetter"/>
      <w:lvlText w:val="%8"/>
      <w:lvlJc w:val="left"/>
      <w:pPr>
        <w:ind w:left="5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40D150">
      <w:start w:val="1"/>
      <w:numFmt w:val="lowerRoman"/>
      <w:lvlText w:val="%9"/>
      <w:lvlJc w:val="left"/>
      <w:pPr>
        <w:ind w:left="5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791649"/>
    <w:multiLevelType w:val="hybridMultilevel"/>
    <w:tmpl w:val="4D4005FA"/>
    <w:lvl w:ilvl="0" w:tplc="8F70586E">
      <w:start w:val="1"/>
      <w:numFmt w:val="decimal"/>
      <w:lvlText w:val="%1."/>
      <w:lvlJc w:val="left"/>
      <w:pPr>
        <w:ind w:left="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A082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AC3CE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324AC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BAA6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7290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58D5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2067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FA79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C7D4A"/>
    <w:multiLevelType w:val="hybridMultilevel"/>
    <w:tmpl w:val="CD9A1EBA"/>
    <w:lvl w:ilvl="0" w:tplc="36B89EE8">
      <w:start w:val="1"/>
      <w:numFmt w:val="decimal"/>
      <w:lvlText w:val="%1."/>
      <w:lvlJc w:val="left"/>
      <w:pPr>
        <w:ind w:left="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E85E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DCBEB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4438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72B5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C46A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2290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1EE3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585E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782E6E"/>
    <w:multiLevelType w:val="hybridMultilevel"/>
    <w:tmpl w:val="FCA6F93C"/>
    <w:lvl w:ilvl="0" w:tplc="0E24CDD8">
      <w:start w:val="1"/>
      <w:numFmt w:val="decimal"/>
      <w:lvlText w:val="%1."/>
      <w:lvlJc w:val="left"/>
      <w:pPr>
        <w:ind w:left="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BC6F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0A62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7000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A2A0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E29C8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AA88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7206A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70E4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453499"/>
    <w:multiLevelType w:val="hybridMultilevel"/>
    <w:tmpl w:val="07547574"/>
    <w:lvl w:ilvl="0" w:tplc="7714D428">
      <w:start w:val="6"/>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9C61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C3F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5481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007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6E83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ECF6C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AE8A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5A6B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997736F"/>
    <w:multiLevelType w:val="hybridMultilevel"/>
    <w:tmpl w:val="85C423C4"/>
    <w:lvl w:ilvl="0" w:tplc="5DCE42BC">
      <w:start w:val="1"/>
      <w:numFmt w:val="decimal"/>
      <w:lvlText w:val="%1."/>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96E6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98181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0479D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AE813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B41CF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BA167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48B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FC67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3AE13D1"/>
    <w:multiLevelType w:val="hybridMultilevel"/>
    <w:tmpl w:val="C4D6F86E"/>
    <w:lvl w:ilvl="0" w:tplc="24A0746C">
      <w:start w:val="1"/>
      <w:numFmt w:val="decimal"/>
      <w:lvlText w:val="%1."/>
      <w:lvlJc w:val="left"/>
      <w:pPr>
        <w:ind w:left="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A4657C">
      <w:start w:val="2"/>
      <w:numFmt w:val="lowerLetter"/>
      <w:lvlText w:val="%2."/>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E23B36">
      <w:start w:val="1"/>
      <w:numFmt w:val="lowerRoman"/>
      <w:lvlText w:val="%3"/>
      <w:lvlJc w:val="left"/>
      <w:pPr>
        <w:ind w:left="1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AA92B4">
      <w:start w:val="1"/>
      <w:numFmt w:val="decimal"/>
      <w:lvlText w:val="%4"/>
      <w:lvlJc w:val="left"/>
      <w:pPr>
        <w:ind w:left="2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2A5D26">
      <w:start w:val="1"/>
      <w:numFmt w:val="lowerLetter"/>
      <w:lvlText w:val="%5"/>
      <w:lvlJc w:val="left"/>
      <w:pPr>
        <w:ind w:left="2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080770">
      <w:start w:val="1"/>
      <w:numFmt w:val="lowerRoman"/>
      <w:lvlText w:val="%6"/>
      <w:lvlJc w:val="left"/>
      <w:pPr>
        <w:ind w:left="3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F47748">
      <w:start w:val="1"/>
      <w:numFmt w:val="decimal"/>
      <w:lvlText w:val="%7"/>
      <w:lvlJc w:val="left"/>
      <w:pPr>
        <w:ind w:left="4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0E3B2A">
      <w:start w:val="1"/>
      <w:numFmt w:val="lowerLetter"/>
      <w:lvlText w:val="%8"/>
      <w:lvlJc w:val="left"/>
      <w:pPr>
        <w:ind w:left="5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C8CC10">
      <w:start w:val="1"/>
      <w:numFmt w:val="lowerRoman"/>
      <w:lvlText w:val="%9"/>
      <w:lvlJc w:val="left"/>
      <w:pPr>
        <w:ind w:left="5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DE01AB"/>
    <w:multiLevelType w:val="hybridMultilevel"/>
    <w:tmpl w:val="35E27E9C"/>
    <w:lvl w:ilvl="0" w:tplc="88F0C9C2">
      <w:start w:val="1"/>
      <w:numFmt w:val="decimal"/>
      <w:lvlText w:val="%1."/>
      <w:lvlJc w:val="left"/>
      <w:pPr>
        <w:ind w:left="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84CB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1E26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08DC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C040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DA61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2260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A8CB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5AEE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8607879"/>
    <w:multiLevelType w:val="hybridMultilevel"/>
    <w:tmpl w:val="FFEEE758"/>
    <w:lvl w:ilvl="0" w:tplc="AEE8AA5C">
      <w:start w:val="1"/>
      <w:numFmt w:val="decimal"/>
      <w:lvlText w:val="%1."/>
      <w:lvlJc w:val="left"/>
      <w:pPr>
        <w:ind w:left="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986A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B881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02D9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A023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702D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1828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9E48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28D0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87B4C09"/>
    <w:multiLevelType w:val="hybridMultilevel"/>
    <w:tmpl w:val="8762507C"/>
    <w:lvl w:ilvl="0" w:tplc="32E4C92C">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B43B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7E7B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50B2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3C998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F63A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6EC6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B610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E441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FF115C0"/>
    <w:multiLevelType w:val="hybridMultilevel"/>
    <w:tmpl w:val="28442824"/>
    <w:lvl w:ilvl="0" w:tplc="34981C1E">
      <w:start w:val="3"/>
      <w:numFmt w:val="decimal"/>
      <w:lvlText w:val="%1."/>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1C89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EA15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F6A3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4CB9B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1ABE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2CD4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021D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FE9C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3"/>
  </w:num>
  <w:num w:numId="3">
    <w:abstractNumId w:val="1"/>
  </w:num>
  <w:num w:numId="4">
    <w:abstractNumId w:val="10"/>
  </w:num>
  <w:num w:numId="5">
    <w:abstractNumId w:val="0"/>
  </w:num>
  <w:num w:numId="6">
    <w:abstractNumId w:val="6"/>
  </w:num>
  <w:num w:numId="7">
    <w:abstractNumId w:val="11"/>
  </w:num>
  <w:num w:numId="8">
    <w:abstractNumId w:val="5"/>
  </w:num>
  <w:num w:numId="9">
    <w:abstractNumId w:val="9"/>
  </w:num>
  <w:num w:numId="10">
    <w:abstractNumId w:val="4"/>
  </w:num>
  <w:num w:numId="11">
    <w:abstractNumId w:val="3"/>
  </w:num>
  <w:num w:numId="12">
    <w:abstractNumId w:val="7"/>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75"/>
    <w:rsid w:val="001429B4"/>
    <w:rsid w:val="00600975"/>
    <w:rsid w:val="007C434F"/>
    <w:rsid w:val="00D67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1E99"/>
  <w15:docId w15:val="{7CC6AF6D-4A1F-43CE-B1B0-DED0CBE6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7" w:line="267" w:lineRule="auto"/>
      <w:ind w:left="411" w:hanging="411"/>
      <w:jc w:val="both"/>
    </w:pPr>
    <w:rPr>
      <w:rFonts w:ascii="Arial" w:eastAsia="Arial" w:hAnsi="Arial" w:cs="Arial"/>
      <w:color w:val="000000"/>
      <w:sz w:val="20"/>
    </w:rPr>
  </w:style>
  <w:style w:type="paragraph" w:styleId="Nadpis1">
    <w:name w:val="heading 1"/>
    <w:next w:val="Normln"/>
    <w:link w:val="Nadpis1Char"/>
    <w:uiPriority w:val="9"/>
    <w:unhideWhenUsed/>
    <w:qFormat/>
    <w:pPr>
      <w:keepNext/>
      <w:keepLines/>
      <w:spacing w:after="2"/>
      <w:ind w:left="10" w:hanging="10"/>
      <w:jc w:val="center"/>
      <w:outlineLvl w:val="0"/>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0"/>
    </w:rPr>
  </w:style>
  <w:style w:type="paragraph" w:customStyle="1" w:styleId="footnotedescription">
    <w:name w:val="footnote description"/>
    <w:next w:val="Normln"/>
    <w:link w:val="footnotedescriptionChar"/>
    <w:hidden/>
    <w:pPr>
      <w:spacing w:after="0"/>
    </w:pPr>
    <w:rPr>
      <w:rFonts w:ascii="Tahoma" w:eastAsia="Tahoma" w:hAnsi="Tahoma" w:cs="Tahoma"/>
      <w:color w:val="000000"/>
      <w:sz w:val="18"/>
    </w:rPr>
  </w:style>
  <w:style w:type="character" w:customStyle="1" w:styleId="footnotedescriptionChar">
    <w:name w:val="footnote description Char"/>
    <w:link w:val="footnotedescription"/>
    <w:rPr>
      <w:rFonts w:ascii="Tahoma" w:eastAsia="Tahoma" w:hAnsi="Tahoma" w:cs="Tahoma"/>
      <w:color w:val="000000"/>
      <w:sz w:val="18"/>
    </w:rPr>
  </w:style>
  <w:style w:type="character" w:customStyle="1" w:styleId="footnotemark">
    <w:name w:val="footnote mark"/>
    <w:hidden/>
    <w:rPr>
      <w:rFonts w:ascii="Tahoma" w:eastAsia="Tahoma" w:hAnsi="Tahoma" w:cs="Tahom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3115</Words>
  <Characters>18380</Characters>
  <Application>Microsoft Office Word</Application>
  <DocSecurity>4</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Tykvová Markéta</dc:creator>
  <cp:keywords/>
  <cp:lastModifiedBy>Havelková Lada</cp:lastModifiedBy>
  <cp:revision>2</cp:revision>
  <dcterms:created xsi:type="dcterms:W3CDTF">2019-03-18T07:53:00Z</dcterms:created>
  <dcterms:modified xsi:type="dcterms:W3CDTF">2019-03-18T07:53:00Z</dcterms:modified>
</cp:coreProperties>
</file>