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KRAJSKÁ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SPRÁVA A ÚDRŽBA S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 MC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VYSOČINY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op-;a'iiíJCť!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‘‘PCSI POVÁNA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7473" w:val="left"/>
        </w:tabs>
        <w:bidi w:val="0"/>
        <w:spacing w:before="0" w:after="120"/>
        <w:ind w:left="57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63500</wp:posOffset>
                </wp:positionV>
                <wp:extent cx="488950" cy="20129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895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FTS-03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650000000000006pt;margin-top:5.pt;width:38.5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FTS-03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pod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číslonv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(i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’ 1^1/ Z V Á|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SMLOUVA číslo: 71490005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uzavřená podle dle § 51 zákona č. 40/1964 Sb., občanský zákoník, ve znění pozdějších předpisů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 podmínkách provádění stavebních prací v silničním pozemku a tělese a užívání silniční stavby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dle zákona č. 13/1997 Sb., o pozemních komunikacích, ve znění pozdějších předpisů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mezi</w:t>
      </w:r>
      <w:bookmarkEnd w:id="2"/>
      <w:bookmarkEnd w:id="3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3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organizace, Kosovská 1122/16,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87" w:val="left"/>
        </w:tabs>
        <w:bidi w:val="0"/>
        <w:spacing w:before="0" w:after="0" w:line="240" w:lineRule="auto"/>
        <w:ind w:left="72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586 01 Jihlava, Oddělení T-S Havlíčkův Brod, Žižkova 1018, 581 53 Havlíčkův Brod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,IČO 00090450, DIČ: CZ00090450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zastoupená ředitelem Ing. Janem Míkou MBA,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jako správce silnic II. a III. třídy v okrese Havlíčkův Brod (dále jen „správce silnic“)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podpisu smlouvy oprávněn</w:t>
        <w:tab/>
        <w:t>, vedoucí technicko - správního oddělení pracoviště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Havlíčkův Brod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746" w:val="left"/>
        </w:tabs>
        <w:bidi w:val="0"/>
        <w:spacing w:before="0" w:after="0" w:line="240" w:lineRule="auto"/>
        <w:ind w:left="0" w:right="0" w:firstLine="38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ZIPP Brno s.r.o., Kaštanová 489/34, 620 00 Brno, IČO: 49975561 zapsaná</w:t>
      </w:r>
      <w:bookmarkEnd w:id="4"/>
      <w:bookmarkEnd w:id="5"/>
    </w:p>
    <w:p>
      <w:pPr>
        <w:pStyle w:val="Style11"/>
        <w:keepNext/>
        <w:keepLines/>
        <w:widowControl w:val="0"/>
        <w:shd w:val="clear" w:color="auto" w:fill="auto"/>
        <w:tabs>
          <w:tab w:pos="5569" w:val="left"/>
        </w:tabs>
        <w:bidi w:val="0"/>
        <w:spacing w:before="0" w:after="700" w:line="240" w:lineRule="auto"/>
        <w:ind w:left="720" w:right="0" w:firstLine="2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obchodním rejstříku u Krajského soudu v Brně, oddíl C, vložka zastoupená zplnomocněným</w:t>
        <w:tab/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-dále jen investor</w:t>
      </w:r>
      <w:bookmarkEnd w:id="6"/>
      <w:bookmarkEnd w:id="7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Úvodní ustanovení</w:t>
      </w:r>
      <w:bookmarkEnd w:id="8"/>
      <w:bookmarkEnd w:id="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je majetkovým správcem silnic II. a III. třídy v okrese Havlíčkův Brod na základě zřizovací listiny schválené usnesením Zastupitelstva kraje Vysočina.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  <w:bookmarkEnd w:id="10"/>
      <w:bookmarkEnd w:id="1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 stanovení technických podmínek pro provádění stavebních prací v silničním pozemku a tělese tak, jak jsou definovány v § 11 a § 12zákonaČ. 13/1997 Sb., o pozemních komunikacích, ve znění pozdějších předpisů (dále jen zákon o pozemních komunikacích) a užívání silničního pozemku k uvedenému účelu.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Účelem stanovení podmínek pro provádění prací v silničním pozemku a tělese je zajištění ochrany silniční sítě ve správě KSÚSV v souladu se zákonem o pozemních komunikacích.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Rozsah dotčení silnic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 dotčení silnice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správě KSÚSV dojde stavbou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„Nová skladová hala, ACO Přibyslav - dopravní napojení“.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Stavbou dojde k dotčení tělesa silnice č, 11/350 podle níže uvedené specifikace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11/350 Přibyslav</w:t>
      </w:r>
      <w:bookmarkEnd w:id="12"/>
      <w:bookmarkEnd w:id="13"/>
    </w:p>
    <w:p>
      <w:pPr>
        <w:pStyle w:val="Style4"/>
        <w:keepNext w:val="0"/>
        <w:keepLines w:val="0"/>
        <w:widowControl w:val="0"/>
        <w:shd w:val="clear" w:color="auto" w:fill="auto"/>
        <w:tabs>
          <w:tab w:pos="7096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Stavební práce ve vozovce v úseku 270 m</w:t>
        <w:tab/>
        <w:t>17,465-17,735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Pohyb techniky a materiálu po silnici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Zábor jednoho jízdního pruhu z důvodu rozšíření silnice vpravo a zřízení odbočovacího pruhu vlevo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FTS-03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Podmínky pro provádění stavebních prací v silničním tělese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Dopravní napojení bude provedeno dle schválené projektové dokumentace.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Úpravy v silniční stavbě musí odpovídat příslušným ČSN a TP 146.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Konečná oprava silničního tělesa bude provedena nejpozději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30.9.2019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Opravené silniční těleso bude předáno do 5-ti dnů od ukončení prací správci silnice protokolem.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after="0" w:line="240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doby předání je investor stavby povinen udržovat silniční těleso v řádném stavu a je odpovědný za zajištění bezpečnosti silničního provozu v daném úseku.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after="460" w:line="240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Investor stavby bere na vědomí, že stavební práce v silničním pozemku a tělese mohou být prováděny teprve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 nabytí právní moci rozhodnutí o povolení ke zvláštnímu užívání silnic pro provádění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stavebních prací v silničním pozemku a tělese, o jehož vydání je povinen požádat u silničního správního úřadu a uhrazení faktury za užívání pozemní komunikace silničního pozemku.</w:t>
      </w:r>
    </w:p>
    <w:p>
      <w:pPr>
        <w:pStyle w:val="Style14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16" w:val="left"/>
        </w:tabs>
        <w:bidi w:val="0"/>
        <w:spacing w:before="0" w:after="34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podmínky</w:t>
      </w:r>
      <w:bookmarkEnd w:id="14"/>
      <w:bookmarkEnd w:id="15"/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09" w:val="left"/>
        </w:tabs>
        <w:bidi w:val="0"/>
        <w:spacing w:before="0" w:after="100" w:line="240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všechny práce spojené s uvedením tělesa silnice požadovaného stavu dle znění této smlouvy poskytne investor stavby správci silnic záruční dobu v délce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60 měsíců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ode dne předání (počítá se ode dne podpisu písemného protokolu). Termín předání bude oznámen správci silnic minimálně 3 dny předem - oddělení TS Havlíčkův Brod tel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09" w:val="left"/>
        </w:tabs>
        <w:bidi w:val="0"/>
        <w:spacing w:before="0" w:after="340" w:line="240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Silniční těleso opravené v záruční době dle předchozího odstavce bude předáno na základě písemného protokolu do 5-ti dnů od ukončení prací správci silnic. Na všechny práce spojené s opravou silničního tělesa v záruční době poskytne investor stavby správci silnic záruční dobu v délce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60 měsíců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ode dne předání (počítá se ode dne podpisu písemného protokolu). Termín předání bude oznámen správci silnic minimálně 3 dny předem - oddělení TS Havlíčkův Brod, tel..</w:t>
      </w:r>
    </w:p>
    <w:p>
      <w:pPr>
        <w:pStyle w:val="Style14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95" w:val="left"/>
        </w:tabs>
        <w:bidi w:val="0"/>
        <w:spacing w:before="0" w:after="34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podmínky</w:t>
      </w:r>
      <w:bookmarkEnd w:id="16"/>
      <w:bookmarkEnd w:id="17"/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09" w:val="left"/>
        </w:tabs>
        <w:bidi w:val="0"/>
        <w:spacing w:before="0" w:after="100" w:line="240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Vlastník zařízení souhlasí s prováděním prací charakteru údržby (§ 15 vyhl.č.l 04/97Sb) na silničním pozemku použitého k uložení zařízení správcem komunikace obvyklou mechanizací použitou v ostatním úseku bez přítomnosti tohoto zařízení.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09" w:val="left"/>
        </w:tabs>
        <w:bidi w:val="0"/>
        <w:spacing w:before="0" w:after="580" w:line="240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Vlastník zařízení učiní taková technická opatření, aby nemohlo dojít k poškození zařízení při provádění prací charakteru údržby. Za tohoto předpokladu souhlasí s tím, že K.SÚSV neponese odpovědnost za ev. poškození zařízení při těchto pracích a netrvá na předběžném projednávání výše popsaných údržbových prací. V případě nesouhlasu uhradí vícenáklady vzniklé použitím požadované jiné technologie než je obvyklé v ostatním úseku /např. ruční práce/.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VII.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o užívání silničního pozemku a tělesa</w:t>
      </w:r>
      <w:bookmarkEnd w:id="18"/>
      <w:bookmarkEnd w:id="19"/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09" w:val="left"/>
        </w:tabs>
        <w:bidi w:val="0"/>
        <w:spacing w:before="0" w:after="0" w:line="240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Užívání silničního pozemku a tělesa k provádění stavebních prací dle čl. IV této smlouvy se sjednává na dobu určitou, a to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1.4. - 30.9.2019 - tj. 183 dní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09" w:val="left"/>
        </w:tabs>
        <w:bidi w:val="0"/>
        <w:spacing w:before="0" w:after="0" w:line="240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dohodly, že užívání bude poskytnuto úplatně. Výše úhrady se sjednává dle směrnice KSÚSV a činí dle předložené kalkulace.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119.572,-KČ s DPH 21%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 stodevatenácttisícpětsetsedmdesátdvakorun českých)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09" w:val="left"/>
        </w:tabs>
        <w:bidi w:val="0"/>
        <w:spacing w:before="0" w:after="0" w:line="240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Částka úhrady je splatná ke dni podpisu této smlouvy bezhotovostně na účet správce silnic nebo v hotovosti na pokladně. Daňový doklad zašle správce silnic na adresu investora stavby do 3 pracovních dnů po připsání úhrady na účet správce silnic.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09" w:val="left"/>
        </w:tabs>
        <w:bidi w:val="0"/>
        <w:spacing w:before="0" w:after="340" w:line="240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Investor stavby je povinen zaplatit správci silnic smluvní pokutu ve výši 0,2 % z částky dle odst.2 tohoto článku smlouvy za každý i započatý den prodlení se zaplacením faktury.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FTS-03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VIII.</w:t>
      </w:r>
      <w:bookmarkEnd w:id="20"/>
      <w:bookmarkEnd w:id="21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smluvních stran</w:t>
      </w:r>
      <w:bookmarkEnd w:id="22"/>
      <w:bookmarkEnd w:id="23"/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28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Investor stavby je povinen přenést povinnosti plynoucí z čl. IV. smlouvy na zhotovitele stavby.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28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Investor stavby je povinen nejpozději do termínu kolaudačního řízení předložit správci silníce dokumentaci zaměření skutečného provedení stavby. Výkresová dokumentace musí obsahovat kóty krytí v dotčeném silničním tělese včetně příkopů.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28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závazky z této smlouvy plynoucí přecházejí na případné právní nástupce smluvních stran.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28" w:val="left"/>
        </w:tabs>
        <w:bidi w:val="0"/>
        <w:spacing w:before="0" w:after="220" w:line="240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silnice je povinen strpět provádění prací v silničním tělese za podmínek, v rozsahu a po dobu sjednaných v této smlouvě.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IX.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24"/>
      <w:bookmarkEnd w:id="25"/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28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čtyřech stejnopisech, z nichž obě smluvní strany obdrží po dvou vyhotoveních.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28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oprávněným zástupcem obou smluvních stran.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28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údaje v této smlouvě uvedené jsou v souladu se skutečností v době uzavření smlouvy. Smluvní strany se zavazují, že případné změny dotčených údajů oznámí bez prodlení druhé smluvní straně.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28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shodně prohlašují, že si tuto smlouvu před jejím podpisem přečetly, že byla uzavřena po vzájemném projednání podle jejich pravé a svobodné vůle, určitě, vážně, srozumitelně, nikoli v tísni za nápadně nevýhodných podmínek.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28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podepisují tuto smlouvu a svým podpisem zároveň stvrzují platnost svých jednatelských oprávnění, jakož i plnou způsobilost k právním úkonům.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775" w:left="1351" w:right="1350" w:bottom="1343" w:header="347" w:footer="915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513330" distB="0" distL="0" distR="0" simplePos="0" relativeHeight="125829380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2513330</wp:posOffset>
                </wp:positionV>
                <wp:extent cx="1851660" cy="1739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5166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Havlíčkově Brodě dne 18.3.2019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pt;margin-top:197.90000000000001pt;width:145.80000000000001pt;height:13.699999999999999pt;z-index:-125829373;mso-wrap-distance-left:0;mso-wrap-distance-top:197.9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Havlíčkově Brodě dne 18.3.2019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01900" distB="11430" distL="0" distR="0" simplePos="0" relativeHeight="125829382" behindDoc="0" locked="0" layoutInCell="1" allowOverlap="1">
                <wp:simplePos x="0" y="0"/>
                <wp:positionH relativeFrom="page">
                  <wp:posOffset>4090670</wp:posOffset>
                </wp:positionH>
                <wp:positionV relativeFrom="paragraph">
                  <wp:posOffset>2501900</wp:posOffset>
                </wp:positionV>
                <wp:extent cx="1860550" cy="17399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055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Havlíčkově Brodě dne 18.3.2019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2.10000000000002pt;margin-top:197.pt;width:146.5pt;height:13.699999999999999pt;z-index:-125829371;mso-wrap-distance-left:0;mso-wrap-distance-top:197.pt;mso-wrap-distance-right:0;mso-wrap-distance-bottom:0.90000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Havlíčkově Brodě dne 18.3.2019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" w:after="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70" w:left="0" w:right="0" w:bottom="167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0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70" w:left="1534" w:right="1210" w:bottom="167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12700</wp:posOffset>
                </wp:positionV>
                <wp:extent cx="937260" cy="17843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7260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(razítko a podpis)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1.700000000000003pt;margin-top:1.pt;width:73.799999999999997pt;height:14.05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(razítko a podpis)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(razítko a podpis)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FTS-03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na stanovení výše náhrady za užívání pozemní komunikace (silnice a silničního pozemku) při provádění stavebních prací.</w:t>
      </w:r>
    </w:p>
    <w:tbl>
      <w:tblPr>
        <w:tblOverlap w:val="never"/>
        <w:jc w:val="center"/>
        <w:tblLayout w:type="fixed"/>
      </w:tblPr>
      <w:tblGrid>
        <w:gridCol w:w="1764"/>
        <w:gridCol w:w="1807"/>
        <w:gridCol w:w="1753"/>
        <w:gridCol w:w="1818"/>
        <w:gridCol w:w="1775"/>
      </w:tblGrid>
      <w:tr>
        <w:trPr>
          <w:trHeight w:val="14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Kategorie silnice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Sazba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Kč za lm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 a 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Sazba Kč za lm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 a den v případě veřejného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zájmu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Zvýšeni sazby při nedodrženi termínu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Poznámka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Silnice II. třídy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1,-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100%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Silnice III. třídy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100%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759" w:line="1" w:lineRule="exact"/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26" w:name="bookmark26"/>
      <w:bookmarkStart w:id="27" w:name="bookmark27"/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- výpočet ceny náhrady za užívání pozemní</w:t>
        <w:br/>
        <w:t>komunikace (silnice a silničního pozemku) při provádění</w:t>
        <w:br/>
        <w:t>stavebních prací.</w:t>
      </w:r>
      <w:bookmarkEnd w:id="26"/>
      <w:bookmarkEnd w:id="27"/>
    </w:p>
    <w:tbl>
      <w:tblPr>
        <w:tblOverlap w:val="never"/>
        <w:jc w:val="left"/>
        <w:tblLayout w:type="fixed"/>
      </w:tblPr>
      <w:tblGrid>
        <w:gridCol w:w="2581"/>
        <w:gridCol w:w="1055"/>
        <w:gridCol w:w="1080"/>
        <w:gridCol w:w="994"/>
        <w:gridCol w:w="1321"/>
      </w:tblGrid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Kč/m2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Počet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souběh III třída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98.820,-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98.820,-</w:t>
            </w:r>
          </w:p>
        </w:tc>
      </w:tr>
    </w:tbl>
    <w:p>
      <w:pPr>
        <w:widowControl w:val="0"/>
        <w:spacing w:after="12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minimální částka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poplatku pro 1 (jeden) případ činí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1000,-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(slovy Jedentisíckorunčeských), bez ohledu na dobu a rozsah užívání.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DPH 21% = 20752,20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Náhrada činí 98820,- + 20752,20 = 119572,20 Kč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left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Náhrada činí celkem 119.572,- Kč s DPH</w:t>
      </w:r>
      <w:bookmarkEnd w:id="28"/>
      <w:bookmarkEnd w:id="2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Havlíčkově Brodě 18.3.2019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Vypracoval:</w:t>
      </w:r>
    </w:p>
    <w:sectPr>
      <w:footnotePr>
        <w:pos w:val="pageBottom"/>
        <w:numFmt w:val="decimal"/>
        <w:numRestart w:val="continuous"/>
      </w:footnotePr>
      <w:pgSz w:w="11900" w:h="16840"/>
      <w:pgMar w:top="1871" w:left="1170" w:right="1575" w:bottom="1852" w:header="1443" w:footer="142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5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Nadpis #1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5">
    <w:name w:val="Nadpis #2_"/>
    <w:basedOn w:val="DefaultParagraphFont"/>
    <w:link w:val="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Titulek tabulky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Jiné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ind w:firstLine="1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spacing w:after="60" w:line="295" w:lineRule="auto"/>
      <w:ind w:left="67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FFFFFF"/>
      <w:spacing w:after="71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Titulek tabulky"/>
    <w:basedOn w:val="Normal"/>
    <w:link w:val="CharStyle2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Jiné"/>
    <w:basedOn w:val="Normal"/>
    <w:link w:val="CharStyle2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