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E9" w:rsidRDefault="00287916">
      <w:pPr>
        <w:pBdr>
          <w:top w:val="single" w:sz="4" w:space="0" w:color="4C4C4D"/>
        </w:pBdr>
        <w:tabs>
          <w:tab w:val="left" w:pos="3798"/>
          <w:tab w:val="right" w:pos="9112"/>
        </w:tabs>
        <w:spacing w:before="20"/>
        <w:rPr>
          <w:rFonts w:ascii="Verdana" w:hAnsi="Verdana"/>
          <w:color w:val="000000"/>
          <w:spacing w:val="-6"/>
          <w:sz w:val="14"/>
          <w:lang w:val="cs-CZ"/>
        </w:rPr>
      </w:pPr>
      <w:r>
        <w:rPr>
          <w:rFonts w:ascii="Verdana" w:hAnsi="Verdana"/>
          <w:color w:val="000000"/>
          <w:spacing w:val="-6"/>
          <w:sz w:val="14"/>
          <w:lang w:val="cs-CZ"/>
        </w:rPr>
        <w:t>Pojistná smlouva Č.: 41842209-80</w:t>
      </w:r>
      <w:r>
        <w:rPr>
          <w:rFonts w:ascii="Verdana" w:hAnsi="Verdana"/>
          <w:color w:val="000000"/>
          <w:spacing w:val="-6"/>
          <w:sz w:val="1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Stav k datu: </w:t>
      </w:r>
      <w:r>
        <w:rPr>
          <w:rFonts w:ascii="Verdana" w:hAnsi="Verdana"/>
          <w:color w:val="000000"/>
          <w:spacing w:val="-6"/>
          <w:sz w:val="14"/>
          <w:lang w:val="cs-CZ"/>
        </w:rPr>
        <w:t>5. 3. 2019</w:t>
      </w:r>
      <w:r>
        <w:rPr>
          <w:rFonts w:ascii="Verdana" w:hAnsi="Verdana"/>
          <w:color w:val="000000"/>
          <w:spacing w:val="-6"/>
          <w:sz w:val="14"/>
          <w:lang w:val="cs-CZ"/>
        </w:rPr>
        <w:tab/>
        <w:t>Strana: 3/4</w:t>
      </w:r>
    </w:p>
    <w:p w:rsidR="001B3AE9" w:rsidRDefault="00326AF1">
      <w:pPr>
        <w:spacing w:before="144"/>
        <w:ind w:right="5328"/>
        <w:rPr>
          <w:rFonts w:ascii="Times New Roman" w:hAnsi="Times New Roman"/>
          <w:b/>
          <w:color w:val="000000"/>
          <w:spacing w:val="-5"/>
          <w:sz w:val="19"/>
          <w:lang w:val="cs-CZ"/>
        </w:rPr>
      </w:pPr>
      <w:r>
        <w:pict>
          <v:line id="_x0000_s1027" style="position:absolute;z-index:251657216;mso-position-horizontal-relative:text;mso-position-vertical-relative:text" from="0,.35pt" to="457.05pt,.35pt" strokecolor="#545459" strokeweight=".55pt"/>
        </w:pict>
      </w:r>
      <w:r w:rsidR="00287916">
        <w:rPr>
          <w:rFonts w:ascii="Times New Roman" w:hAnsi="Times New Roman"/>
          <w:b/>
          <w:color w:val="000000"/>
          <w:spacing w:val="-5"/>
          <w:sz w:val="19"/>
          <w:lang w:val="cs-CZ"/>
        </w:rPr>
        <w:t xml:space="preserve">6. Přehled sjednaných pojištění a způsob úhrady </w:t>
      </w:r>
      <w:r w:rsidR="00287916">
        <w:rPr>
          <w:rFonts w:ascii="Times New Roman" w:hAnsi="Times New Roman"/>
          <w:b/>
          <w:color w:val="000000"/>
          <w:spacing w:val="-7"/>
          <w:sz w:val="19"/>
          <w:lang w:val="cs-CZ"/>
        </w:rPr>
        <w:t xml:space="preserve">6.1. Přehled </w:t>
      </w:r>
      <w:proofErr w:type="gramStart"/>
      <w:r w:rsidR="00287916">
        <w:rPr>
          <w:rFonts w:ascii="Times New Roman" w:hAnsi="Times New Roman"/>
          <w:b/>
          <w:color w:val="000000"/>
          <w:spacing w:val="-7"/>
          <w:sz w:val="19"/>
          <w:lang w:val="cs-CZ"/>
        </w:rPr>
        <w:t>sjednaných  o pojištění</w:t>
      </w:r>
      <w:proofErr w:type="gramEnd"/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3596"/>
        <w:gridCol w:w="1016"/>
        <w:gridCol w:w="741"/>
        <w:gridCol w:w="911"/>
        <w:gridCol w:w="734"/>
        <w:gridCol w:w="659"/>
        <w:gridCol w:w="256"/>
        <w:gridCol w:w="1203"/>
        <w:gridCol w:w="18"/>
      </w:tblGrid>
      <w:tr w:rsidR="001B3AE9">
        <w:trPr>
          <w:gridBefore w:val="1"/>
          <w:gridAfter w:val="1"/>
          <w:wBefore w:w="6" w:type="dxa"/>
          <w:wAfter w:w="18" w:type="dxa"/>
          <w:trHeight w:hRule="exact" w:val="443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B3AE9" w:rsidRDefault="00287916">
            <w:pPr>
              <w:ind w:left="160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Sjednané pojištěni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B3AE9" w:rsidRDefault="00287916">
            <w:pPr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pojistné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vKč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287916">
            <w:pPr>
              <w:ind w:right="11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Obchodní sleva</w:t>
            </w:r>
          </w:p>
        </w:tc>
        <w:tc>
          <w:tcPr>
            <w:tcW w:w="1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287916">
            <w:pPr>
              <w:ind w:right="10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Škodní</w:t>
            </w:r>
          </w:p>
          <w:p w:rsidR="001B3AE9" w:rsidRDefault="00287916" w:rsidP="00287916">
            <w:pPr>
              <w:spacing w:line="213" w:lineRule="auto"/>
              <w:ind w:right="103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sleva/přirážka</w:t>
            </w:r>
            <w:r w:rsidRPr="00287916">
              <w:rPr>
                <w:rFonts w:ascii="Times New Roman" w:hAnsi="Times New Roman"/>
                <w:b/>
                <w:color w:val="000000"/>
                <w:sz w:val="18"/>
                <w:vertAlign w:val="superscript"/>
                <w:lang w:val="cs-CZ"/>
              </w:rPr>
              <w:t>1)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1B3AE9" w:rsidRDefault="00287916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Celkem ro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 xml:space="preserve">ční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br/>
              <w:t>pojistné v Kč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9"/>
        </w:trPr>
        <w:tc>
          <w:tcPr>
            <w:tcW w:w="359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/>
        </w:tc>
        <w:tc>
          <w:tcPr>
            <w:tcW w:w="101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136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v%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11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vKč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114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130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vKč</w:t>
            </w:r>
            <w:proofErr w:type="spellEnd"/>
          </w:p>
        </w:tc>
        <w:tc>
          <w:tcPr>
            <w:tcW w:w="120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/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Odpovědnosti z provozu vozidla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7 196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30,0000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2 159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-2 770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2 267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Havarijní pojištění „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All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 Risk"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18 399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jc w:val="center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20,0000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3 680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-50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-7 359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7 360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6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POHODA Bez povinností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Všech skel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1 800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2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Pojištění Poškozeni vozidla zvířetem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80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Pojištění Asistence POHODA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Special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Úrazové pojištění řidiče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0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8"/>
                <w:lang w:val="cs-CZ"/>
              </w:rPr>
              <w:t>Úrazové pojištěni — omezený rozsah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O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13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Celkem v KČ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4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27 475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57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5 839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E9" w:rsidRDefault="001B3AE9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-10 129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11 506</w:t>
            </w:r>
          </w:p>
        </w:tc>
      </w:tr>
      <w:tr w:rsidR="001B3AE9">
        <w:trPr>
          <w:gridBefore w:val="1"/>
          <w:gridAfter w:val="1"/>
          <w:wBefore w:w="6" w:type="dxa"/>
          <w:wAfter w:w="18" w:type="dxa"/>
          <w:trHeight w:hRule="exact" w:val="23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B3AE9" w:rsidRDefault="00287916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lang w:val="cs-CZ"/>
              </w:rPr>
              <w:t>Celkem pojistné za pojistnou smlouvu upravené</w:t>
            </w:r>
          </w:p>
        </w:tc>
        <w:tc>
          <w:tcPr>
            <w:tcW w:w="4317" w:type="dxa"/>
            <w:gridSpan w:val="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1404"/>
              <w:jc w:val="right"/>
              <w:rPr>
                <w:rFonts w:ascii="Times New Roman" w:hAnsi="Times New Roman"/>
                <w:color w:val="000000"/>
                <w:spacing w:val="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4"/>
                <w:sz w:val="18"/>
                <w:lang w:val="cs-CZ"/>
              </w:rPr>
              <w:t xml:space="preserve">na dělitelnost počtem splátek v </w:t>
            </w:r>
            <w:r>
              <w:rPr>
                <w:rFonts w:ascii="Times New Roman" w:hAnsi="Times New Roman"/>
                <w:b/>
                <w:color w:val="000000"/>
                <w:spacing w:val="4"/>
                <w:sz w:val="18"/>
                <w:lang w:val="cs-CZ"/>
              </w:rPr>
              <w:t>Kč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1B3AE9" w:rsidRDefault="00287916">
            <w:pPr>
              <w:ind w:right="65"/>
              <w:jc w:val="right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11 506</w:t>
            </w:r>
          </w:p>
        </w:tc>
      </w:tr>
      <w:tr w:rsidR="001B3AE9">
        <w:trPr>
          <w:trHeight w:hRule="exact" w:val="1606"/>
        </w:trPr>
        <w:tc>
          <w:tcPr>
            <w:tcW w:w="7663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B3AE9" w:rsidRDefault="00287916">
            <w:pPr>
              <w:spacing w:line="341" w:lineRule="exact"/>
              <w:ind w:left="180" w:right="3528"/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18"/>
                <w:lang w:val="cs-CZ"/>
              </w:rPr>
              <w:t xml:space="preserve">škodní sleva — v tabulce uvedena se znaménkem minus </w:t>
            </w: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Výše splátky pojistného</w:t>
            </w:r>
          </w:p>
          <w:p w:rsidR="001B3AE9" w:rsidRDefault="00287916">
            <w:pPr>
              <w:spacing w:before="144" w:line="226" w:lineRule="exact"/>
              <w:ind w:right="5436"/>
              <w:rPr>
                <w:rFonts w:ascii="Times New Roman" w:hAnsi="Times New Roman"/>
                <w:b/>
                <w:color w:val="000000"/>
                <w:spacing w:val="-11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sz w:val="19"/>
                <w:lang w:val="cs-CZ"/>
              </w:rPr>
              <w:t xml:space="preserve">62. Způsob úhrady pojistného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Trvalým příkazem</w:t>
            </w:r>
          </w:p>
          <w:p w:rsidR="001B3AE9" w:rsidRDefault="00287916">
            <w:pPr>
              <w:spacing w:line="254" w:lineRule="auto"/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 xml:space="preserve">Pojistné </w:t>
            </w:r>
            <w:r>
              <w:rPr>
                <w:rFonts w:ascii="Times New Roman" w:hAnsi="Times New Roman"/>
                <w:color w:val="000000"/>
                <w:spacing w:val="-1"/>
                <w:sz w:val="19"/>
                <w:lang w:val="cs-CZ"/>
              </w:rPr>
              <w:t xml:space="preserve">bude hrazeno 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19"/>
                <w:lang w:val="cs-CZ"/>
              </w:rPr>
              <w:t xml:space="preserve">1 krát ročně, </w:t>
            </w:r>
            <w:r>
              <w:rPr>
                <w:rFonts w:ascii="Times New Roman" w:hAnsi="Times New Roman"/>
                <w:color w:val="000000"/>
                <w:spacing w:val="-1"/>
                <w:sz w:val="18"/>
                <w:lang w:val="cs-CZ"/>
              </w:rPr>
              <w:t>vždy k 05. dni 03. měsíce roku na účet České pojišťovny a.s.:</w:t>
            </w:r>
          </w:p>
        </w:tc>
        <w:tc>
          <w:tcPr>
            <w:tcW w:w="147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B3AE9" w:rsidRDefault="00287916">
            <w:pPr>
              <w:spacing w:before="360"/>
              <w:ind w:right="19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11 506 Kč</w:t>
            </w:r>
          </w:p>
        </w:tc>
      </w:tr>
    </w:tbl>
    <w:p w:rsidR="001B3AE9" w:rsidRDefault="001B3AE9">
      <w:pPr>
        <w:spacing w:after="340" w:line="20" w:lineRule="exact"/>
      </w:pPr>
    </w:p>
    <w:p w:rsidR="001B3AE9" w:rsidRDefault="001B3AE9">
      <w:pPr>
        <w:sectPr w:rsidR="001B3AE9">
          <w:pgSz w:w="11918" w:h="16854"/>
          <w:pgMar w:top="1454" w:right="1220" w:bottom="70" w:left="1498" w:header="720" w:footer="720" w:gutter="0"/>
          <w:cols w:space="708"/>
        </w:sectPr>
      </w:pPr>
    </w:p>
    <w:p w:rsidR="001B3AE9" w:rsidRDefault="00326AF1">
      <w:pPr>
        <w:spacing w:before="953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7.35pt;margin-top:0;width:458.75pt;height:42.6pt;z-index:-251658240;mso-wrap-distance-left:0;mso-wrap-distance-right:0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53"/>
                    <w:gridCol w:w="2627"/>
                    <w:gridCol w:w="56"/>
                    <w:gridCol w:w="275"/>
                    <w:gridCol w:w="288"/>
                    <w:gridCol w:w="98"/>
                    <w:gridCol w:w="121"/>
                    <w:gridCol w:w="116"/>
                    <w:gridCol w:w="101"/>
                    <w:gridCol w:w="106"/>
                    <w:gridCol w:w="110"/>
                    <w:gridCol w:w="98"/>
                    <w:gridCol w:w="106"/>
                    <w:gridCol w:w="103"/>
                    <w:gridCol w:w="191"/>
                    <w:gridCol w:w="91"/>
                    <w:gridCol w:w="267"/>
                    <w:gridCol w:w="61"/>
                    <w:gridCol w:w="169"/>
                    <w:gridCol w:w="91"/>
                    <w:gridCol w:w="118"/>
                    <w:gridCol w:w="113"/>
                    <w:gridCol w:w="249"/>
                    <w:gridCol w:w="710"/>
                  </w:tblGrid>
                  <w:tr w:rsidR="001B3AE9">
                    <w:trPr>
                      <w:trHeight w:hRule="exact" w:val="567"/>
                    </w:trPr>
                    <w:tc>
                      <w:tcPr>
                        <w:tcW w:w="3253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26AF1" w:rsidRDefault="00287916" w:rsidP="00326AF1">
                        <w:pPr>
                          <w:ind w:left="249"/>
                          <w:rPr>
                            <w:rFonts w:ascii="Times New Roman" w:hAnsi="Times New Roman"/>
                            <w:color w:val="000000"/>
                            <w:spacing w:val="-2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19"/>
                            <w:lang w:val="cs-CZ"/>
                          </w:rPr>
                          <w:t xml:space="preserve">Číslo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18"/>
                            <w:lang w:val="cs-CZ"/>
                          </w:rPr>
                          <w:t xml:space="preserve">účtu: </w:t>
                        </w:r>
                      </w:p>
                      <w:p w:rsidR="00326AF1" w:rsidRDefault="00287916" w:rsidP="00326AF1">
                        <w:pPr>
                          <w:ind w:left="249"/>
                          <w:rPr>
                            <w:rFonts w:ascii="Times New Roman" w:hAnsi="Times New Roman"/>
                            <w:color w:val="000000"/>
                            <w:sz w:val="18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lang w:val="cs-CZ"/>
                          </w:rPr>
                          <w:t xml:space="preserve">Kód banky: </w:t>
                        </w:r>
                      </w:p>
                      <w:p w:rsidR="001B3AE9" w:rsidRDefault="00287916" w:rsidP="00326AF1">
                        <w:pPr>
                          <w:ind w:left="249"/>
                          <w:rPr>
                            <w:rFonts w:ascii="Times New Roman" w:hAnsi="Times New Roman"/>
                            <w:color w:val="000000"/>
                            <w:spacing w:val="-3"/>
                            <w:sz w:val="18"/>
                            <w:lang w:val="cs-CZ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18"/>
                            <w:lang w:val="cs-CZ"/>
                          </w:rPr>
                          <w:t xml:space="preserve">Variabilní </w:t>
                        </w:r>
                        <w:r w:rsidR="00326AF1">
                          <w:rPr>
                            <w:rFonts w:ascii="Times New Roman" w:hAnsi="Times New Roman"/>
                            <w:color w:val="000000"/>
                            <w:spacing w:val="-3"/>
                            <w:sz w:val="19"/>
                            <w:lang w:val="cs-CZ"/>
                          </w:rPr>
                          <w:t xml:space="preserve">symbol: </w:t>
                        </w:r>
                      </w:p>
                    </w:tc>
                    <w:tc>
                      <w:tcPr>
                        <w:tcW w:w="2627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single" w:sz="5" w:space="0" w:color="4F4F4F"/>
                        </w:tcBorders>
                      </w:tcPr>
                      <w:p w:rsidR="001B3AE9" w:rsidRDefault="00287916">
                        <w:pPr>
                          <w:spacing w:line="199" w:lineRule="auto"/>
                          <w:ind w:right="814"/>
                          <w:jc w:val="right"/>
                          <w:rPr>
                            <w:rFonts w:ascii="Times New Roman" w:hAnsi="Times New Roman"/>
                            <w:b/>
                            <w:color w:val="000000"/>
                            <w:spacing w:val="-20"/>
                            <w:sz w:val="26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0"/>
                            <w:sz w:val="26"/>
                            <w:lang w:val="cs-CZ"/>
                          </w:rPr>
                          <w:t>SEZIG</w:t>
                        </w:r>
                      </w:p>
                      <w:p w:rsidR="001B3AE9" w:rsidRDefault="00287916">
                        <w:pPr>
                          <w:spacing w:before="72"/>
                          <w:ind w:right="814"/>
                          <w:jc w:val="right"/>
                          <w:rPr>
                            <w:rFonts w:ascii="Times New Roman" w:hAnsi="Times New Roman"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lang w:val="cs-CZ"/>
                          </w:rPr>
                          <w:t>Nyní můžete platit</w:t>
                        </w:r>
                      </w:p>
                      <w:p w:rsidR="001B3AE9" w:rsidRDefault="00287916">
                        <w:pPr>
                          <w:ind w:left="720" w:right="468"/>
                          <w:rPr>
                            <w:rFonts w:ascii="Times New Roman" w:hAnsi="Times New Roman"/>
                            <w:color w:val="000000"/>
                            <w:spacing w:val="-5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14"/>
                            <w:lang w:val="cs-CZ"/>
                          </w:rPr>
                          <w:t xml:space="preserve">na vybraných terminálech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lang w:val="cs-CZ"/>
                          </w:rPr>
                          <w:t>Sazky po celé ČR.</w:t>
                        </w:r>
                      </w:p>
                    </w:tc>
                    <w:tc>
                      <w:tcPr>
                        <w:tcW w:w="16" w:type="dxa"/>
                        <w:tcBorders>
                          <w:top w:val="none" w:sz="0" w:space="0" w:color="000000"/>
                          <w:left w:val="single" w:sz="5" w:space="0" w:color="4F4F4F"/>
                          <w:bottom w:val="none" w:sz="0" w:space="0" w:color="000000"/>
                          <w:right w:val="double" w:sz="8" w:space="0" w:color="323433"/>
                        </w:tcBorders>
                      </w:tcPr>
                      <w:p w:rsidR="001B3AE9" w:rsidRDefault="001B3AE9"/>
                    </w:tc>
                    <w:tc>
                      <w:tcPr>
                        <w:tcW w:w="275" w:type="dxa"/>
                        <w:tcBorders>
                          <w:top w:val="none" w:sz="0" w:space="0" w:color="000000"/>
                          <w:left w:val="double" w:sz="8" w:space="0" w:color="323433"/>
                          <w:bottom w:val="none" w:sz="0" w:space="0" w:color="000000"/>
                          <w:right w:val="double" w:sz="13" w:space="0" w:color="1E1D1D"/>
                        </w:tcBorders>
                      </w:tcPr>
                      <w:p w:rsidR="001B3AE9" w:rsidRDefault="001B3AE9"/>
                    </w:tc>
                    <w:tc>
                      <w:tcPr>
                        <w:tcW w:w="288" w:type="dxa"/>
                        <w:tcBorders>
                          <w:top w:val="none" w:sz="0" w:space="0" w:color="000000"/>
                          <w:left w:val="double" w:sz="13" w:space="0" w:color="1E1D1D"/>
                          <w:bottom w:val="none" w:sz="0" w:space="0" w:color="000000"/>
                          <w:right w:val="double" w:sz="9" w:space="0" w:color="232323"/>
                        </w:tcBorders>
                      </w:tcPr>
                      <w:p w:rsidR="001B3AE9" w:rsidRDefault="001B3AE9"/>
                    </w:tc>
                    <w:tc>
                      <w:tcPr>
                        <w:tcW w:w="87" w:type="dxa"/>
                        <w:tcBorders>
                          <w:top w:val="none" w:sz="0" w:space="0" w:color="000000"/>
                          <w:left w:val="double" w:sz="9" w:space="0" w:color="232323"/>
                          <w:bottom w:val="none" w:sz="0" w:space="0" w:color="000000"/>
                          <w:right w:val="double" w:sz="12" w:space="0" w:color="222020"/>
                        </w:tcBorders>
                      </w:tcPr>
                      <w:p w:rsidR="001B3AE9" w:rsidRDefault="001B3AE9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double" w:sz="12" w:space="0" w:color="222020"/>
                          <w:bottom w:val="none" w:sz="0" w:space="0" w:color="000000"/>
                          <w:right w:val="double" w:sz="15" w:space="0" w:color="252122"/>
                        </w:tcBorders>
                      </w:tcPr>
                      <w:p w:rsidR="001B3AE9" w:rsidRDefault="001B3AE9"/>
                    </w:tc>
                    <w:tc>
                      <w:tcPr>
                        <w:tcW w:w="79" w:type="dxa"/>
                        <w:tcBorders>
                          <w:top w:val="none" w:sz="0" w:space="0" w:color="000000"/>
                          <w:left w:val="double" w:sz="15" w:space="0" w:color="252122"/>
                          <w:bottom w:val="none" w:sz="0" w:space="0" w:color="000000"/>
                          <w:right w:val="double" w:sz="11" w:space="0" w:color="1B1B1B"/>
                        </w:tcBorders>
                      </w:tcPr>
                      <w:p w:rsidR="001B3AE9" w:rsidRDefault="001B3AE9"/>
                    </w:tc>
                    <w:tc>
                      <w:tcPr>
                        <w:tcW w:w="90" w:type="dxa"/>
                        <w:tcBorders>
                          <w:top w:val="none" w:sz="0" w:space="0" w:color="000000"/>
                          <w:left w:val="double" w:sz="11" w:space="0" w:color="1B1B1B"/>
                          <w:bottom w:val="none" w:sz="0" w:space="0" w:color="000000"/>
                          <w:right w:val="double" w:sz="11" w:space="0" w:color="0D0D0D"/>
                        </w:tcBorders>
                      </w:tcPr>
                      <w:p w:rsidR="001B3AE9" w:rsidRDefault="001B3AE9"/>
                    </w:tc>
                    <w:tc>
                      <w:tcPr>
                        <w:tcW w:w="76" w:type="dxa"/>
                        <w:tcBorders>
                          <w:top w:val="none" w:sz="0" w:space="0" w:color="000000"/>
                          <w:left w:val="double" w:sz="11" w:space="0" w:color="0D0D0D"/>
                          <w:bottom w:val="none" w:sz="0" w:space="0" w:color="000000"/>
                          <w:right w:val="double" w:sz="12" w:space="0" w:color="080808"/>
                        </w:tcBorders>
                      </w:tcPr>
                      <w:p w:rsidR="001B3AE9" w:rsidRDefault="001B3AE9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double" w:sz="12" w:space="0" w:color="080808"/>
                          <w:bottom w:val="none" w:sz="0" w:space="0" w:color="000000"/>
                          <w:right w:val="double" w:sz="12" w:space="0" w:color="191918"/>
                        </w:tcBorders>
                      </w:tcPr>
                      <w:p w:rsidR="001B3AE9" w:rsidRDefault="001B3AE9"/>
                    </w:tc>
                    <w:tc>
                      <w:tcPr>
                        <w:tcW w:w="90" w:type="dxa"/>
                        <w:tcBorders>
                          <w:top w:val="none" w:sz="0" w:space="0" w:color="000000"/>
                          <w:left w:val="double" w:sz="12" w:space="0" w:color="191918"/>
                          <w:bottom w:val="none" w:sz="0" w:space="0" w:color="000000"/>
                          <w:right w:val="double" w:sz="9" w:space="0" w:color="0B0B0B"/>
                        </w:tcBorders>
                      </w:tcPr>
                      <w:p w:rsidR="001B3AE9" w:rsidRDefault="001B3AE9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double" w:sz="9" w:space="0" w:color="0B0B0B"/>
                          <w:bottom w:val="none" w:sz="0" w:space="0" w:color="000000"/>
                          <w:right w:val="double" w:sz="14" w:space="0" w:color="0D0D0D"/>
                        </w:tcBorders>
                      </w:tcPr>
                      <w:p w:rsidR="001B3AE9" w:rsidRDefault="001B3AE9"/>
                    </w:tc>
                    <w:tc>
                      <w:tcPr>
                        <w:tcW w:w="68" w:type="dxa"/>
                        <w:tcBorders>
                          <w:top w:val="none" w:sz="0" w:space="0" w:color="000000"/>
                          <w:left w:val="double" w:sz="14" w:space="0" w:color="0D0D0D"/>
                          <w:bottom w:val="none" w:sz="0" w:space="0" w:color="000000"/>
                          <w:right w:val="double" w:sz="8" w:space="0" w:color="575757"/>
                        </w:tcBorders>
                      </w:tcPr>
                      <w:p w:rsidR="001B3AE9" w:rsidRDefault="001B3AE9"/>
                    </w:tc>
                    <w:tc>
                      <w:tcPr>
                        <w:tcW w:w="191" w:type="dxa"/>
                        <w:vMerge w:val="restart"/>
                        <w:tcBorders>
                          <w:top w:val="none" w:sz="0" w:space="0" w:color="000000"/>
                          <w:left w:val="double" w:sz="8" w:space="0" w:color="575757"/>
                          <w:bottom w:val="none" w:sz="0" w:space="0" w:color="000000"/>
                          <w:right w:val="double" w:sz="12" w:space="0" w:color="0C0C0C"/>
                        </w:tcBorders>
                        <w:vAlign w:val="center"/>
                      </w:tcPr>
                      <w:p w:rsidR="001B3AE9" w:rsidRDefault="00287916">
                        <w:pPr>
                          <w:jc w:val="center"/>
                          <w:rPr>
                            <w:rFonts w:ascii="Arial" w:hAnsi="Arial"/>
                            <w:color w:val="000000"/>
                            <w:spacing w:val="-372"/>
                            <w:sz w:val="80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-372"/>
                            <w:sz w:val="80"/>
                            <w:lang w:val="cs-CZ"/>
                          </w:rPr>
                          <w:t>11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one" w:sz="0" w:space="0" w:color="000000"/>
                          <w:left w:val="double" w:sz="12" w:space="0" w:color="0C0C0C"/>
                          <w:bottom w:val="none" w:sz="0" w:space="0" w:color="000000"/>
                          <w:right w:val="double" w:sz="7" w:space="0" w:color="383838"/>
                        </w:tcBorders>
                      </w:tcPr>
                      <w:p w:rsidR="001B3AE9" w:rsidRDefault="001B3AE9"/>
                    </w:tc>
                    <w:tc>
                      <w:tcPr>
                        <w:tcW w:w="267" w:type="dxa"/>
                        <w:tcBorders>
                          <w:top w:val="none" w:sz="0" w:space="0" w:color="000000"/>
                          <w:left w:val="double" w:sz="7" w:space="0" w:color="383838"/>
                          <w:bottom w:val="none" w:sz="0" w:space="0" w:color="000000"/>
                          <w:right w:val="single" w:sz="2" w:space="0" w:color="0A0808"/>
                        </w:tcBorders>
                      </w:tcPr>
                      <w:p w:rsidR="001B3AE9" w:rsidRDefault="001B3AE9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single" w:sz="2" w:space="0" w:color="0A0808"/>
                          <w:bottom w:val="none" w:sz="0" w:space="0" w:color="000000"/>
                          <w:right w:val="double" w:sz="7" w:space="0" w:color="060405"/>
                        </w:tcBorders>
                      </w:tcPr>
                      <w:p w:rsidR="001B3AE9" w:rsidRDefault="001B3AE9"/>
                    </w:tc>
                    <w:tc>
                      <w:tcPr>
                        <w:tcW w:w="169" w:type="dxa"/>
                        <w:tcBorders>
                          <w:top w:val="none" w:sz="0" w:space="0" w:color="000000"/>
                          <w:left w:val="double" w:sz="7" w:space="0" w:color="060405"/>
                          <w:bottom w:val="none" w:sz="0" w:space="0" w:color="000000"/>
                          <w:right w:val="double" w:sz="11" w:space="0" w:color="060606"/>
                        </w:tcBorders>
                      </w:tcPr>
                      <w:p w:rsidR="001B3AE9" w:rsidRDefault="001B3AE9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double" w:sz="11" w:space="0" w:color="060606"/>
                          <w:bottom w:val="none" w:sz="0" w:space="0" w:color="000000"/>
                          <w:right w:val="double" w:sz="8" w:space="0" w:color="353335"/>
                        </w:tcBorders>
                      </w:tcPr>
                      <w:p w:rsidR="001B3AE9" w:rsidRDefault="001B3AE9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double" w:sz="8" w:space="0" w:color="353335"/>
                          <w:bottom w:val="none" w:sz="0" w:space="0" w:color="000000"/>
                          <w:right w:val="double" w:sz="18" w:space="0" w:color="191919"/>
                        </w:tcBorders>
                      </w:tcPr>
                      <w:p w:rsidR="001B3AE9" w:rsidRDefault="001B3AE9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double" w:sz="18" w:space="0" w:color="191919"/>
                          <w:bottom w:val="none" w:sz="0" w:space="0" w:color="000000"/>
                          <w:right w:val="double" w:sz="7" w:space="0" w:color="060606"/>
                        </w:tcBorders>
                      </w:tcPr>
                      <w:p w:rsidR="001B3AE9" w:rsidRDefault="001B3AE9"/>
                    </w:tc>
                    <w:tc>
                      <w:tcPr>
                        <w:tcW w:w="249" w:type="dxa"/>
                        <w:tcBorders>
                          <w:top w:val="none" w:sz="0" w:space="0" w:color="000000"/>
                          <w:left w:val="double" w:sz="7" w:space="0" w:color="060606"/>
                          <w:bottom w:val="none" w:sz="0" w:space="0" w:color="000000"/>
                          <w:right w:val="double" w:sz="11" w:space="0" w:color="101111"/>
                        </w:tcBorders>
                      </w:tcPr>
                      <w:p w:rsidR="001B3AE9" w:rsidRDefault="001B3AE9"/>
                    </w:tc>
                    <w:tc>
                      <w:tcPr>
                        <w:tcW w:w="710" w:type="dxa"/>
                        <w:tcBorders>
                          <w:top w:val="none" w:sz="0" w:space="0" w:color="000000"/>
                          <w:left w:val="double" w:sz="11" w:space="0" w:color="101111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</w:tr>
                  <w:tr w:rsidR="001B3AE9">
                    <w:trPr>
                      <w:trHeight w:hRule="exact" w:val="60"/>
                    </w:trPr>
                    <w:tc>
                      <w:tcPr>
                        <w:tcW w:w="3253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62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8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8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7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6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191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1B3AE9" w:rsidRDefault="001B3AE9"/>
                    </w:tc>
                    <w:tc>
                      <w:tcPr>
                        <w:tcW w:w="8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6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16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6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8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7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</w:tr>
                  <w:tr w:rsidR="001B3AE9">
                    <w:trPr>
                      <w:trHeight w:hRule="exact" w:val="225"/>
                    </w:trPr>
                    <w:tc>
                      <w:tcPr>
                        <w:tcW w:w="3253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627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1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75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1948" w:type="dxa"/>
                        <w:gridSpan w:val="17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1B3AE9" w:rsidRDefault="00287916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pacing w:val="2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14"/>
                            <w:lang w:val="cs-CZ"/>
                          </w:rPr>
                          <w:t>0514 842209800 150600006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2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  <w:tc>
                      <w:tcPr>
                        <w:tcW w:w="7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1B3AE9" w:rsidRDefault="001B3AE9"/>
                    </w:tc>
                  </w:tr>
                </w:tbl>
                <w:p w:rsidR="00E660B3" w:rsidRDefault="00E660B3"/>
              </w:txbxContent>
            </v:textbox>
          </v:shape>
        </w:pict>
      </w:r>
    </w:p>
    <w:p w:rsidR="001B3AE9" w:rsidRDefault="001B3AE9">
      <w:pPr>
        <w:sectPr w:rsidR="001B3AE9">
          <w:type w:val="continuous"/>
          <w:pgSz w:w="11918" w:h="16854"/>
          <w:pgMar w:top="1454" w:right="1233" w:bottom="70" w:left="1293" w:header="720" w:footer="720" w:gutter="0"/>
          <w:cols w:space="708"/>
        </w:sectPr>
      </w:pPr>
    </w:p>
    <w:p w:rsidR="001B3AE9" w:rsidRDefault="00287916">
      <w:pPr>
        <w:rPr>
          <w:rFonts w:ascii="Times New Roman" w:hAnsi="Times New Roman"/>
          <w:b/>
          <w:color w:val="000000"/>
          <w:spacing w:val="-4"/>
          <w:sz w:val="19"/>
          <w:lang w:val="cs-CZ"/>
        </w:rPr>
      </w:pPr>
      <w:r>
        <w:rPr>
          <w:rFonts w:ascii="Times New Roman" w:hAnsi="Times New Roman"/>
          <w:b/>
          <w:color w:val="000000"/>
          <w:spacing w:val="-4"/>
          <w:sz w:val="19"/>
          <w:lang w:val="cs-CZ"/>
        </w:rPr>
        <w:t>7. Závěrečná prohlášení pojistníka</w:t>
      </w:r>
    </w:p>
    <w:p w:rsidR="001B3AE9" w:rsidRDefault="00287916">
      <w:pPr>
        <w:jc w:val="both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Svým podpisem stvrzuji, že všechny údaje v této pojistné smlouvě i v záznamu z jednání jsem uvedl pravdivě, a veškerá pro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  <w:t>hlášení v této pojistné smlouvě i v záznamu z jednání uvedená jsou pravdivá. Dále potvrzuji, že případné změny v údajích tý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z w:val="18"/>
          <w:lang w:val="cs-CZ"/>
        </w:rPr>
        <w:t xml:space="preserve">kajících se pojistníka a vozidla, zejména RZ/SPZ, VIN/EČV a číslo TP, sdělím ČP do 15 dnů ode dne, kdy k těmto změnám 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došlo (dle § 3 odst. 5 zák. Č. 168/1999 Sb.).</w:t>
      </w:r>
    </w:p>
    <w:p w:rsidR="001B3AE9" w:rsidRDefault="00287916">
      <w:pPr>
        <w:spacing w:before="10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Jsem si vědom toho, že ČP je oprávněna ověřovat správnost a úplnost v pojistné smlouvě uvedených údajů a pokud zjistí, že 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t xml:space="preserve">jsou nesprávné, má právo je opravit. Pokud takováto oprava má vliv na stanovenou výši pojistného, má ČP nárok na pojistné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od počátku pojištění ve výši, která odpovídá rozdílu mezi pojistným stanoveným v pojistné smlouvě a pojistným, které by ČP stanovila, pokud by mu byl pravdivý a úplný údaj znám. Nová výše ročního pojistného může, zejména v případě uvedení ne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1"/>
          <w:sz w:val="18"/>
          <w:lang w:val="cs-CZ"/>
        </w:rPr>
        <w:t>pravdivých nebo neúplných údajů, sloužících k identifikaci vlastníka pojištěného vozidla, dosáhnout několikanásobku roční</w:t>
      </w:r>
      <w:r>
        <w:rPr>
          <w:rFonts w:ascii="Times New Roman" w:hAnsi="Times New Roman"/>
          <w:color w:val="000000"/>
          <w:spacing w:val="1"/>
          <w:sz w:val="18"/>
          <w:lang w:val="cs-CZ"/>
        </w:rPr>
        <w:softHyphen/>
      </w:r>
      <w:r>
        <w:rPr>
          <w:rFonts w:ascii="Times New Roman" w:hAnsi="Times New Roman"/>
          <w:color w:val="000000"/>
          <w:sz w:val="18"/>
          <w:lang w:val="cs-CZ"/>
        </w:rPr>
        <w:t>ho pojistného uvedeného v pojistné smlouvě.</w:t>
      </w:r>
    </w:p>
    <w:p w:rsidR="001B3AE9" w:rsidRDefault="00287916">
      <w:pPr>
        <w:spacing w:before="180" w:line="273" w:lineRule="auto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Potvrzuji, že jsem seznámen se zmocněními a zproštěním mlčenlivosti, jak je uvedeno v článku 10 VPPPMV-R-5/2018.</w:t>
      </w:r>
    </w:p>
    <w:p w:rsidR="001B3AE9" w:rsidRDefault="00287916">
      <w:pPr>
        <w:spacing w:before="72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Prohlašuji, že jsem byl informován o zpracování mnou sdělených osobních údajů a že podrobnosti týkající se osobních údajů 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jsou dostupné na </w:t>
      </w:r>
      <w:hyperlink r:id="rId5">
        <w:r>
          <w:rPr>
            <w:rFonts w:ascii="Times New Roman" w:hAnsi="Times New Roman"/>
            <w:color w:val="0000FF"/>
            <w:spacing w:val="4"/>
            <w:sz w:val="18"/>
            <w:u w:val="single"/>
            <w:lang w:val="cs-CZ"/>
          </w:rPr>
          <w:t>www.ceskapojistovna.cz</w:t>
        </w:r>
      </w:hyperlink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 v sekci Osobní údaje a dále v obchodních místech pojistitele. Zavazuji se, že </w:t>
      </w:r>
      <w:r>
        <w:rPr>
          <w:rFonts w:ascii="Times New Roman" w:hAnsi="Times New Roman"/>
          <w:color w:val="000000"/>
          <w:sz w:val="18"/>
          <w:lang w:val="cs-CZ"/>
        </w:rPr>
        <w:t>v tomto rozsahu informuji i pojištěné osoby. Dále se zavazuji, že pojistiteli bezodkladně oznámím případné změny osobních údajů.</w:t>
      </w:r>
    </w:p>
    <w:p w:rsidR="001B3AE9" w:rsidRDefault="00287916">
      <w:pPr>
        <w:spacing w:before="108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Svým podpisem dále stvrzuji, že:</w:t>
      </w:r>
    </w:p>
    <w:p w:rsidR="001B3AE9" w:rsidRDefault="00287916">
      <w:pPr>
        <w:numPr>
          <w:ilvl w:val="0"/>
          <w:numId w:val="1"/>
        </w:numPr>
        <w:ind w:left="0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zmocňuji ČP k nahlížení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do spisů v rozsahu uvedeném ve VPPPMV-R-5/20 l 8 čl. 10 odst.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1,</w:t>
      </w:r>
    </w:p>
    <w:p w:rsidR="001B3AE9" w:rsidRDefault="00287916">
      <w:pPr>
        <w:ind w:firstLine="144"/>
        <w:rPr>
          <w:rFonts w:ascii="Times New Roman" w:hAnsi="Times New Roman"/>
          <w:color w:val="000000"/>
          <w:spacing w:val="-3"/>
          <w:sz w:val="19"/>
          <w:lang w:val="cs-CZ"/>
        </w:rPr>
      </w:pP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akceptuji oprávnění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ČP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požadovat údaje o svém zdravotním stavu za účelem šetření pojistných událostí a uděluji 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ČP 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t>vý</w:t>
      </w:r>
      <w:r>
        <w:rPr>
          <w:rFonts w:ascii="Times New Roman" w:hAnsi="Times New Roman"/>
          <w:color w:val="000000"/>
          <w:spacing w:val="-3"/>
          <w:sz w:val="19"/>
          <w:lang w:val="cs-CZ"/>
        </w:rPr>
        <w:softHyphen/>
        <w:t xml:space="preserve">slovný souhlas ke </w:t>
      </w:r>
      <w:proofErr w:type="gramStart"/>
      <w:r>
        <w:rPr>
          <w:rFonts w:ascii="Times New Roman" w:hAnsi="Times New Roman"/>
          <w:color w:val="000000"/>
          <w:spacing w:val="-3"/>
          <w:sz w:val="19"/>
          <w:lang w:val="cs-CZ"/>
        </w:rPr>
        <w:t>zjišťováni</w:t>
      </w:r>
      <w:proofErr w:type="gramEnd"/>
      <w:r>
        <w:rPr>
          <w:rFonts w:ascii="Times New Roman" w:hAnsi="Times New Roman"/>
          <w:color w:val="000000"/>
          <w:spacing w:val="-3"/>
          <w:sz w:val="19"/>
          <w:lang w:val="cs-CZ"/>
        </w:rPr>
        <w:t xml:space="preserve"> a přezkoumávání zdravotního stavu,</w:t>
      </w:r>
    </w:p>
    <w:p w:rsidR="001B3AE9" w:rsidRDefault="00287916">
      <w:pPr>
        <w:numPr>
          <w:ilvl w:val="0"/>
          <w:numId w:val="2"/>
        </w:numPr>
        <w:spacing w:after="3060"/>
        <w:ind w:left="0"/>
        <w:rPr>
          <w:rFonts w:ascii="Times New Roman" w:hAnsi="Times New Roman"/>
          <w:color w:val="000000"/>
          <w:spacing w:val="-1"/>
          <w:sz w:val="19"/>
          <w:lang w:val="cs-CZ"/>
        </w:rPr>
      </w:pPr>
      <w:r>
        <w:rPr>
          <w:rFonts w:ascii="Times New Roman" w:hAnsi="Times New Roman"/>
          <w:color w:val="000000"/>
          <w:spacing w:val="-1"/>
          <w:sz w:val="19"/>
          <w:lang w:val="cs-CZ"/>
        </w:rPr>
        <w:t>mám souhlas pojištěného/pojištěných uzavřít pojištění ve sjednaném rozsahu.</w:t>
      </w:r>
    </w:p>
    <w:p w:rsidR="001B3AE9" w:rsidRDefault="001B3AE9">
      <w:pPr>
        <w:sectPr w:rsidR="001B3AE9">
          <w:type w:val="continuous"/>
          <w:pgSz w:w="11918" w:h="16854"/>
          <w:pgMar w:top="1454" w:right="1243" w:bottom="70" w:left="1495" w:header="720" w:footer="720" w:gutter="0"/>
          <w:cols w:space="708"/>
        </w:sectPr>
      </w:pPr>
    </w:p>
    <w:p w:rsidR="001B3AE9" w:rsidRDefault="001B3AE9" w:rsidP="00287916">
      <w:pPr>
        <w:pBdr>
          <w:top w:val="single" w:sz="12" w:space="6" w:color="224B77"/>
        </w:pBdr>
        <w:spacing w:before="17"/>
        <w:rPr>
          <w:rFonts w:ascii="Times New Roman" w:hAnsi="Times New Roman"/>
          <w:color w:val="071B34"/>
          <w:spacing w:val="-6"/>
          <w:sz w:val="14"/>
          <w:lang w:val="cs-CZ"/>
        </w:rPr>
      </w:pPr>
    </w:p>
    <w:sectPr w:rsidR="001B3AE9">
      <w:type w:val="continuous"/>
      <w:pgSz w:w="11918" w:h="16854"/>
      <w:pgMar w:top="1454" w:right="3209" w:bottom="70" w:left="122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479D8"/>
    <w:multiLevelType w:val="multilevel"/>
    <w:tmpl w:val="5BB0DAFA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372D52"/>
    <w:multiLevelType w:val="multilevel"/>
    <w:tmpl w:val="BEB8214A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AE9"/>
    <w:rsid w:val="001B3AE9"/>
    <w:rsid w:val="00287916"/>
    <w:rsid w:val="00326AF1"/>
    <w:rsid w:val="00E6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9BD6615-5C8C-4C9D-A330-8248413C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apojistov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2019-03-06T11:44:00Z</dcterms:created>
  <dcterms:modified xsi:type="dcterms:W3CDTF">2019-03-06T11:56:00Z</dcterms:modified>
</cp:coreProperties>
</file>