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13" w:rsidRPr="006B0624" w:rsidRDefault="00A35413" w:rsidP="00A35413">
      <w:pPr>
        <w:pStyle w:val="Nadpis5"/>
        <w:ind w:left="0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Česká republika - Státní pozemkový úřad</w:t>
      </w:r>
    </w:p>
    <w:p w:rsidR="00901036" w:rsidRPr="006B0624" w:rsidRDefault="00901036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Sídlo: Husinecká 1024/11a, 130 00 Praha 3,</w:t>
      </w:r>
    </w:p>
    <w:p w:rsidR="00901036" w:rsidRPr="006B0624" w:rsidRDefault="00901036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color w:val="000000"/>
          <w:sz w:val="22"/>
          <w:szCs w:val="22"/>
        </w:rPr>
        <w:t>který zastupuje</w:t>
      </w:r>
      <w:r w:rsidRPr="006B0624">
        <w:rPr>
          <w:rFonts w:ascii="Arial" w:hAnsi="Arial" w:cs="Arial"/>
          <w:sz w:val="22"/>
          <w:szCs w:val="22"/>
        </w:rPr>
        <w:t xml:space="preserve"> </w:t>
      </w:r>
      <w:r w:rsidRPr="006B0624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  <w:r w:rsidRPr="006B0624">
        <w:rPr>
          <w:rFonts w:ascii="Arial" w:hAnsi="Arial" w:cs="Arial"/>
          <w:sz w:val="22"/>
          <w:szCs w:val="22"/>
        </w:rPr>
        <w:t>,</w:t>
      </w:r>
    </w:p>
    <w:p w:rsidR="00901036" w:rsidRPr="006B0624" w:rsidRDefault="00901036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adresa </w:t>
      </w:r>
      <w:r w:rsidRPr="006B0624">
        <w:rPr>
          <w:rFonts w:ascii="Arial" w:hAnsi="Arial" w:cs="Arial"/>
          <w:color w:val="000000"/>
          <w:sz w:val="22"/>
          <w:szCs w:val="22"/>
        </w:rPr>
        <w:t xml:space="preserve"> Kydlinovská 245, 50301 Hradec Králové</w:t>
      </w:r>
    </w:p>
    <w:p w:rsidR="00A35413" w:rsidRPr="006B0624" w:rsidRDefault="00A35413" w:rsidP="00A35413">
      <w:pPr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IČ</w:t>
      </w:r>
      <w:r w:rsidR="00514631" w:rsidRPr="006B0624">
        <w:rPr>
          <w:rFonts w:ascii="Arial" w:hAnsi="Arial" w:cs="Arial"/>
          <w:sz w:val="22"/>
          <w:szCs w:val="22"/>
        </w:rPr>
        <w:t>O</w:t>
      </w:r>
      <w:r w:rsidRPr="006B0624">
        <w:rPr>
          <w:rFonts w:ascii="Arial" w:hAnsi="Arial" w:cs="Arial"/>
          <w:sz w:val="22"/>
          <w:szCs w:val="22"/>
        </w:rPr>
        <w:t>: 01312774</w:t>
      </w:r>
    </w:p>
    <w:p w:rsidR="00A35413" w:rsidRPr="006B0624" w:rsidRDefault="00A35413" w:rsidP="00A35413">
      <w:pPr>
        <w:pStyle w:val="Zkladntext3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DIČ:  CZ01312774</w:t>
      </w:r>
    </w:p>
    <w:p w:rsidR="00A35413" w:rsidRPr="006B0624" w:rsidRDefault="00A35413" w:rsidP="00A35413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A35413" w:rsidRPr="006B0624" w:rsidRDefault="00A35413" w:rsidP="00A3541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číslo účtu:</w:t>
      </w:r>
      <w:r w:rsidRPr="006B0624">
        <w:rPr>
          <w:rFonts w:ascii="Arial" w:hAnsi="Arial" w:cs="Arial"/>
          <w:sz w:val="22"/>
          <w:szCs w:val="22"/>
        </w:rPr>
        <w:tab/>
        <w:t>10014-3723001/0710</w:t>
      </w:r>
    </w:p>
    <w:p w:rsidR="00901036" w:rsidRPr="006B0624" w:rsidRDefault="00901036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6B0624">
        <w:rPr>
          <w:rFonts w:ascii="Arial" w:hAnsi="Arial" w:cs="Arial"/>
          <w:color w:val="000000"/>
          <w:sz w:val="22"/>
          <w:szCs w:val="22"/>
        </w:rPr>
        <w:t>variabilní symbol:</w:t>
      </w:r>
      <w:r w:rsidRPr="006B0624">
        <w:rPr>
          <w:rFonts w:ascii="Arial" w:hAnsi="Arial" w:cs="Arial"/>
          <w:color w:val="000000"/>
          <w:sz w:val="22"/>
          <w:szCs w:val="22"/>
        </w:rPr>
        <w:tab/>
        <w:t>1001641913</w:t>
      </w:r>
    </w:p>
    <w:p w:rsidR="00901036" w:rsidRPr="006B0624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062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01036" w:rsidRPr="006B0624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01036" w:rsidRPr="006B0624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0624">
        <w:rPr>
          <w:rFonts w:ascii="Arial" w:hAnsi="Arial" w:cs="Arial"/>
          <w:color w:val="000000"/>
          <w:sz w:val="22"/>
          <w:szCs w:val="22"/>
        </w:rPr>
        <w:t>a</w:t>
      </w:r>
    </w:p>
    <w:p w:rsidR="00901036" w:rsidRPr="006B0624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69306D" w:rsidRPr="00BB196A" w:rsidRDefault="0069306D" w:rsidP="0069306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Zemědělské družstvo Dolany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</w:t>
      </w:r>
      <w:r>
        <w:rPr>
          <w:rFonts w:ascii="Arial" w:hAnsi="Arial" w:cs="Arial"/>
          <w:color w:val="000000"/>
          <w:sz w:val="22"/>
          <w:szCs w:val="22"/>
        </w:rPr>
        <w:t>č. p.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57, Dolany, PSČ 552 03, IČO 00126365, DIČ CZ00126365, zaps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B196A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v obchodním rejstříku Krajského soudu v Hradci Králové, oddíl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DrXXIV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, vložka 2351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7482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1974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předsedou </w:t>
      </w:r>
      <w:proofErr w:type="gramStart"/>
      <w:r>
        <w:rPr>
          <w:rFonts w:ascii="Arial" w:hAnsi="Arial" w:cs="Arial"/>
          <w:sz w:val="22"/>
          <w:szCs w:val="22"/>
        </w:rPr>
        <w:t xml:space="preserve">představenstva </w:t>
      </w:r>
      <w:r w:rsidRPr="00197482">
        <w:rPr>
          <w:rFonts w:ascii="Arial" w:hAnsi="Arial" w:cs="Arial"/>
          <w:sz w:val="22"/>
          <w:szCs w:val="22"/>
        </w:rPr>
        <w:t xml:space="preserve"> </w:t>
      </w:r>
      <w:r w:rsidR="009E670F">
        <w:rPr>
          <w:rFonts w:ascii="Arial" w:hAnsi="Arial" w:cs="Arial"/>
          <w:sz w:val="22"/>
          <w:szCs w:val="22"/>
        </w:rPr>
        <w:t>Ing.</w:t>
      </w:r>
      <w:proofErr w:type="gramEnd"/>
      <w:r w:rsidR="009E670F">
        <w:rPr>
          <w:rFonts w:ascii="Arial" w:hAnsi="Arial" w:cs="Arial"/>
          <w:sz w:val="22"/>
          <w:szCs w:val="22"/>
        </w:rPr>
        <w:t xml:space="preserve"> Karlem Vlčkem</w:t>
      </w:r>
      <w:bookmarkStart w:id="0" w:name="_GoBack"/>
      <w:bookmarkEnd w:id="0"/>
    </w:p>
    <w:p w:rsidR="00901036" w:rsidRPr="006B0624" w:rsidRDefault="0069306D" w:rsidP="0069306D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0624">
        <w:rPr>
          <w:rFonts w:ascii="Arial" w:hAnsi="Arial" w:cs="Arial"/>
          <w:color w:val="000000"/>
          <w:sz w:val="22"/>
          <w:szCs w:val="22"/>
        </w:rPr>
        <w:t xml:space="preserve"> </w:t>
      </w:r>
      <w:r w:rsidR="00901036" w:rsidRPr="006B062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901036" w:rsidRPr="006B0624">
        <w:rPr>
          <w:rFonts w:ascii="Arial" w:hAnsi="Arial" w:cs="Arial"/>
          <w:color w:val="000000"/>
          <w:sz w:val="22"/>
          <w:szCs w:val="22"/>
        </w:rPr>
        <w:t xml:space="preserve">jen  "k u p u j í c </w:t>
      </w:r>
      <w:r w:rsidR="007E798E">
        <w:rPr>
          <w:rFonts w:ascii="Arial" w:hAnsi="Arial" w:cs="Arial"/>
          <w:color w:val="000000"/>
          <w:sz w:val="22"/>
          <w:szCs w:val="22"/>
        </w:rPr>
        <w:t>í</w:t>
      </w:r>
      <w:r w:rsidR="00901036" w:rsidRPr="006B0624">
        <w:rPr>
          <w:rFonts w:ascii="Arial" w:hAnsi="Arial" w:cs="Arial"/>
          <w:color w:val="000000"/>
          <w:sz w:val="22"/>
          <w:szCs w:val="22"/>
        </w:rPr>
        <w:t>")</w:t>
      </w:r>
      <w:proofErr w:type="gramEnd"/>
    </w:p>
    <w:p w:rsidR="00901036" w:rsidRPr="006B0624" w:rsidRDefault="00901036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 </w:t>
      </w:r>
    </w:p>
    <w:p w:rsidR="00901036" w:rsidRDefault="00901036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ab/>
      </w:r>
    </w:p>
    <w:p w:rsidR="009E670F" w:rsidRPr="006B0624" w:rsidRDefault="009E670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35413" w:rsidRPr="006B0624" w:rsidRDefault="00A35413" w:rsidP="00A35413">
      <w:pPr>
        <w:widowControl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uzavírají tuto:</w:t>
      </w:r>
    </w:p>
    <w:p w:rsidR="00667B95" w:rsidRPr="006B0624" w:rsidRDefault="00667B95">
      <w:pPr>
        <w:widowControl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KUPNÍ SMLOUVU</w:t>
      </w:r>
    </w:p>
    <w:p w:rsidR="00901036" w:rsidRPr="006B0624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č. </w:t>
      </w:r>
      <w:r w:rsidRPr="006B0624">
        <w:rPr>
          <w:rFonts w:ascii="Arial" w:hAnsi="Arial" w:cs="Arial"/>
          <w:color w:val="000000"/>
          <w:sz w:val="22"/>
          <w:szCs w:val="22"/>
        </w:rPr>
        <w:t>1001641913</w:t>
      </w:r>
    </w:p>
    <w:p w:rsidR="00901036" w:rsidRPr="006B0624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I.</w:t>
      </w:r>
    </w:p>
    <w:p w:rsidR="00901036" w:rsidRPr="006B0624" w:rsidRDefault="00A3541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 503/2012 Sb., o Státním pozemkovém úřadu a o změně některých souvisejících zákonů, </w:t>
      </w:r>
      <w:r w:rsidR="00B02EF2" w:rsidRPr="006B0624">
        <w:rPr>
          <w:rFonts w:ascii="Arial" w:hAnsi="Arial" w:cs="Arial"/>
          <w:sz w:val="22"/>
          <w:szCs w:val="22"/>
        </w:rPr>
        <w:t xml:space="preserve">ve znění posledních předpisů, </w:t>
      </w:r>
      <w:r w:rsidRPr="006B0624">
        <w:rPr>
          <w:rFonts w:ascii="Arial" w:hAnsi="Arial" w:cs="Arial"/>
          <w:sz w:val="22"/>
          <w:szCs w:val="22"/>
        </w:rPr>
        <w:t>s níže uvedeným pozemkem v majetku České republiky vedeným u</w:t>
      </w:r>
      <w:r w:rsidR="00901036" w:rsidRPr="006B0624">
        <w:rPr>
          <w:rFonts w:ascii="Arial" w:hAnsi="Arial" w:cs="Arial"/>
          <w:sz w:val="22"/>
          <w:szCs w:val="22"/>
        </w:rPr>
        <w:t xml:space="preserve"> Katastrálního úřadu pro Královéhradecký kraj se sídlem v Hradci Králové, Katastrální pracoviště </w:t>
      </w:r>
      <w:proofErr w:type="gramStart"/>
      <w:r w:rsidR="00901036" w:rsidRPr="006B0624">
        <w:rPr>
          <w:rFonts w:ascii="Arial" w:hAnsi="Arial" w:cs="Arial"/>
          <w:sz w:val="22"/>
          <w:szCs w:val="22"/>
        </w:rPr>
        <w:t>Náchod  na</w:t>
      </w:r>
      <w:proofErr w:type="gramEnd"/>
      <w:r w:rsidR="00901036" w:rsidRPr="006B0624">
        <w:rPr>
          <w:rFonts w:ascii="Arial" w:hAnsi="Arial" w:cs="Arial"/>
          <w:sz w:val="22"/>
          <w:szCs w:val="22"/>
        </w:rPr>
        <w:t xml:space="preserve"> LV 10 002:</w:t>
      </w:r>
    </w:p>
    <w:p w:rsidR="006B0624" w:rsidRDefault="006B0624" w:rsidP="006B062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6B0624" w:rsidRDefault="00901036" w:rsidP="006B0624">
      <w:pPr>
        <w:pStyle w:val="obec1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Obec</w:t>
      </w:r>
      <w:r w:rsidRPr="006B062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6B0624">
        <w:rPr>
          <w:rFonts w:ascii="Arial" w:hAnsi="Arial" w:cs="Arial"/>
          <w:sz w:val="22"/>
          <w:szCs w:val="22"/>
        </w:rPr>
        <w:tab/>
        <w:t>Parcelní číslo</w:t>
      </w:r>
      <w:r w:rsidRPr="006B0624">
        <w:rPr>
          <w:rFonts w:ascii="Arial" w:hAnsi="Arial" w:cs="Arial"/>
          <w:sz w:val="22"/>
          <w:szCs w:val="22"/>
        </w:rPr>
        <w:tab/>
        <w:t>Druh pozemku</w:t>
      </w:r>
    </w:p>
    <w:p w:rsidR="006B0624" w:rsidRDefault="006B0624" w:rsidP="006B062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6B0624" w:rsidRDefault="00901036" w:rsidP="006B0624">
      <w:pPr>
        <w:pStyle w:val="obec1"/>
        <w:widowControl/>
        <w:rPr>
          <w:rFonts w:ascii="Arial" w:hAnsi="Arial" w:cs="Arial"/>
          <w:sz w:val="18"/>
          <w:szCs w:val="18"/>
        </w:rPr>
      </w:pPr>
      <w:r w:rsidRPr="006B0624">
        <w:rPr>
          <w:rFonts w:ascii="Arial" w:hAnsi="Arial" w:cs="Arial"/>
          <w:sz w:val="18"/>
          <w:szCs w:val="18"/>
        </w:rPr>
        <w:t>Katastr nemovitostí - pozemkové</w:t>
      </w:r>
    </w:p>
    <w:p w:rsidR="00901036" w:rsidRPr="006B0624" w:rsidRDefault="00901036" w:rsidP="006B0624">
      <w:pPr>
        <w:pStyle w:val="obec1"/>
        <w:widowControl/>
        <w:rPr>
          <w:rFonts w:ascii="Arial" w:hAnsi="Arial" w:cs="Arial"/>
          <w:sz w:val="18"/>
          <w:szCs w:val="18"/>
        </w:rPr>
      </w:pPr>
      <w:r w:rsidRPr="006B0624">
        <w:rPr>
          <w:rFonts w:ascii="Arial" w:hAnsi="Arial" w:cs="Arial"/>
          <w:sz w:val="18"/>
          <w:szCs w:val="18"/>
        </w:rPr>
        <w:t>Dolany</w:t>
      </w:r>
      <w:r w:rsidRPr="006B0624">
        <w:rPr>
          <w:rFonts w:ascii="Arial" w:hAnsi="Arial" w:cs="Arial"/>
          <w:sz w:val="18"/>
          <w:szCs w:val="18"/>
        </w:rPr>
        <w:tab/>
      </w:r>
      <w:proofErr w:type="spellStart"/>
      <w:r w:rsidRPr="006B0624">
        <w:rPr>
          <w:rFonts w:ascii="Arial" w:hAnsi="Arial" w:cs="Arial"/>
          <w:sz w:val="18"/>
          <w:szCs w:val="18"/>
        </w:rPr>
        <w:t>Svinišťany</w:t>
      </w:r>
      <w:proofErr w:type="spellEnd"/>
      <w:r w:rsidRPr="006B0624">
        <w:rPr>
          <w:rFonts w:ascii="Arial" w:hAnsi="Arial" w:cs="Arial"/>
          <w:sz w:val="18"/>
          <w:szCs w:val="18"/>
        </w:rPr>
        <w:tab/>
        <w:t>142/1</w:t>
      </w:r>
      <w:r w:rsidRPr="006B0624">
        <w:rPr>
          <w:rFonts w:ascii="Arial" w:hAnsi="Arial" w:cs="Arial"/>
          <w:sz w:val="18"/>
          <w:szCs w:val="18"/>
        </w:rPr>
        <w:tab/>
        <w:t>ovocný sad</w:t>
      </w:r>
    </w:p>
    <w:p w:rsidR="006B0624" w:rsidRDefault="006B0624" w:rsidP="006B062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6B0624" w:rsidRDefault="00901036" w:rsidP="006B0624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 (dále jen ”pozemek”)</w:t>
      </w:r>
    </w:p>
    <w:p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:rsidR="00930897" w:rsidRPr="006B0624" w:rsidRDefault="00930897">
      <w:pPr>
        <w:widowControl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II.</w:t>
      </w:r>
    </w:p>
    <w:p w:rsidR="00A35413" w:rsidRPr="006B0624" w:rsidRDefault="00A35413" w:rsidP="00A354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6B0624">
        <w:rPr>
          <w:rFonts w:ascii="Arial" w:hAnsi="Arial" w:cs="Arial"/>
          <w:b w:val="0"/>
          <w:sz w:val="22"/>
          <w:szCs w:val="22"/>
        </w:rPr>
        <w:tab/>
        <w:t xml:space="preserve">Tato smlouva se uzavírá podle § </w:t>
      </w:r>
      <w:r w:rsidR="002F6753" w:rsidRPr="006B0624">
        <w:rPr>
          <w:rFonts w:ascii="Arial" w:hAnsi="Arial" w:cs="Arial"/>
          <w:b w:val="0"/>
          <w:sz w:val="22"/>
          <w:szCs w:val="22"/>
        </w:rPr>
        <w:t>10a odst. 1</w:t>
      </w:r>
      <w:r w:rsidRPr="006B0624">
        <w:rPr>
          <w:rFonts w:ascii="Arial" w:hAnsi="Arial" w:cs="Arial"/>
          <w:b w:val="0"/>
          <w:sz w:val="22"/>
          <w:szCs w:val="22"/>
        </w:rPr>
        <w:t xml:space="preserve"> zákona č. 503/2012 Sb., o Státním pozemkovém úřadu a o změně některých souvisejících zákonů, </w:t>
      </w:r>
      <w:r w:rsidR="00B02EF2" w:rsidRPr="006B0624">
        <w:rPr>
          <w:rFonts w:ascii="Arial" w:hAnsi="Arial" w:cs="Arial"/>
          <w:b w:val="0"/>
          <w:sz w:val="22"/>
          <w:szCs w:val="22"/>
        </w:rPr>
        <w:t xml:space="preserve">ve znění </w:t>
      </w:r>
      <w:r w:rsidR="00F268E8" w:rsidRPr="006B0624">
        <w:rPr>
          <w:rFonts w:ascii="Arial" w:hAnsi="Arial" w:cs="Arial"/>
          <w:b w:val="0"/>
          <w:sz w:val="22"/>
          <w:szCs w:val="22"/>
        </w:rPr>
        <w:t xml:space="preserve">pozdějších </w:t>
      </w:r>
      <w:r w:rsidR="00B02EF2" w:rsidRPr="006B0624">
        <w:rPr>
          <w:rFonts w:ascii="Arial" w:hAnsi="Arial" w:cs="Arial"/>
          <w:b w:val="0"/>
          <w:sz w:val="22"/>
          <w:szCs w:val="22"/>
        </w:rPr>
        <w:t>předpisů.</w:t>
      </w:r>
    </w:p>
    <w:p w:rsidR="00A35413" w:rsidRDefault="00A35413" w:rsidP="00A354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930897" w:rsidRPr="006B0624" w:rsidRDefault="00930897" w:rsidP="00A354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A35413" w:rsidRPr="006B0624" w:rsidRDefault="00A35413" w:rsidP="00A35413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III.</w:t>
      </w:r>
    </w:p>
    <w:p w:rsidR="00A35413" w:rsidRPr="006B0624" w:rsidRDefault="00A35413" w:rsidP="00A3541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Prodávající touto smlouvou prodává kupujícímu pozemek specifikovaný v čl. I této smlouvy jako oprávněnému z předkupního práva a ten jej, ve stavu, v jakém se nachází ke dni </w:t>
      </w:r>
      <w:r w:rsidR="00AF7334">
        <w:rPr>
          <w:rFonts w:ascii="Arial" w:hAnsi="Arial" w:cs="Arial"/>
          <w:sz w:val="22"/>
          <w:szCs w:val="22"/>
        </w:rPr>
        <w:t xml:space="preserve">účinnosti </w:t>
      </w:r>
      <w:r w:rsidRPr="006B0624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 základě této smlouvy.</w:t>
      </w:r>
    </w:p>
    <w:p w:rsidR="00F268E8" w:rsidRPr="006B0624" w:rsidRDefault="00F268E8" w:rsidP="00F268E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:rsidR="0069306D" w:rsidRPr="006B0624" w:rsidRDefault="0069306D">
      <w:pPr>
        <w:widowControl/>
        <w:rPr>
          <w:rFonts w:ascii="Arial" w:hAnsi="Arial" w:cs="Arial"/>
          <w:sz w:val="22"/>
          <w:szCs w:val="22"/>
        </w:rPr>
      </w:pPr>
    </w:p>
    <w:p w:rsidR="00901036" w:rsidRPr="006B0624" w:rsidRDefault="002F6753">
      <w:pPr>
        <w:widowControl/>
        <w:jc w:val="center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b/>
          <w:bCs/>
          <w:sz w:val="22"/>
          <w:szCs w:val="22"/>
        </w:rPr>
        <w:t>I</w:t>
      </w:r>
      <w:r w:rsidR="00901036" w:rsidRPr="006B0624">
        <w:rPr>
          <w:rFonts w:ascii="Arial" w:hAnsi="Arial" w:cs="Arial"/>
          <w:b/>
          <w:bCs/>
          <w:sz w:val="22"/>
          <w:szCs w:val="22"/>
        </w:rPr>
        <w:t>V.</w:t>
      </w:r>
    </w:p>
    <w:p w:rsidR="00131380" w:rsidRPr="006B0624" w:rsidRDefault="00131380" w:rsidP="0013138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1) Kupní cena prodávaného pozemku </w:t>
      </w:r>
      <w:r w:rsidR="00F268E8" w:rsidRPr="006B0624">
        <w:rPr>
          <w:rFonts w:ascii="Arial" w:hAnsi="Arial" w:cs="Arial"/>
          <w:sz w:val="22"/>
          <w:szCs w:val="22"/>
        </w:rPr>
        <w:t>byla stanovena a je hrazena takto:</w:t>
      </w:r>
    </w:p>
    <w:p w:rsidR="00F268E8" w:rsidRPr="006B0624" w:rsidRDefault="00F268E8" w:rsidP="00F268E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68"/>
        <w:gridCol w:w="2794"/>
        <w:gridCol w:w="2027"/>
        <w:gridCol w:w="1537"/>
      </w:tblGrid>
      <w:tr w:rsidR="00F268E8" w:rsidRPr="006B0624" w:rsidTr="00CB585D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B0624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6B0624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6B0624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6B062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Před podpisem zaplaceno na úhradu kupní ceny 10% v</w:t>
            </w:r>
            <w:r w:rsidR="00CB585D" w:rsidRPr="006B0624">
              <w:rPr>
                <w:rFonts w:ascii="Arial" w:hAnsi="Arial" w:cs="Arial"/>
                <w:sz w:val="18"/>
                <w:szCs w:val="18"/>
              </w:rPr>
              <w:t> </w:t>
            </w:r>
            <w:r w:rsidRPr="006B0624">
              <w:rPr>
                <w:rFonts w:ascii="Arial" w:hAnsi="Arial" w:cs="Arial"/>
                <w:sz w:val="18"/>
                <w:szCs w:val="18"/>
              </w:rPr>
              <w:t>Kč</w:t>
            </w:r>
          </w:p>
          <w:p w:rsidR="00CB585D" w:rsidRPr="006B0624" w:rsidRDefault="00CB585D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E8" w:rsidRPr="006B0624" w:rsidRDefault="00F268E8" w:rsidP="00A402F7">
            <w:pPr>
              <w:pStyle w:val="para"/>
              <w:rPr>
                <w:rFonts w:ascii="Arial" w:hAnsi="Arial" w:cs="Arial"/>
                <w:sz w:val="18"/>
                <w:szCs w:val="18"/>
              </w:rPr>
            </w:pP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F268E8" w:rsidRPr="006B0624" w:rsidTr="00CB585D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F268E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0624">
              <w:rPr>
                <w:rFonts w:ascii="Arial" w:hAnsi="Arial" w:cs="Arial"/>
                <w:sz w:val="18"/>
                <w:szCs w:val="18"/>
              </w:rPr>
              <w:t>Svinišťany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F268E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KN 142/1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F268E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1 639 180,00 Kč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F268E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163 918,00 Kč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E8" w:rsidRPr="006B0624" w:rsidRDefault="00F268E8" w:rsidP="00F268E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1 475 262,00 Kč</w:t>
            </w:r>
          </w:p>
        </w:tc>
      </w:tr>
    </w:tbl>
    <w:p w:rsidR="00F268E8" w:rsidRPr="006B0624" w:rsidRDefault="00F268E8">
      <w:pPr>
        <w:widowControl/>
        <w:rPr>
          <w:rFonts w:ascii="Arial" w:hAnsi="Arial" w:cs="Arial"/>
          <w:sz w:val="18"/>
          <w:szCs w:val="1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794"/>
        <w:gridCol w:w="2027"/>
        <w:gridCol w:w="1537"/>
      </w:tblGrid>
      <w:tr w:rsidR="00F268E8" w:rsidRPr="006B0624" w:rsidTr="00A402F7">
        <w:trPr>
          <w:cantSplit/>
        </w:trPr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color w:val="000000"/>
                <w:sz w:val="18"/>
                <w:szCs w:val="18"/>
              </w:rPr>
              <w:t>1 639 180,00 Kč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color w:val="000000"/>
                <w:sz w:val="18"/>
                <w:szCs w:val="18"/>
              </w:rPr>
              <w:t>163 918,00 Kč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E8" w:rsidRPr="006B0624" w:rsidRDefault="00F268E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24">
              <w:rPr>
                <w:rFonts w:ascii="Arial" w:hAnsi="Arial" w:cs="Arial"/>
                <w:color w:val="000000"/>
                <w:sz w:val="18"/>
                <w:szCs w:val="18"/>
              </w:rPr>
              <w:t>1 475 262,00 Kč</w:t>
            </w:r>
          </w:p>
        </w:tc>
      </w:tr>
    </w:tbl>
    <w:p w:rsidR="00F268E8" w:rsidRPr="006B0624" w:rsidRDefault="00F268E8" w:rsidP="00F268E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2C20F2" w:rsidRPr="006B0624" w:rsidRDefault="00B87A46" w:rsidP="002C20F2">
      <w:pPr>
        <w:pStyle w:val="vnintext"/>
        <w:spacing w:before="120"/>
        <w:ind w:firstLine="425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2) Část kupní ceny ve výši 163 918,00 Kč (slovy</w:t>
      </w:r>
      <w:r w:rsidR="00D1549A" w:rsidRPr="006B06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49A" w:rsidRPr="006B0624">
        <w:rPr>
          <w:rFonts w:ascii="Arial" w:hAnsi="Arial" w:cs="Arial"/>
          <w:sz w:val="22"/>
          <w:szCs w:val="22"/>
        </w:rPr>
        <w:t>jednostošedesáttřitisícedevětsetosmnáct</w:t>
      </w:r>
      <w:proofErr w:type="spellEnd"/>
      <w:r w:rsidR="00D1549A" w:rsidRPr="006B0624">
        <w:rPr>
          <w:rFonts w:ascii="Arial" w:hAnsi="Arial" w:cs="Arial"/>
          <w:sz w:val="22"/>
          <w:szCs w:val="22"/>
        </w:rPr>
        <w:t xml:space="preserve"> korun českých</w:t>
      </w:r>
      <w:r w:rsidRPr="006B0624">
        <w:rPr>
          <w:rFonts w:ascii="Arial" w:hAnsi="Arial" w:cs="Arial"/>
          <w:sz w:val="22"/>
          <w:szCs w:val="22"/>
        </w:rPr>
        <w:t>) kupující zaplatil prodávajícímu před podpisem této smlouvy</w:t>
      </w:r>
      <w:r w:rsidR="00F13D12" w:rsidRPr="006B0624">
        <w:rPr>
          <w:rFonts w:ascii="Arial" w:hAnsi="Arial" w:cs="Arial"/>
          <w:sz w:val="22"/>
          <w:szCs w:val="22"/>
        </w:rPr>
        <w:t xml:space="preserve"> formou zálohy na úhradu kupní ceny,</w:t>
      </w:r>
      <w:r w:rsidR="002C20F2" w:rsidRPr="006B0624">
        <w:rPr>
          <w:rFonts w:ascii="Arial" w:hAnsi="Arial" w:cs="Arial"/>
          <w:sz w:val="22"/>
          <w:szCs w:val="22"/>
        </w:rPr>
        <w:t xml:space="preserve"> zbývající část, to jest částka ve výši 1 475 262,00 Kč (slovy: </w:t>
      </w:r>
      <w:proofErr w:type="spellStart"/>
      <w:r w:rsidR="002C20F2" w:rsidRPr="006B0624">
        <w:rPr>
          <w:rFonts w:ascii="Arial" w:hAnsi="Arial" w:cs="Arial"/>
          <w:sz w:val="22"/>
          <w:szCs w:val="22"/>
        </w:rPr>
        <w:t>jedenmiliončtyřistasedmdesátpěttisícdvěstěšedesátdvě</w:t>
      </w:r>
      <w:proofErr w:type="spellEnd"/>
      <w:r w:rsidR="002C20F2" w:rsidRPr="006B0624">
        <w:rPr>
          <w:rFonts w:ascii="Arial" w:hAnsi="Arial" w:cs="Arial"/>
          <w:sz w:val="22"/>
          <w:szCs w:val="22"/>
        </w:rPr>
        <w:t xml:space="preserve"> koruny české) bude uhrazena do 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pozdější.</w:t>
      </w:r>
    </w:p>
    <w:p w:rsidR="00CE3324" w:rsidRPr="006B0624" w:rsidRDefault="002C20F2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3</w:t>
      </w:r>
      <w:r w:rsidR="00CE3324" w:rsidRPr="006B0624">
        <w:rPr>
          <w:rFonts w:ascii="Arial" w:hAnsi="Arial" w:cs="Arial"/>
          <w:sz w:val="22"/>
          <w:szCs w:val="22"/>
        </w:rPr>
        <w:t xml:space="preserve">) Nedodrží-li kupující lhůtu pro úhradu kupní ceny podle tohoto článku, je povinen podle </w:t>
      </w:r>
      <w:r w:rsidR="00B02EF2" w:rsidRPr="006B0624">
        <w:rPr>
          <w:rFonts w:ascii="Arial" w:hAnsi="Arial" w:cs="Arial"/>
          <w:sz w:val="22"/>
          <w:szCs w:val="22"/>
        </w:rPr>
        <w:t>§</w:t>
      </w:r>
      <w:r w:rsidR="00227BE5" w:rsidRPr="006B0624">
        <w:rPr>
          <w:rFonts w:ascii="Arial" w:hAnsi="Arial" w:cs="Arial"/>
          <w:sz w:val="22"/>
          <w:szCs w:val="22"/>
        </w:rPr>
        <w:t> </w:t>
      </w:r>
      <w:r w:rsidR="00B02EF2" w:rsidRPr="006B0624">
        <w:rPr>
          <w:rFonts w:ascii="Arial" w:hAnsi="Arial" w:cs="Arial"/>
          <w:sz w:val="22"/>
          <w:szCs w:val="22"/>
        </w:rPr>
        <w:t>1968 zákona č. 89/2012 Sb., občanský zákoník</w:t>
      </w:r>
      <w:r w:rsidR="00CE3324" w:rsidRPr="006B0624">
        <w:rPr>
          <w:rFonts w:ascii="Arial" w:hAnsi="Arial" w:cs="Arial"/>
          <w:sz w:val="22"/>
          <w:szCs w:val="22"/>
        </w:rPr>
        <w:t xml:space="preserve"> ve znění pozdějších předpisů, zaplatit prodávajícímu úrok z prodlení.</w:t>
      </w:r>
    </w:p>
    <w:p w:rsidR="00B02EF2" w:rsidRPr="006B0624" w:rsidRDefault="002C20F2" w:rsidP="00B02EF2">
      <w:pPr>
        <w:pStyle w:val="vnintext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4</w:t>
      </w:r>
      <w:r w:rsidR="00B02EF2" w:rsidRPr="006B0624">
        <w:rPr>
          <w:rFonts w:ascii="Arial" w:hAnsi="Arial" w:cs="Arial"/>
          <w:sz w:val="22"/>
          <w:szCs w:val="22"/>
        </w:rPr>
        <w:t xml:space="preserve">) K zajištění dosud nezaplacené kupní ceny vzniká dnem převodu pozemku podle této smlouvy ze zákona podle § 15 zákona č. 503/2012 Sb., o Státním pozemkovém úřadu, zástavní právo státu. Smluvní strany prohlašují, že vznik tohoto práva není sporný ani pochybný. </w:t>
      </w:r>
    </w:p>
    <w:p w:rsidR="00B02EF2" w:rsidRPr="006B0624" w:rsidRDefault="002C20F2" w:rsidP="002F6753">
      <w:pPr>
        <w:pStyle w:val="vnintext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5)</w:t>
      </w:r>
      <w:r w:rsidR="00B02EF2" w:rsidRPr="006B0624">
        <w:rPr>
          <w:rFonts w:ascii="Arial" w:hAnsi="Arial" w:cs="Arial"/>
          <w:sz w:val="22"/>
          <w:szCs w:val="22"/>
        </w:rPr>
        <w:t xml:space="preserve"> Pozemek, na němž je státem uplatněno zástavní právo, nesmí kupující učinit předmětem dalšího zástavního práva, s výjimkou zástavního práva na poskytnutí bankovního úvěru na zaplacení celé kupní ceny.</w:t>
      </w:r>
    </w:p>
    <w:p w:rsidR="00B02EF2" w:rsidRPr="006B0624" w:rsidRDefault="002C20F2" w:rsidP="00B02EF2">
      <w:pPr>
        <w:pStyle w:val="vnintext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6</w:t>
      </w:r>
      <w:r w:rsidR="00B02EF2" w:rsidRPr="006B0624">
        <w:rPr>
          <w:rFonts w:ascii="Arial" w:hAnsi="Arial" w:cs="Arial"/>
          <w:sz w:val="22"/>
          <w:szCs w:val="22"/>
        </w:rPr>
        <w:t xml:space="preserve">) Jestliže kupující poruší omezení stanovené v bodu </w:t>
      </w:r>
      <w:r w:rsidRPr="006B0624">
        <w:rPr>
          <w:rFonts w:ascii="Arial" w:hAnsi="Arial" w:cs="Arial"/>
          <w:sz w:val="22"/>
          <w:szCs w:val="22"/>
        </w:rPr>
        <w:t>5</w:t>
      </w:r>
      <w:r w:rsidR="00B02EF2" w:rsidRPr="006B0624">
        <w:rPr>
          <w:rFonts w:ascii="Arial" w:hAnsi="Arial" w:cs="Arial"/>
          <w:sz w:val="22"/>
          <w:szCs w:val="22"/>
        </w:rPr>
        <w:t xml:space="preserve"> tohoto článku, zavazuje se za každé jednotlivé porušení zaplatit prodávajícímu smluvní pokutu ve výši 10% z kupní ceny.</w:t>
      </w:r>
    </w:p>
    <w:p w:rsidR="00CE3324" w:rsidRPr="006B0624" w:rsidRDefault="002C20F2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7</w:t>
      </w:r>
      <w:r w:rsidR="00CE3324" w:rsidRPr="006B0624">
        <w:rPr>
          <w:rFonts w:ascii="Arial" w:hAnsi="Arial" w:cs="Arial"/>
          <w:sz w:val="22"/>
          <w:szCs w:val="22"/>
        </w:rPr>
        <w:t>) Prodlení kupujícího s úhradou kterékoli splátky kupní ceny delší než 30 dnů je důvodem pro odstoupení od této smlouvy ze strany prodávajícího.</w:t>
      </w:r>
    </w:p>
    <w:p w:rsidR="00901036" w:rsidRDefault="002C20F2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8</w:t>
      </w:r>
      <w:r w:rsidR="00B02EF2" w:rsidRPr="006B0624">
        <w:rPr>
          <w:rFonts w:ascii="Arial" w:hAnsi="Arial" w:cs="Arial"/>
          <w:sz w:val="22"/>
          <w:szCs w:val="22"/>
        </w:rPr>
        <w:t>)</w:t>
      </w:r>
      <w:r w:rsidR="00CE3324" w:rsidRPr="006B0624">
        <w:rPr>
          <w:rFonts w:ascii="Arial" w:hAnsi="Arial" w:cs="Arial"/>
          <w:sz w:val="22"/>
          <w:szCs w:val="22"/>
        </w:rPr>
        <w:t xml:space="preserve"> Zaplacením se rozumí den připsání placené částky na účet prodávajícího uvedený v záhlaví této smlouvy.</w:t>
      </w:r>
    </w:p>
    <w:p w:rsidR="00930897" w:rsidRPr="006B0624" w:rsidRDefault="00930897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E3324" w:rsidRPr="006B0624" w:rsidRDefault="00CE3324" w:rsidP="00CE3324">
      <w:pPr>
        <w:widowControl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V.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CE3324" w:rsidRDefault="00CE3324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2) Převáděný pozemek kupující užívá a j</w:t>
      </w:r>
      <w:r w:rsidR="00F4237C" w:rsidRPr="006B0624">
        <w:rPr>
          <w:rFonts w:ascii="Arial" w:hAnsi="Arial" w:cs="Arial"/>
          <w:sz w:val="22"/>
          <w:szCs w:val="22"/>
        </w:rPr>
        <w:t>e</w:t>
      </w:r>
      <w:r w:rsidR="0069306D">
        <w:rPr>
          <w:rFonts w:ascii="Arial" w:hAnsi="Arial" w:cs="Arial"/>
          <w:sz w:val="22"/>
          <w:szCs w:val="22"/>
        </w:rPr>
        <w:t xml:space="preserve"> mu </w:t>
      </w:r>
      <w:r w:rsidR="00B02EF2" w:rsidRPr="006B0624">
        <w:rPr>
          <w:rFonts w:ascii="Arial" w:hAnsi="Arial" w:cs="Arial"/>
          <w:bCs/>
          <w:sz w:val="22"/>
          <w:szCs w:val="22"/>
          <w:lang w:eastAsia="en-US"/>
        </w:rPr>
        <w:t>propachtován</w:t>
      </w:r>
      <w:r w:rsidR="00B02EF2" w:rsidRPr="006B06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EF2" w:rsidRPr="006B0624">
        <w:rPr>
          <w:rFonts w:ascii="Arial" w:hAnsi="Arial" w:cs="Arial"/>
          <w:bCs/>
          <w:sz w:val="22"/>
          <w:szCs w:val="22"/>
          <w:lang w:eastAsia="en-US"/>
        </w:rPr>
        <w:t>pachtovní</w:t>
      </w:r>
      <w:proofErr w:type="spellEnd"/>
      <w:r w:rsidRPr="006B0624">
        <w:rPr>
          <w:rFonts w:ascii="Arial" w:hAnsi="Arial" w:cs="Arial"/>
          <w:sz w:val="22"/>
          <w:szCs w:val="22"/>
        </w:rPr>
        <w:t xml:space="preserve"> smlouvou </w:t>
      </w:r>
      <w:r w:rsidR="00F2242C" w:rsidRPr="006B0624">
        <w:rPr>
          <w:rFonts w:ascii="Arial" w:hAnsi="Arial" w:cs="Arial"/>
          <w:sz w:val="22"/>
          <w:szCs w:val="22"/>
        </w:rPr>
        <w:t xml:space="preserve">č.  </w:t>
      </w:r>
      <w:r w:rsidR="0069306D">
        <w:rPr>
          <w:rFonts w:ascii="Arial" w:hAnsi="Arial" w:cs="Arial"/>
          <w:sz w:val="22"/>
          <w:szCs w:val="22"/>
        </w:rPr>
        <w:t xml:space="preserve">126N18/13 </w:t>
      </w:r>
      <w:r w:rsidRPr="006B0624">
        <w:rPr>
          <w:rFonts w:ascii="Arial" w:hAnsi="Arial" w:cs="Arial"/>
          <w:sz w:val="22"/>
          <w:szCs w:val="22"/>
        </w:rPr>
        <w:t>na dobu určitou, která není kratší než pět let.</w:t>
      </w:r>
    </w:p>
    <w:p w:rsidR="0069306D" w:rsidRPr="0029315C" w:rsidRDefault="0069306D" w:rsidP="0069306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9315C">
        <w:rPr>
          <w:rFonts w:ascii="Arial" w:hAnsi="Arial" w:cs="Arial"/>
          <w:sz w:val="22"/>
          <w:szCs w:val="22"/>
        </w:rPr>
        <w:t>Prodávaný pozemek je součástí společenstevní honitby "</w:t>
      </w:r>
      <w:r w:rsidR="0029315C" w:rsidRPr="0029315C">
        <w:rPr>
          <w:rFonts w:ascii="Arial" w:hAnsi="Arial" w:cs="Arial"/>
          <w:sz w:val="22"/>
          <w:szCs w:val="22"/>
        </w:rPr>
        <w:t>Dolany</w:t>
      </w:r>
      <w:r w:rsidRPr="0029315C">
        <w:rPr>
          <w:rFonts w:ascii="Arial" w:hAnsi="Arial" w:cs="Arial"/>
          <w:sz w:val="22"/>
          <w:szCs w:val="22"/>
        </w:rPr>
        <w:t xml:space="preserve">", jejímž držitelem je </w:t>
      </w:r>
      <w:r w:rsidR="00A82D09">
        <w:rPr>
          <w:rFonts w:ascii="Arial" w:hAnsi="Arial" w:cs="Arial"/>
          <w:sz w:val="22"/>
          <w:szCs w:val="22"/>
        </w:rPr>
        <w:t>XXXXXXXXXXXXXXXXXXXXXXX</w:t>
      </w:r>
      <w:r w:rsidRPr="0029315C">
        <w:rPr>
          <w:rFonts w:ascii="Arial" w:hAnsi="Arial" w:cs="Arial"/>
          <w:sz w:val="22"/>
          <w:szCs w:val="22"/>
        </w:rPr>
        <w:t xml:space="preserve">. Prodávající a </w:t>
      </w:r>
      <w:r w:rsidR="00A82D09">
        <w:rPr>
          <w:rFonts w:ascii="Arial" w:hAnsi="Arial" w:cs="Arial"/>
          <w:sz w:val="22"/>
          <w:szCs w:val="22"/>
        </w:rPr>
        <w:t>XXXXXXXXXXXXXXXX</w:t>
      </w:r>
      <w:r w:rsidRPr="0029315C">
        <w:rPr>
          <w:rFonts w:ascii="Arial" w:hAnsi="Arial" w:cs="Arial"/>
          <w:sz w:val="22"/>
          <w:szCs w:val="22"/>
        </w:rPr>
        <w:t xml:space="preserve"> uzavřeli dohodu o přičlenění honebních </w:t>
      </w:r>
      <w:proofErr w:type="gramStart"/>
      <w:r w:rsidRPr="0029315C">
        <w:rPr>
          <w:rFonts w:ascii="Arial" w:hAnsi="Arial" w:cs="Arial"/>
          <w:sz w:val="22"/>
          <w:szCs w:val="22"/>
        </w:rPr>
        <w:t>pozemků   č.</w:t>
      </w:r>
      <w:proofErr w:type="gramEnd"/>
      <w:r w:rsidRPr="0029315C">
        <w:rPr>
          <w:rFonts w:ascii="Arial" w:hAnsi="Arial" w:cs="Arial"/>
          <w:sz w:val="22"/>
          <w:szCs w:val="22"/>
        </w:rPr>
        <w:t xml:space="preserve"> </w:t>
      </w:r>
      <w:r w:rsidR="0029315C" w:rsidRPr="0029315C">
        <w:rPr>
          <w:rFonts w:ascii="Arial" w:hAnsi="Arial" w:cs="Arial"/>
          <w:sz w:val="22"/>
          <w:szCs w:val="22"/>
        </w:rPr>
        <w:t>13M04/13</w:t>
      </w:r>
      <w:r w:rsidRPr="0029315C">
        <w:rPr>
          <w:rFonts w:ascii="Arial" w:hAnsi="Arial" w:cs="Arial"/>
          <w:sz w:val="22"/>
          <w:szCs w:val="22"/>
        </w:rPr>
        <w:t xml:space="preserve"> ze dne </w:t>
      </w:r>
      <w:r w:rsidR="0029315C" w:rsidRPr="0029315C">
        <w:rPr>
          <w:rFonts w:ascii="Arial" w:hAnsi="Arial" w:cs="Arial"/>
          <w:sz w:val="22"/>
          <w:szCs w:val="22"/>
        </w:rPr>
        <w:t>1. 4. 2004</w:t>
      </w:r>
      <w:r w:rsidRPr="0029315C">
        <w:rPr>
          <w:rFonts w:ascii="Arial" w:hAnsi="Arial" w:cs="Arial"/>
          <w:sz w:val="22"/>
          <w:szCs w:val="22"/>
        </w:rPr>
        <w:t>, jejímž předmětem je uvedený pozemek. Pozemek je přičleněn ke společenstevní honitbě "</w:t>
      </w:r>
      <w:r w:rsidR="0029315C" w:rsidRPr="0029315C">
        <w:rPr>
          <w:rFonts w:ascii="Arial" w:hAnsi="Arial" w:cs="Arial"/>
          <w:sz w:val="22"/>
          <w:szCs w:val="22"/>
        </w:rPr>
        <w:t>Dolany</w:t>
      </w:r>
      <w:r w:rsidRPr="0029315C">
        <w:rPr>
          <w:rFonts w:ascii="Arial" w:hAnsi="Arial" w:cs="Arial"/>
          <w:sz w:val="22"/>
          <w:szCs w:val="22"/>
        </w:rPr>
        <w:t xml:space="preserve">", jejímž držitelem je </w:t>
      </w:r>
      <w:r w:rsidR="00A82D09">
        <w:rPr>
          <w:rFonts w:ascii="Arial" w:hAnsi="Arial" w:cs="Arial"/>
          <w:sz w:val="22"/>
          <w:szCs w:val="22"/>
        </w:rPr>
        <w:t>XXXXXXXXXXXXXXXXXXXXXXX</w:t>
      </w:r>
      <w:r w:rsidRPr="0029315C">
        <w:rPr>
          <w:rFonts w:ascii="Arial" w:hAnsi="Arial" w:cs="Arial"/>
          <w:sz w:val="22"/>
          <w:szCs w:val="22"/>
        </w:rPr>
        <w:t>.</w:t>
      </w:r>
    </w:p>
    <w:p w:rsidR="00CE3324" w:rsidRPr="006B0624" w:rsidRDefault="00CE3324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Kupující nebo jeho právní předchůdce byl ke zřízení trvalého porostu na pozemku oprávněný před účinností zákona o Pozemkovém fondu ČR na základě </w:t>
      </w:r>
      <w:r w:rsidR="00191C2A" w:rsidRPr="006B0624">
        <w:rPr>
          <w:rFonts w:ascii="Arial" w:hAnsi="Arial" w:cs="Arial"/>
          <w:sz w:val="22"/>
          <w:szCs w:val="22"/>
        </w:rPr>
        <w:t>Rozhodnutí o využití území pro výsadbu sadů</w:t>
      </w:r>
      <w:r w:rsidRPr="006B06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0624">
        <w:rPr>
          <w:rFonts w:ascii="Arial" w:hAnsi="Arial" w:cs="Arial"/>
          <w:sz w:val="22"/>
          <w:szCs w:val="22"/>
        </w:rPr>
        <w:t>č.j.</w:t>
      </w:r>
      <w:proofErr w:type="gramEnd"/>
      <w:r w:rsidRPr="006B06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C2A" w:rsidRPr="006B0624">
        <w:rPr>
          <w:rFonts w:ascii="Arial" w:hAnsi="Arial" w:cs="Arial"/>
          <w:sz w:val="22"/>
          <w:szCs w:val="22"/>
        </w:rPr>
        <w:t>Výst</w:t>
      </w:r>
      <w:proofErr w:type="spellEnd"/>
      <w:r w:rsidR="00191C2A" w:rsidRPr="006B0624">
        <w:rPr>
          <w:rFonts w:ascii="Arial" w:hAnsi="Arial" w:cs="Arial"/>
          <w:sz w:val="22"/>
          <w:szCs w:val="22"/>
        </w:rPr>
        <w:t>. 1043/81-Ing.B</w:t>
      </w:r>
      <w:r w:rsidRPr="006B0624">
        <w:rPr>
          <w:rFonts w:ascii="Arial" w:hAnsi="Arial" w:cs="Arial"/>
          <w:sz w:val="22"/>
          <w:szCs w:val="22"/>
        </w:rPr>
        <w:t xml:space="preserve"> vydaným </w:t>
      </w:r>
      <w:r w:rsidR="00191C2A" w:rsidRPr="006B0624">
        <w:rPr>
          <w:rFonts w:ascii="Arial" w:hAnsi="Arial" w:cs="Arial"/>
          <w:sz w:val="22"/>
          <w:szCs w:val="22"/>
        </w:rPr>
        <w:t>Okresní</w:t>
      </w:r>
      <w:r w:rsidR="007E798E">
        <w:rPr>
          <w:rFonts w:ascii="Arial" w:hAnsi="Arial" w:cs="Arial"/>
          <w:sz w:val="22"/>
          <w:szCs w:val="22"/>
        </w:rPr>
        <w:t>m</w:t>
      </w:r>
      <w:r w:rsidR="00191C2A" w:rsidRPr="006B0624">
        <w:rPr>
          <w:rFonts w:ascii="Arial" w:hAnsi="Arial" w:cs="Arial"/>
          <w:sz w:val="22"/>
          <w:szCs w:val="22"/>
        </w:rPr>
        <w:t xml:space="preserve"> národní</w:t>
      </w:r>
      <w:r w:rsidR="007E798E">
        <w:rPr>
          <w:rFonts w:ascii="Arial" w:hAnsi="Arial" w:cs="Arial"/>
          <w:sz w:val="22"/>
          <w:szCs w:val="22"/>
        </w:rPr>
        <w:t>m</w:t>
      </w:r>
      <w:r w:rsidR="00191C2A" w:rsidRPr="006B0624">
        <w:rPr>
          <w:rFonts w:ascii="Arial" w:hAnsi="Arial" w:cs="Arial"/>
          <w:sz w:val="22"/>
          <w:szCs w:val="22"/>
        </w:rPr>
        <w:t xml:space="preserve"> výbor</w:t>
      </w:r>
      <w:r w:rsidR="007E798E">
        <w:rPr>
          <w:rFonts w:ascii="Arial" w:hAnsi="Arial" w:cs="Arial"/>
          <w:sz w:val="22"/>
          <w:szCs w:val="22"/>
        </w:rPr>
        <w:t>em</w:t>
      </w:r>
      <w:r w:rsidR="00191C2A" w:rsidRPr="006B0624">
        <w:rPr>
          <w:rFonts w:ascii="Arial" w:hAnsi="Arial" w:cs="Arial"/>
          <w:sz w:val="22"/>
          <w:szCs w:val="22"/>
        </w:rPr>
        <w:t xml:space="preserve"> v Náchodě</w:t>
      </w:r>
      <w:r w:rsidRPr="006B0624">
        <w:rPr>
          <w:rFonts w:ascii="Arial" w:hAnsi="Arial" w:cs="Arial"/>
          <w:sz w:val="22"/>
          <w:szCs w:val="22"/>
        </w:rPr>
        <w:t xml:space="preserve"> dne</w:t>
      </w:r>
      <w:r w:rsidR="0029315C">
        <w:rPr>
          <w:rFonts w:ascii="Arial" w:hAnsi="Arial" w:cs="Arial"/>
          <w:sz w:val="22"/>
          <w:szCs w:val="22"/>
        </w:rPr>
        <w:t xml:space="preserve">   </w:t>
      </w:r>
      <w:r w:rsidR="007E798E">
        <w:rPr>
          <w:rFonts w:ascii="Arial" w:hAnsi="Arial" w:cs="Arial"/>
          <w:sz w:val="22"/>
          <w:szCs w:val="22"/>
        </w:rPr>
        <w:t>2. 9. 198</w:t>
      </w:r>
      <w:r w:rsidR="008217D0">
        <w:rPr>
          <w:rFonts w:ascii="Arial" w:hAnsi="Arial" w:cs="Arial"/>
          <w:sz w:val="22"/>
          <w:szCs w:val="22"/>
        </w:rPr>
        <w:t>1</w:t>
      </w:r>
      <w:r w:rsidR="00191C2A" w:rsidRPr="006B0624">
        <w:rPr>
          <w:rFonts w:ascii="Arial" w:hAnsi="Arial" w:cs="Arial"/>
          <w:sz w:val="22"/>
          <w:szCs w:val="22"/>
        </w:rPr>
        <w:t>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lastRenderedPageBreak/>
        <w:t>VI.</w:t>
      </w:r>
    </w:p>
    <w:p w:rsidR="00A35413" w:rsidRPr="006B0624" w:rsidRDefault="00A35413" w:rsidP="00A3541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1) Smluvní strany se dohodly, že prodávající podá návrh na vklad vlastnického práva na základě této smlouvy u příslušného katastrálního úřadu do 30 dnů ode dne účinnosti této smlouvy.</w:t>
      </w:r>
    </w:p>
    <w:p w:rsidR="00A35413" w:rsidRPr="006B0624" w:rsidRDefault="00A35413" w:rsidP="00A3541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B02EF2" w:rsidRPr="006B0624" w:rsidRDefault="00B02EF2" w:rsidP="00B02EF2">
      <w:pPr>
        <w:pStyle w:val="vnintext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bCs/>
          <w:sz w:val="22"/>
          <w:szCs w:val="22"/>
        </w:rPr>
        <w:t xml:space="preserve">3) </w:t>
      </w:r>
      <w:r w:rsidR="00D245FE" w:rsidRPr="006B0624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90103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30897" w:rsidRPr="006B0624" w:rsidRDefault="0093089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VII.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2) Tato smlouva je vyhotovena </w:t>
      </w:r>
      <w:proofErr w:type="gramStart"/>
      <w:r w:rsidRPr="006B0624">
        <w:rPr>
          <w:rFonts w:ascii="Arial" w:hAnsi="Arial" w:cs="Arial"/>
          <w:sz w:val="22"/>
          <w:szCs w:val="22"/>
        </w:rPr>
        <w:t xml:space="preserve">ve </w:t>
      </w:r>
      <w:r w:rsidRPr="006B0624">
        <w:rPr>
          <w:rFonts w:ascii="Arial" w:hAnsi="Arial" w:cs="Arial"/>
          <w:color w:val="000000"/>
          <w:sz w:val="22"/>
          <w:szCs w:val="22"/>
        </w:rPr>
        <w:t>3</w:t>
      </w:r>
      <w:r w:rsidRPr="006B0624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6B0624">
        <w:rPr>
          <w:rFonts w:ascii="Arial" w:hAnsi="Arial" w:cs="Arial"/>
          <w:sz w:val="22"/>
          <w:szCs w:val="22"/>
        </w:rPr>
        <w:t xml:space="preserve">, z nichž každý má platnost originálu. Kupující obdrží 1 </w:t>
      </w:r>
      <w:proofErr w:type="gramStart"/>
      <w:r w:rsidRPr="006B0624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6B0624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09332C" w:rsidRDefault="00AF7334" w:rsidP="0009332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09332C" w:rsidRPr="0009332C">
        <w:rPr>
          <w:rFonts w:ascii="Arial" w:hAnsi="Arial" w:cs="Arial"/>
          <w:sz w:val="22"/>
          <w:szCs w:val="22"/>
        </w:rPr>
        <w:t xml:space="preserve"> </w:t>
      </w:r>
    </w:p>
    <w:p w:rsidR="00AF7334" w:rsidRDefault="00AF7334" w:rsidP="0009332C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30897" w:rsidRDefault="00930897" w:rsidP="0009332C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01036" w:rsidRPr="006B0624" w:rsidRDefault="002F6753">
      <w:pPr>
        <w:pStyle w:val="para"/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VIII</w:t>
      </w:r>
      <w:r w:rsidR="00901036" w:rsidRPr="006B0624">
        <w:rPr>
          <w:rFonts w:ascii="Arial" w:hAnsi="Arial" w:cs="Arial"/>
          <w:sz w:val="22"/>
          <w:szCs w:val="22"/>
        </w:rPr>
        <w:t>.</w:t>
      </w:r>
    </w:p>
    <w:p w:rsidR="00A35413" w:rsidRPr="006B0624" w:rsidRDefault="00A35413" w:rsidP="00A3541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1) Prodávající prohlašuje, že v souladu s § 6 zákona č. 503/2012 Sb., o Státním pozemkovém úřadu a o změně některých souvisejících zákonů</w:t>
      </w:r>
      <w:r w:rsidR="00B02EF2" w:rsidRPr="006B0624">
        <w:rPr>
          <w:rFonts w:ascii="Arial" w:hAnsi="Arial" w:cs="Arial"/>
          <w:sz w:val="22"/>
          <w:szCs w:val="22"/>
        </w:rPr>
        <w:t>, ve znění posledních předpisů</w:t>
      </w:r>
      <w:r w:rsidRPr="006B0624">
        <w:rPr>
          <w:rFonts w:ascii="Arial" w:hAnsi="Arial" w:cs="Arial"/>
          <w:sz w:val="22"/>
          <w:szCs w:val="22"/>
        </w:rPr>
        <w:t>, prověřil převoditelnost prodávaného pozemku a prohlašuje, že prodávaný pozemek není vyloučen z převodu podle § 6 zákona č. 503/2012 Sb., o Státním pozemkovém úřadu a o změně některých souvisejících zákonů</w:t>
      </w:r>
      <w:r w:rsidR="00B02EF2" w:rsidRPr="006B0624">
        <w:rPr>
          <w:rFonts w:ascii="Arial" w:hAnsi="Arial" w:cs="Arial"/>
          <w:sz w:val="22"/>
          <w:szCs w:val="22"/>
        </w:rPr>
        <w:t>, ve znění posledních předpisů</w:t>
      </w:r>
      <w:r w:rsidRPr="006B0624">
        <w:rPr>
          <w:rFonts w:ascii="Arial" w:hAnsi="Arial" w:cs="Arial"/>
          <w:sz w:val="22"/>
          <w:szCs w:val="22"/>
        </w:rPr>
        <w:t>.</w:t>
      </w:r>
    </w:p>
    <w:p w:rsidR="00A35413" w:rsidRPr="006B0624" w:rsidRDefault="00A35413" w:rsidP="00A3541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2) Kupující prohlašuje, že převáděný pozemek užívá a že ve vztahu k převáděnému pozemku splňuje zákonem stanovené podmínky pro to, aby na něj mohl být podle § </w:t>
      </w:r>
      <w:r w:rsidR="002F6753" w:rsidRPr="006B0624">
        <w:rPr>
          <w:rFonts w:ascii="Arial" w:hAnsi="Arial" w:cs="Arial"/>
          <w:sz w:val="22"/>
          <w:szCs w:val="22"/>
        </w:rPr>
        <w:t>10a odst. 1</w:t>
      </w:r>
      <w:r w:rsidRPr="006B0624">
        <w:rPr>
          <w:rFonts w:ascii="Arial" w:hAnsi="Arial" w:cs="Arial"/>
          <w:sz w:val="22"/>
          <w:szCs w:val="22"/>
        </w:rPr>
        <w:t xml:space="preserve"> zákona č. 503/2012 Sb., o Státním pozemkovém úřadu a o změně některých souvisejících zákonů</w:t>
      </w:r>
      <w:r w:rsidR="00B02EF2" w:rsidRPr="006B0624">
        <w:rPr>
          <w:rFonts w:ascii="Arial" w:hAnsi="Arial" w:cs="Arial"/>
          <w:sz w:val="22"/>
          <w:szCs w:val="22"/>
        </w:rPr>
        <w:t>, ve znění posledních předpisů</w:t>
      </w:r>
      <w:r w:rsidRPr="006B0624">
        <w:rPr>
          <w:rFonts w:ascii="Arial" w:hAnsi="Arial" w:cs="Arial"/>
          <w:sz w:val="22"/>
          <w:szCs w:val="22"/>
        </w:rPr>
        <w:t>, převeden.</w:t>
      </w:r>
    </w:p>
    <w:p w:rsidR="00A35413" w:rsidRPr="006B0624" w:rsidRDefault="00A35413" w:rsidP="00A3541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3) Kupující bere na vědomí a je srozuměn s tím, že nepravdivost tvrzení obsažených ve výše uvedeném prohlášení má za následek neplatnost této smlouvy od samého počátku.</w:t>
      </w:r>
    </w:p>
    <w:p w:rsidR="00A35413" w:rsidRPr="006B0624" w:rsidRDefault="00A35413" w:rsidP="00A3541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4) Kupující prohlašuje, že splňuje zákonné podmínky ve smyslu § 16 odst. 1 zákona č. 503/2012 Sb., o Státním pozemkovém úřadu a o změně některých souvisejících zákonů</w:t>
      </w:r>
      <w:r w:rsidR="00B02EF2" w:rsidRPr="006B0624">
        <w:rPr>
          <w:rFonts w:ascii="Arial" w:hAnsi="Arial" w:cs="Arial"/>
          <w:sz w:val="22"/>
          <w:szCs w:val="22"/>
        </w:rPr>
        <w:t>, ve znění posledních předpisů</w:t>
      </w:r>
      <w:r w:rsidRPr="006B0624">
        <w:rPr>
          <w:rFonts w:ascii="Arial" w:hAnsi="Arial" w:cs="Arial"/>
          <w:sz w:val="22"/>
          <w:szCs w:val="22"/>
        </w:rPr>
        <w:t>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2F675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B0624">
        <w:rPr>
          <w:rFonts w:ascii="Arial" w:hAnsi="Arial" w:cs="Arial"/>
          <w:b/>
          <w:sz w:val="22"/>
          <w:szCs w:val="22"/>
        </w:rPr>
        <w:t>I</w:t>
      </w:r>
      <w:r w:rsidR="00901036" w:rsidRPr="006B0624">
        <w:rPr>
          <w:rFonts w:ascii="Arial" w:hAnsi="Arial" w:cs="Arial"/>
          <w:b/>
          <w:bCs/>
          <w:sz w:val="22"/>
          <w:szCs w:val="22"/>
        </w:rPr>
        <w:t>X.</w:t>
      </w:r>
    </w:p>
    <w:p w:rsidR="00901036" w:rsidRPr="006B0624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09332C">
        <w:rPr>
          <w:rFonts w:ascii="Arial" w:hAnsi="Arial" w:cs="Arial"/>
          <w:sz w:val="22"/>
          <w:szCs w:val="22"/>
        </w:rPr>
        <w:t>kaz toho připojují své podpisy.</w:t>
      </w: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V Hradci Králové dne </w:t>
      </w:r>
      <w:r w:rsidR="0069306D">
        <w:rPr>
          <w:rFonts w:ascii="Arial" w:hAnsi="Arial" w:cs="Arial"/>
          <w:sz w:val="22"/>
          <w:szCs w:val="22"/>
        </w:rPr>
        <w:t>1</w:t>
      </w:r>
      <w:r w:rsidR="009731E1">
        <w:rPr>
          <w:rFonts w:ascii="Arial" w:hAnsi="Arial" w:cs="Arial"/>
          <w:sz w:val="22"/>
          <w:szCs w:val="22"/>
        </w:rPr>
        <w:t>4</w:t>
      </w:r>
      <w:r w:rsidR="0069306D">
        <w:rPr>
          <w:rFonts w:ascii="Arial" w:hAnsi="Arial" w:cs="Arial"/>
          <w:sz w:val="22"/>
          <w:szCs w:val="22"/>
        </w:rPr>
        <w:t>. 3. 2019</w:t>
      </w:r>
      <w:r w:rsidRPr="006B0624">
        <w:rPr>
          <w:rFonts w:ascii="Arial" w:hAnsi="Arial" w:cs="Arial"/>
          <w:sz w:val="22"/>
          <w:szCs w:val="22"/>
        </w:rPr>
        <w:tab/>
      </w:r>
      <w:r w:rsidR="0069306D" w:rsidRPr="006B0624">
        <w:rPr>
          <w:rFonts w:ascii="Arial" w:hAnsi="Arial" w:cs="Arial"/>
          <w:sz w:val="22"/>
          <w:szCs w:val="22"/>
        </w:rPr>
        <w:t xml:space="preserve">V Hradci Králové dne </w:t>
      </w:r>
      <w:r w:rsidR="0069306D">
        <w:rPr>
          <w:rFonts w:ascii="Arial" w:hAnsi="Arial" w:cs="Arial"/>
          <w:sz w:val="22"/>
          <w:szCs w:val="22"/>
        </w:rPr>
        <w:t>1</w:t>
      </w:r>
      <w:r w:rsidR="009731E1">
        <w:rPr>
          <w:rFonts w:ascii="Arial" w:hAnsi="Arial" w:cs="Arial"/>
          <w:sz w:val="22"/>
          <w:szCs w:val="22"/>
        </w:rPr>
        <w:t>4</w:t>
      </w:r>
      <w:r w:rsidR="0069306D">
        <w:rPr>
          <w:rFonts w:ascii="Arial" w:hAnsi="Arial" w:cs="Arial"/>
          <w:sz w:val="22"/>
          <w:szCs w:val="22"/>
        </w:rPr>
        <w:t>. 3. 2019</w:t>
      </w: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............................................</w:t>
      </w:r>
      <w:r w:rsidRPr="006B062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36CEB" w:rsidRPr="00BB196A" w:rsidRDefault="00636CEB" w:rsidP="00636C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Zemědělské družstvo Dolany</w:t>
      </w:r>
    </w:p>
    <w:p w:rsidR="00636CEB" w:rsidRPr="00BB196A" w:rsidRDefault="00636CEB" w:rsidP="00636C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</w:p>
    <w:p w:rsidR="00636CEB" w:rsidRPr="00BB196A" w:rsidRDefault="00636CEB" w:rsidP="00636C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Karel Vlček</w:t>
      </w:r>
    </w:p>
    <w:p w:rsidR="00636CEB" w:rsidRPr="00BB196A" w:rsidRDefault="00636CEB" w:rsidP="00636C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Petr Lázňovský</w:t>
      </w:r>
      <w:r w:rsidRPr="00BB19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01036" w:rsidRPr="006B0624" w:rsidRDefault="00636CEB" w:rsidP="00636C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="00901036" w:rsidRPr="006B0624">
        <w:rPr>
          <w:rFonts w:ascii="Arial" w:hAnsi="Arial" w:cs="Arial"/>
          <w:sz w:val="22"/>
          <w:szCs w:val="22"/>
        </w:rPr>
        <w:tab/>
      </w:r>
    </w:p>
    <w:p w:rsidR="00901036" w:rsidRPr="006B0624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30897" w:rsidRPr="006B0624" w:rsidRDefault="00930897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PF ČR: </w:t>
      </w:r>
      <w:r w:rsidRPr="006B0624">
        <w:rPr>
          <w:rFonts w:ascii="Arial" w:hAnsi="Arial" w:cs="Arial"/>
          <w:color w:val="000000"/>
          <w:sz w:val="22"/>
          <w:szCs w:val="22"/>
        </w:rPr>
        <w:t>1804913</w:t>
      </w:r>
      <w:r w:rsidRPr="006B0624">
        <w:rPr>
          <w:rFonts w:ascii="Arial" w:hAnsi="Arial" w:cs="Arial"/>
          <w:color w:val="000000"/>
          <w:sz w:val="22"/>
          <w:szCs w:val="22"/>
        </w:rPr>
        <w:br/>
      </w: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230B1B" w:rsidRPr="006B0624" w:rsidRDefault="00230B1B" w:rsidP="00230B1B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Za věcnou a formální správnost odpovídá</w:t>
      </w:r>
    </w:p>
    <w:p w:rsidR="00230B1B" w:rsidRPr="006B0624" w:rsidRDefault="00230B1B" w:rsidP="00230B1B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vedoucí oddělení převodu majetku státu pro Královéhradecký kraj</w:t>
      </w:r>
    </w:p>
    <w:p w:rsidR="00230B1B" w:rsidRPr="006B0624" w:rsidRDefault="00230B1B" w:rsidP="00230B1B">
      <w:pPr>
        <w:widowControl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Ing. Jolana Miškářová</w:t>
      </w:r>
    </w:p>
    <w:p w:rsidR="00230B1B" w:rsidRPr="006B0624" w:rsidRDefault="00230B1B" w:rsidP="00230B1B">
      <w:pPr>
        <w:widowControl/>
        <w:rPr>
          <w:rFonts w:ascii="Arial" w:hAnsi="Arial" w:cs="Arial"/>
          <w:sz w:val="22"/>
          <w:szCs w:val="22"/>
        </w:rPr>
      </w:pPr>
    </w:p>
    <w:p w:rsidR="00230B1B" w:rsidRPr="006B0624" w:rsidRDefault="00230B1B" w:rsidP="00230B1B">
      <w:pPr>
        <w:widowControl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.......................................</w:t>
      </w:r>
    </w:p>
    <w:p w:rsidR="00230B1B" w:rsidRPr="006B0624" w:rsidRDefault="00230B1B" w:rsidP="00230B1B">
      <w:pPr>
        <w:widowControl/>
        <w:ind w:firstLine="708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podpis</w:t>
      </w:r>
    </w:p>
    <w:p w:rsidR="00230B1B" w:rsidRPr="006B0624" w:rsidRDefault="00230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230B1B" w:rsidRPr="006B0624" w:rsidRDefault="00230B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 xml:space="preserve">Za správnost: </w:t>
      </w:r>
      <w:r w:rsidRPr="006B0624">
        <w:rPr>
          <w:rFonts w:ascii="Arial" w:hAnsi="Arial" w:cs="Arial"/>
          <w:color w:val="000000"/>
          <w:sz w:val="22"/>
          <w:szCs w:val="22"/>
        </w:rPr>
        <w:t>Mgr. Jarmila Hagarová</w:t>
      </w: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6B0624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.......................................</w:t>
      </w:r>
    </w:p>
    <w:p w:rsidR="00901036" w:rsidRPr="006B0624" w:rsidRDefault="000C2563" w:rsidP="000C2563">
      <w:pPr>
        <w:widowControl/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ab/>
        <w:t>podpis</w:t>
      </w:r>
    </w:p>
    <w:p w:rsidR="00D01BE9" w:rsidRDefault="00D01BE9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30E1" w:rsidRDefault="00A430E1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30E1" w:rsidRDefault="00A430E1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30E1" w:rsidRDefault="00A430E1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30E1" w:rsidRDefault="00A430E1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9315C" w:rsidRPr="006B0624" w:rsidRDefault="0029315C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Tato smlouva byla uveřejněna v registru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smluv, vedeném dle zákona č. 340/2015 Sb.,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o registru smluv, dne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………………………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datum registrace</w:t>
      </w:r>
    </w:p>
    <w:p w:rsidR="00D01BE9" w:rsidRPr="006B0624" w:rsidRDefault="00D01BE9" w:rsidP="00D01BE9">
      <w:pPr>
        <w:jc w:val="both"/>
        <w:rPr>
          <w:rFonts w:ascii="Arial" w:hAnsi="Arial" w:cs="Arial"/>
          <w:i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………………………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ID smlouvy</w:t>
      </w:r>
    </w:p>
    <w:p w:rsidR="00E57A9F" w:rsidRDefault="00E57A9F" w:rsidP="00E57A9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57A9F" w:rsidRDefault="00E57A9F" w:rsidP="00E57A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57A9F" w:rsidRDefault="00E57A9F" w:rsidP="00E57A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………………………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registraci provedl</w:t>
      </w: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</w:p>
    <w:p w:rsidR="00D01BE9" w:rsidRPr="006B0624" w:rsidRDefault="00D01BE9" w:rsidP="00D01BE9">
      <w:pPr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V ……………</w:t>
      </w:r>
      <w:proofErr w:type="gramStart"/>
      <w:r w:rsidRPr="006B0624">
        <w:rPr>
          <w:rFonts w:ascii="Arial" w:hAnsi="Arial" w:cs="Arial"/>
          <w:sz w:val="22"/>
          <w:szCs w:val="22"/>
        </w:rPr>
        <w:t>…..</w:t>
      </w:r>
      <w:r w:rsidRPr="006B0624">
        <w:rPr>
          <w:rFonts w:ascii="Arial" w:hAnsi="Arial" w:cs="Arial"/>
          <w:sz w:val="22"/>
          <w:szCs w:val="22"/>
        </w:rPr>
        <w:tab/>
      </w:r>
      <w:r w:rsidRPr="006B0624">
        <w:rPr>
          <w:rFonts w:ascii="Arial" w:hAnsi="Arial" w:cs="Arial"/>
          <w:sz w:val="22"/>
          <w:szCs w:val="22"/>
        </w:rPr>
        <w:tab/>
        <w:t>…</w:t>
      </w:r>
      <w:proofErr w:type="gramEnd"/>
      <w:r w:rsidRPr="006B0624">
        <w:rPr>
          <w:rFonts w:ascii="Arial" w:hAnsi="Arial" w:cs="Arial"/>
          <w:sz w:val="22"/>
          <w:szCs w:val="22"/>
        </w:rPr>
        <w:t>…………………………….</w:t>
      </w:r>
    </w:p>
    <w:p w:rsidR="00D01BE9" w:rsidRPr="006B0624" w:rsidRDefault="00D01BE9" w:rsidP="00D01BE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ab/>
        <w:t>podpis odpovědného</w:t>
      </w:r>
    </w:p>
    <w:p w:rsidR="00D01BE9" w:rsidRPr="006B0624" w:rsidRDefault="00D01BE9" w:rsidP="00D01BE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6B0624">
        <w:rPr>
          <w:rFonts w:ascii="Arial" w:hAnsi="Arial" w:cs="Arial"/>
          <w:sz w:val="22"/>
          <w:szCs w:val="22"/>
        </w:rPr>
        <w:t>dne ………………</w:t>
      </w:r>
      <w:r w:rsidRPr="006B0624">
        <w:rPr>
          <w:rFonts w:ascii="Arial" w:hAnsi="Arial" w:cs="Arial"/>
          <w:sz w:val="22"/>
          <w:szCs w:val="22"/>
        </w:rPr>
        <w:tab/>
        <w:t>zaměstnance</w:t>
      </w:r>
    </w:p>
    <w:p w:rsidR="00D01BE9" w:rsidRPr="006B0624" w:rsidRDefault="00D01BE9" w:rsidP="000C2563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D01BE9" w:rsidRPr="006B06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BB" w:rsidRDefault="006C57BB">
      <w:r>
        <w:separator/>
      </w:r>
    </w:p>
  </w:endnote>
  <w:endnote w:type="continuationSeparator" w:id="0">
    <w:p w:rsidR="006C57BB" w:rsidRDefault="006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BB" w:rsidRDefault="006C57BB">
      <w:r>
        <w:separator/>
      </w:r>
    </w:p>
  </w:footnote>
  <w:footnote w:type="continuationSeparator" w:id="0">
    <w:p w:rsidR="006C57BB" w:rsidRDefault="006C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77"/>
    <w:multiLevelType w:val="hybridMultilevel"/>
    <w:tmpl w:val="9AEA9CCE"/>
    <w:lvl w:ilvl="0" w:tplc="046CE1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32C11"/>
    <w:rsid w:val="0005475D"/>
    <w:rsid w:val="000870FE"/>
    <w:rsid w:val="0009332C"/>
    <w:rsid w:val="00093ED5"/>
    <w:rsid w:val="000A3772"/>
    <w:rsid w:val="000A78FD"/>
    <w:rsid w:val="000C2563"/>
    <w:rsid w:val="000E2FC5"/>
    <w:rsid w:val="000F3A71"/>
    <w:rsid w:val="00131380"/>
    <w:rsid w:val="001468C5"/>
    <w:rsid w:val="00191C2A"/>
    <w:rsid w:val="001961D8"/>
    <w:rsid w:val="001A2771"/>
    <w:rsid w:val="001B40E3"/>
    <w:rsid w:val="002055A2"/>
    <w:rsid w:val="00227BE5"/>
    <w:rsid w:val="00230B1B"/>
    <w:rsid w:val="00250A71"/>
    <w:rsid w:val="002664C6"/>
    <w:rsid w:val="00271CEB"/>
    <w:rsid w:val="00283ADB"/>
    <w:rsid w:val="0029315C"/>
    <w:rsid w:val="002C0366"/>
    <w:rsid w:val="002C20F2"/>
    <w:rsid w:val="002F195F"/>
    <w:rsid w:val="002F6753"/>
    <w:rsid w:val="00331BCD"/>
    <w:rsid w:val="003902C9"/>
    <w:rsid w:val="003A3C19"/>
    <w:rsid w:val="003B32B2"/>
    <w:rsid w:val="003F03D7"/>
    <w:rsid w:val="0042737C"/>
    <w:rsid w:val="004353E5"/>
    <w:rsid w:val="00475318"/>
    <w:rsid w:val="00514631"/>
    <w:rsid w:val="00531754"/>
    <w:rsid w:val="00543284"/>
    <w:rsid w:val="005762BF"/>
    <w:rsid w:val="005B7325"/>
    <w:rsid w:val="005C5424"/>
    <w:rsid w:val="005D31D0"/>
    <w:rsid w:val="00636CEB"/>
    <w:rsid w:val="00656702"/>
    <w:rsid w:val="006652D6"/>
    <w:rsid w:val="00667B95"/>
    <w:rsid w:val="00673A25"/>
    <w:rsid w:val="0069306D"/>
    <w:rsid w:val="006A41A5"/>
    <w:rsid w:val="006B0624"/>
    <w:rsid w:val="006C5117"/>
    <w:rsid w:val="006C57BB"/>
    <w:rsid w:val="00710F3F"/>
    <w:rsid w:val="00726094"/>
    <w:rsid w:val="007361B6"/>
    <w:rsid w:val="0073637E"/>
    <w:rsid w:val="00737F0D"/>
    <w:rsid w:val="0075358A"/>
    <w:rsid w:val="00757475"/>
    <w:rsid w:val="0079042A"/>
    <w:rsid w:val="007E798E"/>
    <w:rsid w:val="00805FD7"/>
    <w:rsid w:val="008217D0"/>
    <w:rsid w:val="00822630"/>
    <w:rsid w:val="00876024"/>
    <w:rsid w:val="00880942"/>
    <w:rsid w:val="008874D7"/>
    <w:rsid w:val="008E438D"/>
    <w:rsid w:val="00901036"/>
    <w:rsid w:val="00911DD0"/>
    <w:rsid w:val="00930897"/>
    <w:rsid w:val="009731E1"/>
    <w:rsid w:val="009D47FC"/>
    <w:rsid w:val="009E670F"/>
    <w:rsid w:val="00A31C3B"/>
    <w:rsid w:val="00A35413"/>
    <w:rsid w:val="00A402F7"/>
    <w:rsid w:val="00A430E1"/>
    <w:rsid w:val="00A72529"/>
    <w:rsid w:val="00A82D09"/>
    <w:rsid w:val="00AE1B0D"/>
    <w:rsid w:val="00AF7334"/>
    <w:rsid w:val="00B02EF2"/>
    <w:rsid w:val="00B06D84"/>
    <w:rsid w:val="00B178A5"/>
    <w:rsid w:val="00B45B78"/>
    <w:rsid w:val="00B57D8D"/>
    <w:rsid w:val="00B6631E"/>
    <w:rsid w:val="00B85D40"/>
    <w:rsid w:val="00B87A46"/>
    <w:rsid w:val="00BA5990"/>
    <w:rsid w:val="00BB0745"/>
    <w:rsid w:val="00BB664D"/>
    <w:rsid w:val="00BD2820"/>
    <w:rsid w:val="00C15D2C"/>
    <w:rsid w:val="00C222C9"/>
    <w:rsid w:val="00C24AF5"/>
    <w:rsid w:val="00C9419D"/>
    <w:rsid w:val="00CB585D"/>
    <w:rsid w:val="00CE3324"/>
    <w:rsid w:val="00D01BE9"/>
    <w:rsid w:val="00D1549A"/>
    <w:rsid w:val="00D245FE"/>
    <w:rsid w:val="00D851F6"/>
    <w:rsid w:val="00DA3E5F"/>
    <w:rsid w:val="00DB001A"/>
    <w:rsid w:val="00DB1F4A"/>
    <w:rsid w:val="00DD35B6"/>
    <w:rsid w:val="00DE06C6"/>
    <w:rsid w:val="00E01E87"/>
    <w:rsid w:val="00E0412A"/>
    <w:rsid w:val="00E54BFC"/>
    <w:rsid w:val="00E57A9F"/>
    <w:rsid w:val="00E602DE"/>
    <w:rsid w:val="00E87FCA"/>
    <w:rsid w:val="00EA0E98"/>
    <w:rsid w:val="00ED28BE"/>
    <w:rsid w:val="00F04BD7"/>
    <w:rsid w:val="00F1002C"/>
    <w:rsid w:val="00F13D12"/>
    <w:rsid w:val="00F2242C"/>
    <w:rsid w:val="00F268E8"/>
    <w:rsid w:val="00F4237C"/>
    <w:rsid w:val="00F61915"/>
    <w:rsid w:val="00F6690E"/>
    <w:rsid w:val="00F808A1"/>
    <w:rsid w:val="00F85970"/>
    <w:rsid w:val="00FE0D71"/>
    <w:rsid w:val="00FE70EA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7D10"/>
  <w14:defaultImageDpi w14:val="0"/>
  <w15:docId w15:val="{378622ED-22CB-43FD-9164-66CC5EA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CE332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nadpis16">
    <w:name w:val="nadpis16"/>
    <w:basedOn w:val="Normln"/>
    <w:uiPriority w:val="99"/>
    <w:rsid w:val="00CE3324"/>
    <w:pPr>
      <w:widowControl/>
      <w:autoSpaceDE/>
      <w:autoSpaceDN/>
      <w:adjustRightInd/>
    </w:pPr>
    <w:rPr>
      <w:b/>
      <w:bCs/>
      <w:sz w:val="32"/>
      <w:szCs w:val="32"/>
    </w:rPr>
  </w:style>
  <w:style w:type="paragraph" w:customStyle="1" w:styleId="adresa">
    <w:name w:val="adresa"/>
    <w:basedOn w:val="Normln"/>
    <w:uiPriority w:val="99"/>
    <w:rsid w:val="00CE3324"/>
    <w:pPr>
      <w:widowControl/>
      <w:tabs>
        <w:tab w:val="left" w:pos="3402"/>
        <w:tab w:val="left" w:pos="6237"/>
      </w:tabs>
      <w:autoSpaceDE/>
      <w:autoSpaceDN/>
      <w:adjustRightInd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C5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2242C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35413"/>
    <w:pPr>
      <w:widowControl/>
      <w:autoSpaceDE/>
      <w:autoSpaceDN/>
      <w:adjustRightInd/>
    </w:pPr>
    <w:rPr>
      <w:sz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35413"/>
    <w:rPr>
      <w:rFonts w:cs="Times New Roman"/>
      <w:sz w:val="20"/>
      <w:szCs w:val="20"/>
      <w:lang w:val="x-none" w:eastAsia="en-US"/>
    </w:rPr>
  </w:style>
  <w:style w:type="paragraph" w:customStyle="1" w:styleId="VnitrniText0">
    <w:name w:val="VnitrniText"/>
    <w:basedOn w:val="Normln"/>
    <w:rsid w:val="00DB001A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Hagarová Jarmila Mgr.</cp:lastModifiedBy>
  <cp:revision>12</cp:revision>
  <cp:lastPrinted>2010-03-12T14:14:00Z</cp:lastPrinted>
  <dcterms:created xsi:type="dcterms:W3CDTF">2019-02-25T11:31:00Z</dcterms:created>
  <dcterms:modified xsi:type="dcterms:W3CDTF">2019-03-14T08:25:00Z</dcterms:modified>
</cp:coreProperties>
</file>