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8FF" w:rsidRDefault="00FE08FF" w:rsidP="00FE08FF">
      <w:pPr>
        <w:jc w:val="both"/>
        <w:rPr>
          <w:rFonts w:eastAsia="Times New Roman"/>
          <w:b/>
          <w:bCs/>
          <w:szCs w:val="24"/>
          <w:lang w:eastAsia="cs-CZ"/>
        </w:rPr>
      </w:pPr>
    </w:p>
    <w:p w:rsidR="00FE08FF" w:rsidRPr="00165401" w:rsidRDefault="00FE08FF" w:rsidP="00FE08FF">
      <w:pPr>
        <w:jc w:val="both"/>
        <w:rPr>
          <w:rFonts w:eastAsia="Times New Roman"/>
          <w:b/>
          <w:bCs/>
          <w:szCs w:val="24"/>
          <w:lang w:eastAsia="cs-CZ"/>
        </w:rPr>
      </w:pPr>
      <w:r w:rsidRPr="00165401">
        <w:rPr>
          <w:rFonts w:eastAsia="Times New Roman"/>
          <w:b/>
          <w:bCs/>
          <w:szCs w:val="24"/>
          <w:lang w:eastAsia="cs-CZ"/>
        </w:rPr>
        <w:t>Karlovarský kraj</w:t>
      </w:r>
    </w:p>
    <w:p w:rsidR="00FE08FF" w:rsidRPr="00165401" w:rsidRDefault="00FE08FF" w:rsidP="00FE08FF">
      <w:pPr>
        <w:rPr>
          <w:rFonts w:eastAsia="Times New Roman"/>
          <w:szCs w:val="24"/>
          <w:lang w:eastAsia="cs-CZ"/>
        </w:rPr>
      </w:pPr>
      <w:r w:rsidRPr="00165401">
        <w:rPr>
          <w:rFonts w:eastAsia="Times New Roman"/>
          <w:szCs w:val="24"/>
          <w:lang w:eastAsia="cs-CZ"/>
        </w:rPr>
        <w:t>se sídlem:</w:t>
      </w:r>
      <w:r w:rsidRPr="00165401">
        <w:rPr>
          <w:rFonts w:eastAsia="Times New Roman"/>
          <w:szCs w:val="24"/>
          <w:lang w:eastAsia="cs-CZ"/>
        </w:rPr>
        <w:tab/>
      </w:r>
      <w:r w:rsidRPr="00165401">
        <w:rPr>
          <w:rFonts w:eastAsia="Times New Roman"/>
          <w:szCs w:val="24"/>
          <w:lang w:eastAsia="cs-CZ"/>
        </w:rPr>
        <w:tab/>
        <w:t>Závodní 353/88, 360 06 Karlovy Vary</w:t>
      </w:r>
    </w:p>
    <w:p w:rsidR="00FE08FF" w:rsidRPr="00165401" w:rsidRDefault="00FE08FF" w:rsidP="00FE08FF">
      <w:pPr>
        <w:ind w:left="2124" w:right="-286" w:hanging="2124"/>
        <w:rPr>
          <w:rFonts w:eastAsia="Times New Roman"/>
          <w:szCs w:val="24"/>
          <w:lang w:eastAsia="cs-CZ"/>
        </w:rPr>
      </w:pPr>
      <w:r>
        <w:rPr>
          <w:rFonts w:eastAsia="Times New Roman"/>
          <w:szCs w:val="24"/>
          <w:lang w:eastAsia="cs-CZ"/>
        </w:rPr>
        <w:t>zastoupený:</w:t>
      </w:r>
      <w:r>
        <w:rPr>
          <w:rFonts w:eastAsia="Times New Roman"/>
          <w:szCs w:val="24"/>
          <w:lang w:eastAsia="cs-CZ"/>
        </w:rPr>
        <w:tab/>
      </w:r>
      <w:r w:rsidRPr="001E555F">
        <w:rPr>
          <w:rFonts w:eastAsia="Times New Roman"/>
          <w:szCs w:val="24"/>
          <w:lang w:eastAsia="cs-CZ"/>
        </w:rPr>
        <w:t xml:space="preserve">Ing. Janem Burešem, členem Rady Karlovarského kraje na základě </w:t>
      </w:r>
      <w:r w:rsidRPr="008E0926">
        <w:rPr>
          <w:rFonts w:eastAsia="Times New Roman"/>
          <w:szCs w:val="24"/>
          <w:lang w:eastAsia="cs-CZ"/>
        </w:rPr>
        <w:t xml:space="preserve">usnesení </w:t>
      </w:r>
      <w:r w:rsidR="008E0926">
        <w:rPr>
          <w:rFonts w:eastAsia="Times New Roman"/>
          <w:szCs w:val="24"/>
          <w:lang w:eastAsia="cs-CZ"/>
        </w:rPr>
        <w:t xml:space="preserve">Zastupitelstva </w:t>
      </w:r>
      <w:r w:rsidRPr="008E0926">
        <w:rPr>
          <w:rFonts w:eastAsia="Times New Roman"/>
          <w:szCs w:val="24"/>
          <w:lang w:eastAsia="cs-CZ"/>
        </w:rPr>
        <w:t>Karlovarského kraje č</w:t>
      </w:r>
      <w:r w:rsidR="008E0926">
        <w:rPr>
          <w:rFonts w:eastAsia="Times New Roman"/>
          <w:szCs w:val="24"/>
          <w:lang w:eastAsia="cs-CZ"/>
        </w:rPr>
        <w:t>. ZK 50/02/19</w:t>
      </w:r>
      <w:r w:rsidRPr="008E0926">
        <w:rPr>
          <w:rFonts w:eastAsia="Times New Roman"/>
          <w:szCs w:val="24"/>
          <w:lang w:eastAsia="cs-CZ"/>
        </w:rPr>
        <w:t xml:space="preserve"> ze dne</w:t>
      </w:r>
      <w:r w:rsidR="008E0926">
        <w:rPr>
          <w:rFonts w:eastAsia="Times New Roman"/>
          <w:szCs w:val="24"/>
          <w:lang w:eastAsia="cs-CZ"/>
        </w:rPr>
        <w:t xml:space="preserve"> 28.02.2019</w:t>
      </w:r>
    </w:p>
    <w:p w:rsidR="00FE08FF" w:rsidRPr="00165401" w:rsidRDefault="00FE08FF" w:rsidP="00FE08FF">
      <w:pPr>
        <w:rPr>
          <w:rFonts w:eastAsia="Times New Roman"/>
          <w:szCs w:val="24"/>
          <w:lang w:eastAsia="cs-CZ"/>
        </w:rPr>
      </w:pPr>
      <w:r w:rsidRPr="00165401">
        <w:rPr>
          <w:rFonts w:eastAsia="Times New Roman"/>
          <w:szCs w:val="24"/>
          <w:lang w:eastAsia="cs-CZ"/>
        </w:rPr>
        <w:t>IČO:</w:t>
      </w:r>
      <w:r w:rsidRPr="00165401">
        <w:rPr>
          <w:rFonts w:eastAsia="Times New Roman"/>
          <w:szCs w:val="24"/>
          <w:lang w:eastAsia="cs-CZ"/>
        </w:rPr>
        <w:tab/>
      </w:r>
      <w:r w:rsidRPr="00165401">
        <w:rPr>
          <w:rFonts w:eastAsia="Times New Roman"/>
          <w:szCs w:val="24"/>
          <w:lang w:eastAsia="cs-CZ"/>
        </w:rPr>
        <w:tab/>
      </w:r>
      <w:r w:rsidRPr="00165401">
        <w:rPr>
          <w:rFonts w:eastAsia="Times New Roman"/>
          <w:szCs w:val="24"/>
          <w:lang w:eastAsia="cs-CZ"/>
        </w:rPr>
        <w:tab/>
        <w:t>70891168</w:t>
      </w:r>
    </w:p>
    <w:p w:rsidR="00FE08FF" w:rsidRPr="00165401" w:rsidRDefault="00FE08FF" w:rsidP="00FE08FF">
      <w:pPr>
        <w:rPr>
          <w:rFonts w:eastAsia="Times New Roman"/>
          <w:szCs w:val="24"/>
          <w:lang w:eastAsia="cs-CZ"/>
        </w:rPr>
      </w:pPr>
      <w:r w:rsidRPr="00165401">
        <w:rPr>
          <w:rFonts w:eastAsia="Times New Roman"/>
          <w:szCs w:val="24"/>
          <w:lang w:eastAsia="cs-CZ"/>
        </w:rPr>
        <w:t>DIČ:</w:t>
      </w:r>
      <w:r w:rsidRPr="00165401">
        <w:rPr>
          <w:rFonts w:eastAsia="Times New Roman"/>
          <w:szCs w:val="24"/>
          <w:lang w:eastAsia="cs-CZ"/>
        </w:rPr>
        <w:tab/>
      </w:r>
      <w:r w:rsidRPr="00165401">
        <w:rPr>
          <w:rFonts w:eastAsia="Times New Roman"/>
          <w:szCs w:val="24"/>
          <w:lang w:eastAsia="cs-CZ"/>
        </w:rPr>
        <w:tab/>
      </w:r>
      <w:r w:rsidRPr="00165401">
        <w:rPr>
          <w:rFonts w:eastAsia="Times New Roman"/>
          <w:szCs w:val="24"/>
          <w:lang w:eastAsia="cs-CZ"/>
        </w:rPr>
        <w:tab/>
      </w:r>
      <w:r w:rsidRPr="00165401">
        <w:rPr>
          <w:rFonts w:eastAsia="Times New Roman"/>
          <w:color w:val="000000"/>
          <w:szCs w:val="24"/>
          <w:lang w:eastAsia="cs-CZ"/>
        </w:rPr>
        <w:t>CZ</w:t>
      </w:r>
      <w:r w:rsidRPr="00165401">
        <w:rPr>
          <w:rFonts w:eastAsia="Times New Roman"/>
          <w:szCs w:val="24"/>
          <w:lang w:eastAsia="cs-CZ"/>
        </w:rPr>
        <w:t xml:space="preserve">70891168 </w:t>
      </w:r>
    </w:p>
    <w:p w:rsidR="00FE08FF" w:rsidRPr="00165401" w:rsidRDefault="00FE08FF" w:rsidP="00FE08FF">
      <w:pPr>
        <w:rPr>
          <w:rFonts w:eastAsia="Times New Roman"/>
          <w:szCs w:val="24"/>
          <w:lang w:eastAsia="cs-CZ"/>
        </w:rPr>
      </w:pPr>
      <w:r w:rsidRPr="00165401">
        <w:rPr>
          <w:rFonts w:eastAsia="Times New Roman"/>
          <w:szCs w:val="24"/>
          <w:lang w:eastAsia="cs-CZ"/>
        </w:rPr>
        <w:t>doručovací adresa:</w:t>
      </w:r>
      <w:r w:rsidRPr="00165401">
        <w:rPr>
          <w:rFonts w:eastAsia="Times New Roman"/>
          <w:szCs w:val="24"/>
          <w:lang w:eastAsia="cs-CZ"/>
        </w:rPr>
        <w:tab/>
        <w:t>Závodní 353/88, Karlovy Vary – Dvory, PSČ 360 06, DS: siqbxt2</w:t>
      </w:r>
    </w:p>
    <w:p w:rsidR="00FE08FF" w:rsidRDefault="00FE08FF" w:rsidP="00FE08FF">
      <w:pPr>
        <w:pStyle w:val="Style12"/>
        <w:widowControl/>
        <w:spacing w:line="240" w:lineRule="exact"/>
      </w:pPr>
      <w:r w:rsidRPr="00165401">
        <w:t>bank. spoj.:</w:t>
      </w:r>
      <w:r w:rsidRPr="00165401">
        <w:tab/>
      </w:r>
      <w:r w:rsidRPr="00165401">
        <w:tab/>
      </w:r>
      <w:proofErr w:type="spellStart"/>
      <w:r>
        <w:t>č.ú</w:t>
      </w:r>
      <w:proofErr w:type="spellEnd"/>
      <w:r>
        <w:t xml:space="preserve">.: </w:t>
      </w:r>
      <w:proofErr w:type="spellStart"/>
      <w:r w:rsidR="00381AA2">
        <w:t>xxxx</w:t>
      </w:r>
      <w:proofErr w:type="spellEnd"/>
    </w:p>
    <w:p w:rsidR="00FE08FF" w:rsidRDefault="00FE08FF" w:rsidP="00FE08FF">
      <w:pPr>
        <w:rPr>
          <w:color w:val="000000"/>
        </w:rPr>
      </w:pPr>
      <w:r>
        <w:rPr>
          <w:color w:val="000000"/>
        </w:rPr>
        <w:t xml:space="preserve">                                           </w:t>
      </w:r>
      <w:proofErr w:type="spellStart"/>
      <w:r w:rsidR="00381AA2">
        <w:rPr>
          <w:color w:val="000000"/>
        </w:rPr>
        <w:t>xxxx</w:t>
      </w:r>
      <w:proofErr w:type="spellEnd"/>
    </w:p>
    <w:p w:rsidR="00FE08FF" w:rsidRDefault="00FE08FF" w:rsidP="00FE08FF">
      <w:pPr>
        <w:rPr>
          <w:color w:val="000000"/>
        </w:rPr>
      </w:pPr>
      <w:r>
        <w:rPr>
          <w:color w:val="000000"/>
        </w:rPr>
        <w:t xml:space="preserve">                                           </w:t>
      </w:r>
      <w:proofErr w:type="spellStart"/>
      <w:r w:rsidR="00381AA2">
        <w:rPr>
          <w:color w:val="000000"/>
        </w:rPr>
        <w:t>xxxx</w:t>
      </w:r>
      <w:proofErr w:type="spellEnd"/>
      <w:r>
        <w:rPr>
          <w:color w:val="000000"/>
        </w:rPr>
        <w:t>              </w:t>
      </w:r>
    </w:p>
    <w:p w:rsidR="00FE08FF" w:rsidRDefault="00FE08FF" w:rsidP="00FE08FF">
      <w:pPr>
        <w:rPr>
          <w:color w:val="000000"/>
        </w:rPr>
      </w:pPr>
      <w:r>
        <w:rPr>
          <w:color w:val="000000"/>
        </w:rPr>
        <w:t xml:space="preserve">                                           </w:t>
      </w:r>
      <w:r w:rsidR="00381AA2">
        <w:rPr>
          <w:color w:val="000000"/>
        </w:rPr>
        <w:t>xxxx</w:t>
      </w:r>
      <w:r>
        <w:rPr>
          <w:color w:val="000000"/>
        </w:rPr>
        <w:t>                       </w:t>
      </w:r>
    </w:p>
    <w:p w:rsidR="00FE08FF" w:rsidRPr="00165401" w:rsidRDefault="00FE08FF" w:rsidP="00FE08FF">
      <w:pPr>
        <w:rPr>
          <w:rFonts w:eastAsia="Times New Roman"/>
          <w:szCs w:val="24"/>
          <w:lang w:eastAsia="cs-CZ"/>
        </w:rPr>
      </w:pPr>
      <w:r w:rsidRPr="00165401">
        <w:rPr>
          <w:rFonts w:eastAsia="Times New Roman"/>
          <w:szCs w:val="24"/>
          <w:lang w:eastAsia="cs-CZ"/>
        </w:rPr>
        <w:t xml:space="preserve"> (dále jen „poskytovatel“)</w:t>
      </w:r>
    </w:p>
    <w:p w:rsidR="00FE08FF" w:rsidRDefault="00FE08FF" w:rsidP="00FE08FF">
      <w:pPr>
        <w:jc w:val="both"/>
        <w:rPr>
          <w:szCs w:val="24"/>
        </w:rPr>
      </w:pPr>
    </w:p>
    <w:p w:rsidR="00FE08FF" w:rsidRPr="006F53F3" w:rsidRDefault="00FE08FF" w:rsidP="00FE08FF">
      <w:pPr>
        <w:jc w:val="both"/>
        <w:rPr>
          <w:szCs w:val="24"/>
        </w:rPr>
      </w:pPr>
      <w:r w:rsidRPr="006F53F3">
        <w:rPr>
          <w:szCs w:val="24"/>
        </w:rPr>
        <w:t>na straně jedné (dále také jen „Kraj“)</w:t>
      </w:r>
    </w:p>
    <w:p w:rsidR="00FE08FF" w:rsidRPr="006F53F3" w:rsidRDefault="00FE08FF" w:rsidP="00FE08FF">
      <w:pPr>
        <w:jc w:val="both"/>
        <w:rPr>
          <w:szCs w:val="24"/>
        </w:rPr>
      </w:pPr>
    </w:p>
    <w:p w:rsidR="00FE08FF" w:rsidRPr="006F53F3" w:rsidRDefault="00FE08FF" w:rsidP="00FE08FF">
      <w:pPr>
        <w:jc w:val="both"/>
        <w:rPr>
          <w:szCs w:val="24"/>
        </w:rPr>
      </w:pPr>
      <w:r w:rsidRPr="006F53F3">
        <w:rPr>
          <w:szCs w:val="24"/>
        </w:rPr>
        <w:t xml:space="preserve">a </w:t>
      </w:r>
    </w:p>
    <w:p w:rsidR="00FE08FF" w:rsidRPr="006F53F3" w:rsidRDefault="00FE08FF" w:rsidP="00FE08FF">
      <w:pPr>
        <w:jc w:val="both"/>
        <w:rPr>
          <w:szCs w:val="24"/>
        </w:rPr>
      </w:pPr>
    </w:p>
    <w:p w:rsidR="00FE08FF" w:rsidRPr="001E555F" w:rsidRDefault="00FE08FF" w:rsidP="00FE08FF">
      <w:pPr>
        <w:jc w:val="both"/>
        <w:rPr>
          <w:rFonts w:eastAsia="Times New Roman"/>
          <w:b/>
          <w:bCs/>
          <w:szCs w:val="24"/>
          <w:lang w:eastAsia="cs-CZ"/>
        </w:rPr>
      </w:pPr>
      <w:r w:rsidRPr="001E555F">
        <w:rPr>
          <w:rFonts w:eastAsia="Times New Roman"/>
          <w:b/>
          <w:bCs/>
          <w:szCs w:val="24"/>
          <w:lang w:eastAsia="cs-CZ"/>
        </w:rPr>
        <w:t>Nemocnice Mariánské Lázně s.r.o.,</w:t>
      </w:r>
    </w:p>
    <w:p w:rsidR="00FE08FF" w:rsidRPr="001E555F" w:rsidRDefault="00FE08FF" w:rsidP="00FE08FF">
      <w:pPr>
        <w:rPr>
          <w:rFonts w:eastAsia="Times New Roman"/>
          <w:szCs w:val="24"/>
          <w:lang w:eastAsia="cs-CZ"/>
        </w:rPr>
      </w:pPr>
      <w:r w:rsidRPr="001E555F">
        <w:rPr>
          <w:rFonts w:eastAsia="Times New Roman"/>
          <w:szCs w:val="24"/>
          <w:lang w:eastAsia="cs-CZ"/>
        </w:rPr>
        <w:t xml:space="preserve">se sídlem: </w:t>
      </w:r>
      <w:r w:rsidRPr="001E555F">
        <w:rPr>
          <w:rFonts w:eastAsia="Times New Roman"/>
          <w:szCs w:val="24"/>
          <w:lang w:eastAsia="cs-CZ"/>
        </w:rPr>
        <w:tab/>
      </w:r>
      <w:r w:rsidRPr="001E555F">
        <w:rPr>
          <w:rFonts w:eastAsia="Times New Roman"/>
          <w:szCs w:val="24"/>
          <w:lang w:eastAsia="cs-CZ"/>
        </w:rPr>
        <w:tab/>
        <w:t>U Nemocnice 91/3, Úšovice, 353 Mariánské Lázně</w:t>
      </w:r>
    </w:p>
    <w:p w:rsidR="00FE08FF" w:rsidRPr="001E555F" w:rsidRDefault="00FE08FF" w:rsidP="00FE08FF">
      <w:pPr>
        <w:rPr>
          <w:rFonts w:eastAsia="Times New Roman"/>
          <w:szCs w:val="24"/>
          <w:lang w:eastAsia="cs-CZ"/>
        </w:rPr>
      </w:pPr>
      <w:r w:rsidRPr="001E555F">
        <w:rPr>
          <w:rFonts w:eastAsia="Times New Roman"/>
          <w:szCs w:val="24"/>
          <w:lang w:eastAsia="cs-CZ"/>
        </w:rPr>
        <w:t>zastoupená:</w:t>
      </w:r>
      <w:r w:rsidRPr="001E555F">
        <w:rPr>
          <w:rFonts w:eastAsia="Times New Roman"/>
          <w:szCs w:val="24"/>
          <w:lang w:eastAsia="cs-CZ"/>
        </w:rPr>
        <w:tab/>
      </w:r>
      <w:r w:rsidRPr="001E555F">
        <w:rPr>
          <w:rFonts w:eastAsia="Times New Roman"/>
          <w:szCs w:val="24"/>
          <w:lang w:eastAsia="cs-CZ"/>
        </w:rPr>
        <w:tab/>
        <w:t>JUDr. Václavem Smělíkem, jednatelem</w:t>
      </w:r>
    </w:p>
    <w:p w:rsidR="00FE08FF" w:rsidRPr="001E555F" w:rsidRDefault="00FE08FF" w:rsidP="00FE08FF">
      <w:pPr>
        <w:rPr>
          <w:rFonts w:eastAsia="Times New Roman"/>
          <w:szCs w:val="24"/>
          <w:lang w:eastAsia="cs-CZ"/>
        </w:rPr>
      </w:pPr>
      <w:r w:rsidRPr="001E555F">
        <w:rPr>
          <w:rFonts w:eastAsia="Times New Roman"/>
          <w:szCs w:val="24"/>
          <w:lang w:eastAsia="cs-CZ"/>
        </w:rPr>
        <w:tab/>
      </w:r>
      <w:r w:rsidRPr="001E555F">
        <w:rPr>
          <w:rFonts w:eastAsia="Times New Roman"/>
          <w:szCs w:val="24"/>
          <w:lang w:eastAsia="cs-CZ"/>
        </w:rPr>
        <w:tab/>
      </w:r>
      <w:r w:rsidRPr="001E555F">
        <w:rPr>
          <w:rFonts w:eastAsia="Times New Roman"/>
          <w:szCs w:val="24"/>
          <w:lang w:eastAsia="cs-CZ"/>
        </w:rPr>
        <w:tab/>
        <w:t>Petrou komínkovou, jednatelkou</w:t>
      </w:r>
    </w:p>
    <w:p w:rsidR="00FE08FF" w:rsidRPr="00BD5151" w:rsidRDefault="00FE08FF" w:rsidP="00FE08FF">
      <w:pPr>
        <w:rPr>
          <w:rFonts w:eastAsia="Times New Roman"/>
          <w:caps/>
          <w:szCs w:val="24"/>
          <w:lang w:eastAsia="cs-CZ"/>
        </w:rPr>
      </w:pPr>
      <w:r w:rsidRPr="00BD5151">
        <w:rPr>
          <w:rFonts w:eastAsia="Times New Roman"/>
          <w:caps/>
          <w:szCs w:val="24"/>
          <w:lang w:eastAsia="cs-CZ"/>
        </w:rPr>
        <w:t>IČO:</w:t>
      </w:r>
      <w:r w:rsidRPr="00BD5151">
        <w:rPr>
          <w:rFonts w:eastAsia="Times New Roman"/>
          <w:caps/>
          <w:szCs w:val="24"/>
          <w:lang w:eastAsia="cs-CZ"/>
        </w:rPr>
        <w:tab/>
      </w:r>
      <w:r w:rsidRPr="00BD5151">
        <w:rPr>
          <w:rFonts w:eastAsia="Times New Roman"/>
          <w:caps/>
          <w:szCs w:val="24"/>
          <w:lang w:eastAsia="cs-CZ"/>
        </w:rPr>
        <w:tab/>
      </w:r>
      <w:r w:rsidRPr="00BD5151">
        <w:rPr>
          <w:rFonts w:eastAsia="Times New Roman"/>
          <w:caps/>
          <w:szCs w:val="24"/>
          <w:lang w:eastAsia="cs-CZ"/>
        </w:rPr>
        <w:tab/>
      </w:r>
      <w:r w:rsidR="008E0926">
        <w:rPr>
          <w:rFonts w:eastAsia="Times New Roman"/>
          <w:caps/>
          <w:szCs w:val="24"/>
          <w:lang w:eastAsia="cs-CZ"/>
        </w:rPr>
        <w:t>263 76 709</w:t>
      </w:r>
      <w:r w:rsidRPr="00BD5151">
        <w:rPr>
          <w:rFonts w:eastAsia="Times New Roman"/>
          <w:caps/>
          <w:szCs w:val="24"/>
          <w:lang w:eastAsia="cs-CZ"/>
        </w:rPr>
        <w:tab/>
      </w:r>
      <w:r w:rsidRPr="00BD5151">
        <w:rPr>
          <w:rFonts w:eastAsia="Times New Roman"/>
          <w:caps/>
          <w:szCs w:val="24"/>
          <w:lang w:eastAsia="cs-CZ"/>
        </w:rPr>
        <w:tab/>
      </w:r>
    </w:p>
    <w:p w:rsidR="00FE08FF" w:rsidRPr="008E0926" w:rsidRDefault="00FE08FF" w:rsidP="00FE08FF">
      <w:pPr>
        <w:rPr>
          <w:rFonts w:eastAsia="Times New Roman"/>
          <w:szCs w:val="24"/>
          <w:lang w:eastAsia="cs-CZ"/>
        </w:rPr>
      </w:pPr>
      <w:r w:rsidRPr="008E0926">
        <w:rPr>
          <w:rFonts w:eastAsia="Times New Roman"/>
          <w:szCs w:val="24"/>
          <w:lang w:eastAsia="cs-CZ"/>
        </w:rPr>
        <w:t>DIČ:</w:t>
      </w:r>
      <w:r w:rsidRPr="008E0926">
        <w:rPr>
          <w:rFonts w:eastAsia="Times New Roman"/>
          <w:szCs w:val="24"/>
          <w:lang w:eastAsia="cs-CZ"/>
        </w:rPr>
        <w:tab/>
      </w:r>
      <w:r w:rsidRPr="008E0926">
        <w:rPr>
          <w:rFonts w:eastAsia="Times New Roman"/>
          <w:szCs w:val="24"/>
          <w:lang w:eastAsia="cs-CZ"/>
        </w:rPr>
        <w:tab/>
      </w:r>
      <w:r w:rsidRPr="008E0926">
        <w:rPr>
          <w:rFonts w:eastAsia="Times New Roman"/>
          <w:szCs w:val="24"/>
          <w:lang w:eastAsia="cs-CZ"/>
        </w:rPr>
        <w:tab/>
      </w:r>
      <w:r w:rsidR="008E0926">
        <w:rPr>
          <w:rFonts w:eastAsia="Times New Roman"/>
          <w:color w:val="333333"/>
          <w:szCs w:val="24"/>
          <w:lang w:eastAsia="cs-CZ"/>
        </w:rPr>
        <w:t>CZ26376709</w:t>
      </w:r>
    </w:p>
    <w:p w:rsidR="00FE08FF" w:rsidRPr="008E0926" w:rsidRDefault="00FE08FF" w:rsidP="00FE08FF">
      <w:pPr>
        <w:rPr>
          <w:rFonts w:eastAsia="Times New Roman"/>
          <w:szCs w:val="24"/>
          <w:lang w:eastAsia="cs-CZ"/>
        </w:rPr>
      </w:pPr>
      <w:r w:rsidRPr="008E0926">
        <w:rPr>
          <w:rFonts w:eastAsia="Times New Roman"/>
          <w:szCs w:val="24"/>
          <w:lang w:eastAsia="cs-CZ"/>
        </w:rPr>
        <w:t>bank. spoj.:</w:t>
      </w:r>
      <w:r w:rsidRPr="008E0926">
        <w:rPr>
          <w:rFonts w:eastAsia="Times New Roman"/>
          <w:szCs w:val="24"/>
          <w:lang w:eastAsia="cs-CZ"/>
        </w:rPr>
        <w:tab/>
      </w:r>
      <w:r w:rsidRPr="008E0926">
        <w:rPr>
          <w:rFonts w:eastAsia="Times New Roman"/>
          <w:szCs w:val="24"/>
          <w:lang w:eastAsia="cs-CZ"/>
        </w:rPr>
        <w:tab/>
      </w:r>
      <w:r w:rsidR="008E0926">
        <w:rPr>
          <w:rFonts w:eastAsia="Times New Roman"/>
          <w:szCs w:val="24"/>
          <w:lang w:eastAsia="cs-CZ"/>
        </w:rPr>
        <w:t>Komerční banka, a.s.</w:t>
      </w:r>
    </w:p>
    <w:p w:rsidR="00FE08FF" w:rsidRPr="008E0926" w:rsidRDefault="00FE08FF" w:rsidP="00FE08FF">
      <w:pPr>
        <w:rPr>
          <w:rFonts w:eastAsia="Times New Roman"/>
          <w:szCs w:val="24"/>
          <w:lang w:eastAsia="cs-CZ"/>
        </w:rPr>
      </w:pPr>
      <w:r w:rsidRPr="008E0926">
        <w:rPr>
          <w:rFonts w:eastAsia="Times New Roman"/>
          <w:szCs w:val="24"/>
          <w:lang w:eastAsia="cs-CZ"/>
        </w:rPr>
        <w:t>číslo účtu:</w:t>
      </w:r>
      <w:r w:rsidRPr="008E0926">
        <w:rPr>
          <w:rFonts w:eastAsia="Times New Roman"/>
          <w:szCs w:val="24"/>
          <w:lang w:eastAsia="cs-CZ"/>
        </w:rPr>
        <w:tab/>
      </w:r>
      <w:r w:rsidRPr="008E0926">
        <w:rPr>
          <w:rFonts w:eastAsia="Times New Roman"/>
          <w:szCs w:val="24"/>
          <w:lang w:eastAsia="cs-CZ"/>
        </w:rPr>
        <w:tab/>
      </w:r>
      <w:proofErr w:type="spellStart"/>
      <w:r w:rsidR="008E0926">
        <w:rPr>
          <w:rFonts w:eastAsia="Times New Roman"/>
          <w:szCs w:val="24"/>
          <w:lang w:eastAsia="cs-CZ"/>
        </w:rPr>
        <w:t>xxxx</w:t>
      </w:r>
      <w:proofErr w:type="spellEnd"/>
    </w:p>
    <w:p w:rsidR="00FE08FF" w:rsidRPr="00BD5151" w:rsidRDefault="00FE08FF" w:rsidP="00FE08FF">
      <w:pPr>
        <w:jc w:val="both"/>
        <w:rPr>
          <w:szCs w:val="24"/>
        </w:rPr>
      </w:pPr>
      <w:r w:rsidRPr="00BD5151">
        <w:rPr>
          <w:rFonts w:eastAsia="Times New Roman"/>
          <w:szCs w:val="24"/>
          <w:lang w:eastAsia="cs-CZ"/>
        </w:rPr>
        <w:t xml:space="preserve">Registrace ve veřejném rejstříku: vedená u Krajského soudu v Plzni, oddíl C, vložka 16415 </w:t>
      </w:r>
    </w:p>
    <w:p w:rsidR="00FE08FF" w:rsidRDefault="00FE08FF" w:rsidP="00FE08FF">
      <w:pPr>
        <w:jc w:val="both"/>
        <w:rPr>
          <w:szCs w:val="24"/>
        </w:rPr>
      </w:pPr>
    </w:p>
    <w:p w:rsidR="00FE08FF" w:rsidRPr="006F53F3" w:rsidRDefault="00FE08FF" w:rsidP="00FE08FF">
      <w:pPr>
        <w:jc w:val="both"/>
        <w:rPr>
          <w:szCs w:val="24"/>
        </w:rPr>
      </w:pPr>
      <w:r w:rsidRPr="00BD5151">
        <w:rPr>
          <w:szCs w:val="24"/>
        </w:rPr>
        <w:t>na straně druhé (dále jen „Nemocnice“)</w:t>
      </w:r>
    </w:p>
    <w:p w:rsidR="00FE08FF" w:rsidRDefault="00FE08FF" w:rsidP="00FE08FF">
      <w:pPr>
        <w:jc w:val="both"/>
        <w:rPr>
          <w:szCs w:val="24"/>
        </w:rPr>
      </w:pPr>
    </w:p>
    <w:p w:rsidR="00FE08FF" w:rsidRPr="006F53F3" w:rsidRDefault="00FE08FF" w:rsidP="00FE08FF">
      <w:pPr>
        <w:jc w:val="both"/>
        <w:rPr>
          <w:szCs w:val="24"/>
        </w:rPr>
      </w:pPr>
      <w:r w:rsidRPr="006F53F3">
        <w:rPr>
          <w:szCs w:val="24"/>
        </w:rPr>
        <w:t xml:space="preserve">uzavřely níže uvedeného dne, měsíce a roku tuto: </w:t>
      </w:r>
    </w:p>
    <w:p w:rsidR="00FE08FF" w:rsidRPr="006F53F3" w:rsidRDefault="00FE08FF" w:rsidP="00FE08FF">
      <w:pPr>
        <w:jc w:val="both"/>
        <w:rPr>
          <w:szCs w:val="24"/>
        </w:rPr>
      </w:pPr>
    </w:p>
    <w:p w:rsidR="00FE08FF" w:rsidRPr="006F53F3" w:rsidRDefault="00FE08FF" w:rsidP="00FE08FF">
      <w:pPr>
        <w:jc w:val="both"/>
        <w:rPr>
          <w:szCs w:val="24"/>
        </w:rPr>
      </w:pPr>
    </w:p>
    <w:p w:rsidR="00FE08FF" w:rsidRPr="006F53F3" w:rsidRDefault="00FE08FF" w:rsidP="00FE08FF">
      <w:pPr>
        <w:jc w:val="center"/>
        <w:rPr>
          <w:b/>
          <w:sz w:val="44"/>
          <w:szCs w:val="44"/>
        </w:rPr>
      </w:pPr>
      <w:r w:rsidRPr="006F53F3">
        <w:rPr>
          <w:b/>
          <w:sz w:val="44"/>
          <w:szCs w:val="44"/>
        </w:rPr>
        <w:t>S M L O U V U</w:t>
      </w:r>
    </w:p>
    <w:p w:rsidR="00FE08FF" w:rsidRPr="006F53F3" w:rsidRDefault="00FE08FF" w:rsidP="00FE08FF">
      <w:pPr>
        <w:jc w:val="center"/>
        <w:rPr>
          <w:b/>
          <w:sz w:val="32"/>
          <w:szCs w:val="32"/>
        </w:rPr>
      </w:pPr>
      <w:r w:rsidRPr="006F53F3">
        <w:rPr>
          <w:b/>
          <w:sz w:val="32"/>
          <w:szCs w:val="32"/>
        </w:rPr>
        <w:t>o poskytování zdravotních služeb</w:t>
      </w:r>
      <w:r>
        <w:rPr>
          <w:b/>
          <w:sz w:val="32"/>
          <w:szCs w:val="32"/>
        </w:rPr>
        <w:t xml:space="preserve"> </w:t>
      </w:r>
      <w:r w:rsidRPr="006F53F3">
        <w:rPr>
          <w:b/>
          <w:sz w:val="32"/>
          <w:szCs w:val="32"/>
        </w:rPr>
        <w:t>jako služeb obecného hospodářského zájmu</w:t>
      </w:r>
      <w:r>
        <w:rPr>
          <w:b/>
          <w:sz w:val="32"/>
          <w:szCs w:val="32"/>
        </w:rPr>
        <w:t xml:space="preserve"> společností</w:t>
      </w:r>
      <w:r w:rsidRPr="006F53F3">
        <w:rPr>
          <w:b/>
          <w:sz w:val="32"/>
          <w:szCs w:val="32"/>
        </w:rPr>
        <w:t xml:space="preserve"> </w:t>
      </w:r>
      <w:r w:rsidRPr="00CB7D91">
        <w:rPr>
          <w:b/>
          <w:sz w:val="32"/>
          <w:szCs w:val="32"/>
        </w:rPr>
        <w:t>Nemocnice Mariánské Lázně s.r.o. provozující nemocnici M</w:t>
      </w:r>
      <w:r>
        <w:rPr>
          <w:b/>
          <w:sz w:val="32"/>
          <w:szCs w:val="32"/>
        </w:rPr>
        <w:t>ariánské Lázně (dále také „Smlouva“)</w:t>
      </w:r>
    </w:p>
    <w:p w:rsidR="00FE08FF" w:rsidRPr="006F53F3" w:rsidRDefault="00FE08FF" w:rsidP="00FE08FF">
      <w:pPr>
        <w:jc w:val="center"/>
        <w:rPr>
          <w:b/>
          <w:szCs w:val="24"/>
        </w:rPr>
      </w:pPr>
    </w:p>
    <w:p w:rsidR="00FE08FF" w:rsidRPr="006F53F3" w:rsidRDefault="00FE08FF" w:rsidP="00FE08FF">
      <w:pPr>
        <w:jc w:val="center"/>
        <w:rPr>
          <w:b/>
          <w:szCs w:val="24"/>
        </w:rPr>
      </w:pPr>
    </w:p>
    <w:p w:rsidR="00FE08FF" w:rsidRPr="006F53F3" w:rsidRDefault="00FE08FF" w:rsidP="00FE08FF">
      <w:pPr>
        <w:jc w:val="center"/>
        <w:rPr>
          <w:b/>
          <w:szCs w:val="24"/>
          <w:u w:val="single"/>
        </w:rPr>
      </w:pPr>
      <w:r w:rsidRPr="006F53F3">
        <w:rPr>
          <w:b/>
          <w:szCs w:val="24"/>
          <w:u w:val="single"/>
        </w:rPr>
        <w:t>Preambule</w:t>
      </w:r>
    </w:p>
    <w:p w:rsidR="00FE08FF" w:rsidRPr="006F53F3" w:rsidRDefault="00FE08FF" w:rsidP="00FE08FF">
      <w:pPr>
        <w:jc w:val="both"/>
        <w:rPr>
          <w:szCs w:val="24"/>
        </w:rPr>
      </w:pPr>
    </w:p>
    <w:p w:rsidR="00FE08FF" w:rsidRPr="006F53F3" w:rsidRDefault="00FE08FF" w:rsidP="00FE08FF">
      <w:pPr>
        <w:jc w:val="both"/>
        <w:rPr>
          <w:szCs w:val="24"/>
        </w:rPr>
      </w:pPr>
      <w:r w:rsidRPr="006F53F3">
        <w:rPr>
          <w:szCs w:val="24"/>
        </w:rPr>
        <w:t xml:space="preserve">Usnesením Zastupitelstva </w:t>
      </w:r>
      <w:r>
        <w:rPr>
          <w:szCs w:val="24"/>
        </w:rPr>
        <w:t>Karlovarského</w:t>
      </w:r>
      <w:r w:rsidRPr="006F53F3">
        <w:rPr>
          <w:szCs w:val="24"/>
        </w:rPr>
        <w:t xml:space="preserve"> kraje </w:t>
      </w:r>
      <w:r w:rsidRPr="00EB3414">
        <w:rPr>
          <w:szCs w:val="24"/>
        </w:rPr>
        <w:t xml:space="preserve">č. </w:t>
      </w:r>
      <w:r w:rsidR="00EB3414">
        <w:rPr>
          <w:szCs w:val="24"/>
        </w:rPr>
        <w:t>ZK 50/02/19</w:t>
      </w:r>
      <w:r w:rsidRPr="00EB3414">
        <w:rPr>
          <w:szCs w:val="24"/>
        </w:rPr>
        <w:t xml:space="preserve"> ze dne </w:t>
      </w:r>
      <w:r w:rsidR="00EB3414">
        <w:rPr>
          <w:szCs w:val="24"/>
        </w:rPr>
        <w:t>28.02.2019</w:t>
      </w:r>
      <w:r w:rsidRPr="006F53F3">
        <w:rPr>
          <w:szCs w:val="24"/>
        </w:rPr>
        <w:t xml:space="preserve"> Kraj vymezil zdravotní služby poskytované Nemocnicí jako služby obecného hospodářského zájmu a v souladu s Rozhodnutím Komise 2012/21/EU</w:t>
      </w:r>
      <w:r w:rsidRPr="006F53F3">
        <w:rPr>
          <w:bCs/>
          <w:color w:val="000000"/>
          <w:szCs w:val="24"/>
        </w:rPr>
        <w:t xml:space="preserve"> ze dne 20. prosince 2011 o použití čl. 106 odst. 2 Smlouvy o fungování Evropské unie na státní podporu ve formě vyrovnávací platby za</w:t>
      </w:r>
      <w:r>
        <w:rPr>
          <w:bCs/>
          <w:color w:val="000000"/>
          <w:szCs w:val="24"/>
        </w:rPr>
        <w:t> </w:t>
      </w:r>
      <w:r w:rsidRPr="006F53F3">
        <w:rPr>
          <w:bCs/>
          <w:color w:val="000000"/>
          <w:szCs w:val="24"/>
        </w:rPr>
        <w:t xml:space="preserve">závazek veřejné služby udělené určitým podnikům pověřeným poskytováním služeb </w:t>
      </w:r>
      <w:r w:rsidRPr="006F53F3">
        <w:rPr>
          <w:bCs/>
          <w:color w:val="000000"/>
          <w:szCs w:val="24"/>
        </w:rPr>
        <w:lastRenderedPageBreak/>
        <w:t xml:space="preserve">obecného hospodářského zájmu </w:t>
      </w:r>
      <w:r w:rsidRPr="006F53F3">
        <w:rPr>
          <w:szCs w:val="24"/>
        </w:rPr>
        <w:t xml:space="preserve">pověřil Nemocnici poskytováním těchto služeb pro příslušné území, jakožto závazkem veřejné služby. Vedeny snahou přesně vymezit svá vzájemná práva a povinnosti z uvedeného aktu Kraje vyplývající uzavírají smluvní strany tuto smlouvu o poskytování zdravotních služeb </w:t>
      </w:r>
      <w:r>
        <w:rPr>
          <w:szCs w:val="24"/>
        </w:rPr>
        <w:t xml:space="preserve">Nemocnice Mariánské Lázně s.r.o. </w:t>
      </w:r>
      <w:r w:rsidRPr="006F53F3">
        <w:rPr>
          <w:szCs w:val="24"/>
        </w:rPr>
        <w:t xml:space="preserve"> jako služeb obecného hospodářského zájmu. </w:t>
      </w:r>
    </w:p>
    <w:p w:rsidR="00FE08FF" w:rsidRPr="006F53F3" w:rsidRDefault="00FE08FF" w:rsidP="00FE08FF">
      <w:pPr>
        <w:jc w:val="center"/>
        <w:rPr>
          <w:b/>
          <w:szCs w:val="24"/>
        </w:rPr>
      </w:pPr>
      <w:r w:rsidRPr="006F53F3">
        <w:rPr>
          <w:b/>
          <w:szCs w:val="24"/>
        </w:rPr>
        <w:t>I.</w:t>
      </w:r>
    </w:p>
    <w:p w:rsidR="00FE08FF" w:rsidRPr="006F53F3" w:rsidRDefault="00FE08FF" w:rsidP="00FE08FF">
      <w:pPr>
        <w:jc w:val="center"/>
        <w:rPr>
          <w:b/>
          <w:szCs w:val="24"/>
          <w:u w:val="single"/>
        </w:rPr>
      </w:pPr>
      <w:r w:rsidRPr="006F53F3">
        <w:rPr>
          <w:b/>
          <w:szCs w:val="24"/>
          <w:u w:val="single"/>
        </w:rPr>
        <w:t>Předmět smlouvy</w:t>
      </w:r>
    </w:p>
    <w:p w:rsidR="00FE08FF" w:rsidRPr="006F53F3" w:rsidRDefault="00FE08FF" w:rsidP="00FE08FF">
      <w:pPr>
        <w:jc w:val="both"/>
        <w:rPr>
          <w:szCs w:val="24"/>
        </w:rPr>
      </w:pPr>
    </w:p>
    <w:p w:rsidR="00FE08FF" w:rsidRPr="006F53F3" w:rsidRDefault="00FE08FF" w:rsidP="00FE08FF">
      <w:pPr>
        <w:jc w:val="both"/>
        <w:rPr>
          <w:szCs w:val="24"/>
        </w:rPr>
      </w:pPr>
      <w:r w:rsidRPr="006F53F3">
        <w:rPr>
          <w:szCs w:val="24"/>
        </w:rPr>
        <w:t xml:space="preserve">Předmětem této </w:t>
      </w:r>
      <w:r>
        <w:rPr>
          <w:szCs w:val="24"/>
        </w:rPr>
        <w:t>S</w:t>
      </w:r>
      <w:r w:rsidRPr="006F53F3">
        <w:rPr>
          <w:szCs w:val="24"/>
        </w:rPr>
        <w:t xml:space="preserve">mlouvy je pověření Nemocnice poskytováním zdravotních služeb jako služeb obecného hospodářského zájmu na dobu trvání této </w:t>
      </w:r>
      <w:r>
        <w:rPr>
          <w:szCs w:val="24"/>
        </w:rPr>
        <w:t>S</w:t>
      </w:r>
      <w:r w:rsidRPr="006F53F3">
        <w:rPr>
          <w:szCs w:val="24"/>
        </w:rPr>
        <w:t>mlouvy a pro území dále specifikované.</w:t>
      </w:r>
    </w:p>
    <w:p w:rsidR="00FE08FF" w:rsidRPr="006F53F3" w:rsidRDefault="00FE08FF" w:rsidP="00FE08FF">
      <w:pPr>
        <w:jc w:val="both"/>
        <w:rPr>
          <w:szCs w:val="24"/>
        </w:rPr>
      </w:pPr>
    </w:p>
    <w:p w:rsidR="00FE08FF" w:rsidRPr="006F53F3" w:rsidRDefault="00FE08FF" w:rsidP="00FE08FF">
      <w:pPr>
        <w:jc w:val="both"/>
        <w:rPr>
          <w:szCs w:val="24"/>
        </w:rPr>
      </w:pPr>
      <w:r w:rsidRPr="006F53F3">
        <w:rPr>
          <w:szCs w:val="24"/>
        </w:rPr>
        <w:t xml:space="preserve">Nemocnice se touto </w:t>
      </w:r>
      <w:r>
        <w:rPr>
          <w:szCs w:val="24"/>
        </w:rPr>
        <w:t>S</w:t>
      </w:r>
      <w:r w:rsidRPr="006F53F3">
        <w:rPr>
          <w:szCs w:val="24"/>
        </w:rPr>
        <w:t>mlouvou zavazuje po dobu</w:t>
      </w:r>
      <w:r>
        <w:rPr>
          <w:szCs w:val="24"/>
        </w:rPr>
        <w:t xml:space="preserve"> jejího</w:t>
      </w:r>
      <w:r w:rsidRPr="006F53F3">
        <w:rPr>
          <w:szCs w:val="24"/>
        </w:rPr>
        <w:t xml:space="preserve"> trvání a za podmínek dále v této </w:t>
      </w:r>
      <w:r>
        <w:rPr>
          <w:szCs w:val="24"/>
        </w:rPr>
        <w:t>S</w:t>
      </w:r>
      <w:r w:rsidRPr="006F53F3">
        <w:rPr>
          <w:szCs w:val="24"/>
        </w:rPr>
        <w:t xml:space="preserve">mlouvě stanovených poskytovat níže specifikované zdravotní služby jako služby obecného hospodářského zájmu, přičemž Kraj se naproti tomu zavazuje poskytovat Nemocnici na poskytování těchto služeb vyrovnávací platbu za závazek veřejné služby způsobem níže v této </w:t>
      </w:r>
      <w:r>
        <w:rPr>
          <w:szCs w:val="24"/>
        </w:rPr>
        <w:t>S</w:t>
      </w:r>
      <w:r w:rsidRPr="006F53F3">
        <w:rPr>
          <w:szCs w:val="24"/>
        </w:rPr>
        <w:t>mlouvě dohodnutým.</w:t>
      </w:r>
    </w:p>
    <w:p w:rsidR="00FE08FF" w:rsidRPr="006F53F3" w:rsidRDefault="00FE08FF" w:rsidP="00FE08FF">
      <w:pPr>
        <w:jc w:val="center"/>
        <w:rPr>
          <w:b/>
          <w:szCs w:val="24"/>
        </w:rPr>
      </w:pPr>
    </w:p>
    <w:p w:rsidR="00FE08FF" w:rsidRPr="006F53F3" w:rsidRDefault="00FE08FF" w:rsidP="00FE08FF">
      <w:pPr>
        <w:jc w:val="center"/>
        <w:rPr>
          <w:b/>
          <w:szCs w:val="24"/>
        </w:rPr>
      </w:pPr>
    </w:p>
    <w:p w:rsidR="00FE08FF" w:rsidRPr="006F53F3" w:rsidRDefault="00FE08FF" w:rsidP="00FE08FF">
      <w:pPr>
        <w:jc w:val="center"/>
        <w:rPr>
          <w:b/>
          <w:szCs w:val="24"/>
        </w:rPr>
      </w:pPr>
      <w:r w:rsidRPr="006F53F3">
        <w:rPr>
          <w:b/>
          <w:szCs w:val="24"/>
        </w:rPr>
        <w:t>II.</w:t>
      </w:r>
    </w:p>
    <w:p w:rsidR="00FE08FF" w:rsidRPr="006F53F3" w:rsidRDefault="00FE08FF" w:rsidP="00FE08FF">
      <w:pPr>
        <w:jc w:val="center"/>
        <w:rPr>
          <w:b/>
          <w:szCs w:val="24"/>
          <w:u w:val="single"/>
        </w:rPr>
      </w:pPr>
      <w:r w:rsidRPr="006F53F3">
        <w:rPr>
          <w:b/>
          <w:szCs w:val="24"/>
          <w:u w:val="single"/>
        </w:rPr>
        <w:t>Vymezení zdravotních služeb jako služeb obecného hospodářského zájmu</w:t>
      </w:r>
    </w:p>
    <w:p w:rsidR="00FE08FF" w:rsidRPr="006F53F3" w:rsidRDefault="00FE08FF" w:rsidP="00FE08FF">
      <w:pPr>
        <w:jc w:val="both"/>
        <w:rPr>
          <w:szCs w:val="24"/>
        </w:rPr>
      </w:pPr>
    </w:p>
    <w:p w:rsidR="00FE08FF" w:rsidRPr="006F53F3" w:rsidRDefault="00FE08FF" w:rsidP="00FE08FF">
      <w:pPr>
        <w:jc w:val="both"/>
        <w:rPr>
          <w:szCs w:val="24"/>
        </w:rPr>
      </w:pPr>
      <w:r w:rsidRPr="006F53F3">
        <w:rPr>
          <w:szCs w:val="24"/>
        </w:rPr>
        <w:t xml:space="preserve">Pro účely této </w:t>
      </w:r>
      <w:r>
        <w:rPr>
          <w:szCs w:val="24"/>
        </w:rPr>
        <w:t>S</w:t>
      </w:r>
      <w:r w:rsidRPr="006F53F3">
        <w:rPr>
          <w:szCs w:val="24"/>
        </w:rPr>
        <w:t xml:space="preserve">mlouvy se za služby obecného hospodářského zájmu považují tyto v usnesení Zastupitelstva </w:t>
      </w:r>
      <w:r>
        <w:rPr>
          <w:szCs w:val="24"/>
        </w:rPr>
        <w:t>Karlovarského</w:t>
      </w:r>
      <w:r w:rsidRPr="006F53F3">
        <w:rPr>
          <w:szCs w:val="24"/>
        </w:rPr>
        <w:t xml:space="preserve"> kraje uvedeném v preambuli této </w:t>
      </w:r>
      <w:r>
        <w:rPr>
          <w:szCs w:val="24"/>
        </w:rPr>
        <w:t>S</w:t>
      </w:r>
      <w:r w:rsidRPr="006F53F3">
        <w:rPr>
          <w:szCs w:val="24"/>
        </w:rPr>
        <w:t>mlouvy vymezené zdravotní služby:</w:t>
      </w:r>
    </w:p>
    <w:p w:rsidR="00FE08FF" w:rsidRPr="006F53F3" w:rsidRDefault="00FE08FF" w:rsidP="00FE08FF">
      <w:pPr>
        <w:rPr>
          <w:szCs w:val="24"/>
        </w:rPr>
      </w:pPr>
    </w:p>
    <w:p w:rsidR="00FE08FF" w:rsidRPr="00F247EE" w:rsidRDefault="00FE08FF" w:rsidP="00FE08FF">
      <w:pPr>
        <w:pStyle w:val="PKNormal"/>
        <w:numPr>
          <w:ilvl w:val="0"/>
          <w:numId w:val="11"/>
        </w:numPr>
      </w:pPr>
      <w:bookmarkStart w:id="0" w:name="_Toc420400101"/>
      <w:r w:rsidRPr="00F247EE">
        <w:rPr>
          <w:rFonts w:ascii="Times New Roman" w:eastAsia="Calibri" w:hAnsi="Times New Roman"/>
          <w:b/>
          <w:lang w:bidi="ar-SA"/>
        </w:rPr>
        <w:t xml:space="preserve">Zdravotní služby poskytované v rámci  lékařské </w:t>
      </w:r>
      <w:bookmarkEnd w:id="0"/>
      <w:r w:rsidRPr="00F247EE">
        <w:rPr>
          <w:rFonts w:ascii="Times New Roman" w:eastAsia="Calibri" w:hAnsi="Times New Roman"/>
          <w:b/>
          <w:lang w:bidi="ar-SA"/>
        </w:rPr>
        <w:t xml:space="preserve">pohotovostní služby  - obor všeobecné praktické lékařství v nemocnici Mariánské Lázně, na adrese </w:t>
      </w:r>
      <w:r w:rsidRPr="00F247EE">
        <w:rPr>
          <w:rFonts w:ascii="Times New Roman" w:hAnsi="Times New Roman"/>
          <w:b/>
          <w:sz w:val="22"/>
          <w:szCs w:val="22"/>
        </w:rPr>
        <w:t xml:space="preserve">U Nemocnice 91/3, Úšovice, 353 01 Mariánské Lázně, </w:t>
      </w:r>
    </w:p>
    <w:p w:rsidR="00FE08FF" w:rsidRPr="00F247EE" w:rsidRDefault="00FE08FF" w:rsidP="00FE08FF">
      <w:pPr>
        <w:pStyle w:val="PKNormal"/>
        <w:numPr>
          <w:ilvl w:val="0"/>
          <w:numId w:val="11"/>
        </w:numPr>
      </w:pPr>
      <w:r w:rsidRPr="00F247EE">
        <w:rPr>
          <w:rFonts w:ascii="Times New Roman" w:eastAsia="Calibri" w:hAnsi="Times New Roman"/>
          <w:b/>
          <w:lang w:bidi="ar-SA"/>
        </w:rPr>
        <w:t>Zdravotní služby poskytované v rámci  lékařské pohotovostní služby – obor chirurgie  v nemocnici Mariánské Lázně, na adrese</w:t>
      </w:r>
      <w:r w:rsidRPr="00CB7D91">
        <w:rPr>
          <w:rFonts w:ascii="Times New Roman" w:eastAsia="Calibri" w:hAnsi="Times New Roman"/>
          <w:b/>
          <w:lang w:bidi="ar-SA"/>
        </w:rPr>
        <w:t xml:space="preserve"> </w:t>
      </w:r>
      <w:r w:rsidRPr="00CB7D91">
        <w:rPr>
          <w:rFonts w:ascii="Times New Roman" w:hAnsi="Times New Roman"/>
          <w:b/>
          <w:sz w:val="22"/>
          <w:szCs w:val="22"/>
        </w:rPr>
        <w:t xml:space="preserve">U Nemocnice 91/3, Úšovice, 353 01 Mariánské Lázně, </w:t>
      </w:r>
    </w:p>
    <w:p w:rsidR="00FE08FF" w:rsidRPr="00CB7D91" w:rsidRDefault="00FE08FF" w:rsidP="00FE08FF">
      <w:pPr>
        <w:pStyle w:val="PKNormal"/>
        <w:ind w:left="360"/>
      </w:pPr>
    </w:p>
    <w:p w:rsidR="00FE08FF" w:rsidRDefault="00FE08FF" w:rsidP="00FE08FF">
      <w:pPr>
        <w:pStyle w:val="PKNormal"/>
      </w:pPr>
    </w:p>
    <w:p w:rsidR="00FE08FF" w:rsidRPr="00CB7D91" w:rsidRDefault="00FE08FF" w:rsidP="00FE08FF">
      <w:pPr>
        <w:pStyle w:val="PKNormal"/>
        <w:rPr>
          <w:rFonts w:ascii="Times New Roman" w:hAnsi="Times New Roman"/>
        </w:rPr>
      </w:pPr>
      <w:r w:rsidRPr="00CB7D91">
        <w:rPr>
          <w:rFonts w:ascii="Times New Roman" w:hAnsi="Times New Roman"/>
        </w:rPr>
        <w:t>Bližší specifikace výše uvedených zdravotních služeb je obsažena v příloze č. 1 této Smlouvy.</w:t>
      </w:r>
    </w:p>
    <w:p w:rsidR="00FE08FF" w:rsidRDefault="00FE08FF" w:rsidP="00FE08FF">
      <w:pPr>
        <w:rPr>
          <w:b/>
          <w:szCs w:val="24"/>
        </w:rPr>
      </w:pPr>
    </w:p>
    <w:p w:rsidR="00FE08FF" w:rsidRPr="006F53F3" w:rsidRDefault="00FE08FF" w:rsidP="00FE08FF">
      <w:pPr>
        <w:rPr>
          <w:b/>
          <w:szCs w:val="24"/>
        </w:rPr>
      </w:pPr>
    </w:p>
    <w:p w:rsidR="00FE08FF" w:rsidRPr="006F53F3" w:rsidRDefault="00FE08FF" w:rsidP="00FE08FF">
      <w:pPr>
        <w:jc w:val="center"/>
        <w:rPr>
          <w:b/>
          <w:szCs w:val="24"/>
        </w:rPr>
      </w:pPr>
      <w:r w:rsidRPr="006F53F3">
        <w:rPr>
          <w:b/>
          <w:szCs w:val="24"/>
        </w:rPr>
        <w:t>III.</w:t>
      </w:r>
    </w:p>
    <w:p w:rsidR="00FE08FF" w:rsidRPr="006F53F3" w:rsidRDefault="00FE08FF" w:rsidP="00FE08FF">
      <w:pPr>
        <w:jc w:val="center"/>
        <w:rPr>
          <w:b/>
          <w:szCs w:val="24"/>
          <w:u w:val="single"/>
        </w:rPr>
      </w:pPr>
      <w:r w:rsidRPr="006F53F3">
        <w:rPr>
          <w:b/>
          <w:szCs w:val="24"/>
          <w:u w:val="single"/>
        </w:rPr>
        <w:t>Doba trvání smlouvy</w:t>
      </w:r>
    </w:p>
    <w:p w:rsidR="00FE08FF" w:rsidRPr="006F53F3" w:rsidRDefault="00FE08FF" w:rsidP="00FE08FF">
      <w:pPr>
        <w:jc w:val="both"/>
        <w:rPr>
          <w:szCs w:val="24"/>
        </w:rPr>
      </w:pPr>
    </w:p>
    <w:p w:rsidR="00FE08FF" w:rsidRPr="006F53F3" w:rsidRDefault="00FE08FF" w:rsidP="00FE08FF">
      <w:pPr>
        <w:ind w:left="540" w:hanging="540"/>
        <w:jc w:val="both"/>
        <w:rPr>
          <w:szCs w:val="24"/>
        </w:rPr>
      </w:pPr>
      <w:r w:rsidRPr="006F53F3">
        <w:rPr>
          <w:szCs w:val="24"/>
        </w:rPr>
        <w:t xml:space="preserve">Tato </w:t>
      </w:r>
      <w:r>
        <w:rPr>
          <w:szCs w:val="24"/>
        </w:rPr>
        <w:t>S</w:t>
      </w:r>
      <w:r w:rsidRPr="006F53F3">
        <w:rPr>
          <w:szCs w:val="24"/>
        </w:rPr>
        <w:t xml:space="preserve">mlouva se uzavírá na dobu určitou, a to na dobu do 31. prosince </w:t>
      </w:r>
      <w:r>
        <w:rPr>
          <w:szCs w:val="24"/>
        </w:rPr>
        <w:t>2020</w:t>
      </w:r>
    </w:p>
    <w:p w:rsidR="00FE08FF" w:rsidRPr="006F53F3" w:rsidRDefault="00FE08FF" w:rsidP="00FE08FF">
      <w:pPr>
        <w:jc w:val="both"/>
        <w:rPr>
          <w:szCs w:val="24"/>
        </w:rPr>
      </w:pPr>
    </w:p>
    <w:p w:rsidR="00FE08FF" w:rsidRPr="006F53F3" w:rsidRDefault="00FE08FF" w:rsidP="00FE08FF">
      <w:pPr>
        <w:jc w:val="both"/>
        <w:rPr>
          <w:szCs w:val="24"/>
        </w:rPr>
      </w:pPr>
    </w:p>
    <w:p w:rsidR="00FE08FF" w:rsidRPr="006F53F3" w:rsidRDefault="00FE08FF" w:rsidP="00FE08FF">
      <w:pPr>
        <w:jc w:val="center"/>
        <w:rPr>
          <w:b/>
          <w:szCs w:val="24"/>
        </w:rPr>
      </w:pPr>
      <w:r w:rsidRPr="006F53F3">
        <w:rPr>
          <w:b/>
          <w:szCs w:val="24"/>
        </w:rPr>
        <w:t>IV.</w:t>
      </w:r>
    </w:p>
    <w:p w:rsidR="00FE08FF" w:rsidRPr="006F53F3" w:rsidRDefault="00FE08FF" w:rsidP="00FE08FF">
      <w:pPr>
        <w:jc w:val="center"/>
        <w:rPr>
          <w:b/>
          <w:szCs w:val="24"/>
          <w:u w:val="single"/>
        </w:rPr>
      </w:pPr>
      <w:r w:rsidRPr="006F53F3">
        <w:rPr>
          <w:b/>
          <w:szCs w:val="24"/>
          <w:u w:val="single"/>
        </w:rPr>
        <w:t xml:space="preserve">Území, pro které budou služby obecného hospodářského zájmu Nemocnicí poskytovány </w:t>
      </w:r>
    </w:p>
    <w:p w:rsidR="00FE08FF" w:rsidRPr="006F53F3" w:rsidRDefault="00FE08FF" w:rsidP="00FE08FF">
      <w:pPr>
        <w:jc w:val="both"/>
        <w:rPr>
          <w:szCs w:val="24"/>
        </w:rPr>
      </w:pPr>
    </w:p>
    <w:p w:rsidR="00FE08FF" w:rsidRDefault="00FE08FF" w:rsidP="00FE08FF">
      <w:pPr>
        <w:jc w:val="both"/>
        <w:rPr>
          <w:szCs w:val="24"/>
        </w:rPr>
      </w:pPr>
      <w:r w:rsidRPr="006F53F3">
        <w:rPr>
          <w:szCs w:val="24"/>
        </w:rPr>
        <w:t xml:space="preserve">Nemocnice se touto smlouvou zavazuje poskytovat služby vymezené v článku II. této </w:t>
      </w:r>
      <w:r>
        <w:rPr>
          <w:szCs w:val="24"/>
        </w:rPr>
        <w:t>S</w:t>
      </w:r>
      <w:r w:rsidRPr="006F53F3">
        <w:rPr>
          <w:szCs w:val="24"/>
        </w:rPr>
        <w:t>mlouvy (dále jen „Služby“)</w:t>
      </w:r>
      <w:r>
        <w:rPr>
          <w:szCs w:val="24"/>
        </w:rPr>
        <w:t xml:space="preserve"> </w:t>
      </w:r>
      <w:r w:rsidRPr="00CB7D91">
        <w:rPr>
          <w:szCs w:val="24"/>
        </w:rPr>
        <w:t xml:space="preserve">v prostorách objektu nemocnice v Mariánských Lázních na adrese </w:t>
      </w:r>
      <w:r w:rsidRPr="00CB7D91">
        <w:rPr>
          <w:sz w:val="22"/>
        </w:rPr>
        <w:t>U Nemocnice 91/3, Úšovice, 353 01 Mariánské Lázně, IČO: 263 76 709</w:t>
      </w:r>
      <w:r w:rsidRPr="00CB7D91">
        <w:rPr>
          <w:szCs w:val="24"/>
        </w:rPr>
        <w:t>, a to pro území Karlovarského kraje, zejména pak pro území správních obvodů těchto obcí s rozšířenou působností: Mariánské Lázně</w:t>
      </w:r>
      <w:r>
        <w:rPr>
          <w:szCs w:val="24"/>
        </w:rPr>
        <w:t xml:space="preserve"> a Tachov</w:t>
      </w:r>
      <w:r w:rsidRPr="00CB7D91">
        <w:rPr>
          <w:szCs w:val="24"/>
        </w:rPr>
        <w:t>.</w:t>
      </w:r>
    </w:p>
    <w:p w:rsidR="00FE08FF" w:rsidRPr="00F450AB" w:rsidRDefault="00FE08FF" w:rsidP="00FE08FF">
      <w:pPr>
        <w:jc w:val="both"/>
        <w:rPr>
          <w:szCs w:val="24"/>
        </w:rPr>
      </w:pPr>
    </w:p>
    <w:p w:rsidR="00FE08FF" w:rsidRPr="006F53F3" w:rsidRDefault="00FE08FF" w:rsidP="00FE08FF">
      <w:pPr>
        <w:jc w:val="center"/>
        <w:rPr>
          <w:b/>
          <w:szCs w:val="24"/>
        </w:rPr>
      </w:pPr>
      <w:r w:rsidRPr="006F53F3">
        <w:rPr>
          <w:b/>
          <w:szCs w:val="24"/>
        </w:rPr>
        <w:t>V.</w:t>
      </w:r>
    </w:p>
    <w:p w:rsidR="00FE08FF" w:rsidRPr="006F53F3" w:rsidRDefault="00FE08FF" w:rsidP="00FE08FF">
      <w:pPr>
        <w:jc w:val="center"/>
        <w:rPr>
          <w:b/>
          <w:szCs w:val="24"/>
          <w:u w:val="single"/>
        </w:rPr>
      </w:pPr>
      <w:r w:rsidRPr="006F53F3">
        <w:rPr>
          <w:b/>
          <w:szCs w:val="24"/>
          <w:u w:val="single"/>
        </w:rPr>
        <w:t>Způsob výpočtu výše Vyrovnávací platby</w:t>
      </w:r>
    </w:p>
    <w:p w:rsidR="00FE08FF" w:rsidRPr="006F53F3" w:rsidRDefault="00FE08FF" w:rsidP="00FE08FF">
      <w:pPr>
        <w:jc w:val="center"/>
        <w:rPr>
          <w:b/>
          <w:szCs w:val="24"/>
          <w:u w:val="single"/>
        </w:rPr>
      </w:pPr>
    </w:p>
    <w:p w:rsidR="00FE08FF" w:rsidRPr="006F53F3" w:rsidRDefault="00FE08FF" w:rsidP="00FE08FF">
      <w:pPr>
        <w:numPr>
          <w:ilvl w:val="0"/>
          <w:numId w:val="7"/>
        </w:numPr>
        <w:tabs>
          <w:tab w:val="clear" w:pos="720"/>
          <w:tab w:val="num" w:pos="360"/>
        </w:tabs>
        <w:ind w:left="360"/>
        <w:jc w:val="both"/>
        <w:rPr>
          <w:szCs w:val="24"/>
        </w:rPr>
      </w:pPr>
      <w:r w:rsidRPr="006F53F3">
        <w:rPr>
          <w:szCs w:val="24"/>
        </w:rPr>
        <w:t xml:space="preserve">Výše vyrovnávací platby za závazek veřejné služby (dále jen „Vyrovnávací platba“) je omezena rozsahem nezbytným pro úhradu nákladů vynaložených v souvislosti s plněním závazků veřejné služby, přičemž musí být zohledněny příslušné příjmy a přiměřený výnos z vlastního kapitálu za plnění těchto závazků. </w:t>
      </w:r>
    </w:p>
    <w:p w:rsidR="00FE08FF" w:rsidRPr="003C5404" w:rsidRDefault="00FE08FF" w:rsidP="00FE08FF">
      <w:pPr>
        <w:numPr>
          <w:ilvl w:val="0"/>
          <w:numId w:val="7"/>
        </w:numPr>
        <w:tabs>
          <w:tab w:val="clear" w:pos="720"/>
          <w:tab w:val="num" w:pos="360"/>
        </w:tabs>
        <w:spacing w:beforeLines="60" w:before="144" w:afterLines="60" w:after="144"/>
        <w:ind w:left="360"/>
        <w:jc w:val="both"/>
        <w:rPr>
          <w:szCs w:val="24"/>
        </w:rPr>
      </w:pPr>
      <w:r w:rsidRPr="003C5404">
        <w:rPr>
          <w:szCs w:val="24"/>
        </w:rPr>
        <w:t xml:space="preserve">Výše Vyrovnávací platby za závazek veřejné služby dle této </w:t>
      </w:r>
      <w:r>
        <w:rPr>
          <w:szCs w:val="24"/>
        </w:rPr>
        <w:t>S</w:t>
      </w:r>
      <w:r w:rsidRPr="003C5404">
        <w:rPr>
          <w:szCs w:val="24"/>
        </w:rPr>
        <w:t xml:space="preserve">mlouvy bude pro každý kalendářní rok trvání této </w:t>
      </w:r>
      <w:r>
        <w:rPr>
          <w:szCs w:val="24"/>
        </w:rPr>
        <w:t>S</w:t>
      </w:r>
      <w:r w:rsidRPr="003C5404">
        <w:rPr>
          <w:szCs w:val="24"/>
        </w:rPr>
        <w:t xml:space="preserve">mlouvy stanovena dle přílohy č. 2 této </w:t>
      </w:r>
      <w:r>
        <w:rPr>
          <w:szCs w:val="24"/>
        </w:rPr>
        <w:t>S</w:t>
      </w:r>
      <w:r w:rsidRPr="003C5404">
        <w:rPr>
          <w:szCs w:val="24"/>
        </w:rPr>
        <w:t>mlouvy a dle níže uvedených zásad. Podrobný návod k výpočtu výše Vyrovnávací platby dále upravuje metodický pokyn Karlovarského kraje k výpočtu výše vyrovnávací platby za poskytování zdravotních služeb jako služeb obecného hospodářského zájmu určený pro nemocnice poskytující zdravotní služby na území Karlovarského kraje</w:t>
      </w:r>
      <w:r>
        <w:rPr>
          <w:szCs w:val="24"/>
        </w:rPr>
        <w:t xml:space="preserve">, </w:t>
      </w:r>
      <w:r w:rsidRPr="003C5404">
        <w:rPr>
          <w:szCs w:val="24"/>
        </w:rPr>
        <w:t xml:space="preserve"> schválený Zastupitelstvem </w:t>
      </w:r>
      <w:r>
        <w:rPr>
          <w:szCs w:val="24"/>
        </w:rPr>
        <w:t xml:space="preserve">Karlovarského </w:t>
      </w:r>
      <w:r w:rsidRPr="003C5404">
        <w:rPr>
          <w:szCs w:val="24"/>
        </w:rPr>
        <w:t>kraje</w:t>
      </w:r>
      <w:r>
        <w:rPr>
          <w:szCs w:val="24"/>
        </w:rPr>
        <w:t xml:space="preserve"> dne </w:t>
      </w:r>
      <w:r w:rsidRPr="008C23D1">
        <w:rPr>
          <w:szCs w:val="24"/>
        </w:rPr>
        <w:t>28.2.2019,</w:t>
      </w:r>
      <w:r w:rsidRPr="003C5404">
        <w:rPr>
          <w:szCs w:val="24"/>
        </w:rPr>
        <w:t xml:space="preserve"> který je pro Nemocnici závaz</w:t>
      </w:r>
      <w:r>
        <w:rPr>
          <w:szCs w:val="24"/>
        </w:rPr>
        <w:t>ný (dále jen „Metodický pokyn“) a tvoří přílohu č. 3 Smlouvy.</w:t>
      </w:r>
      <w:r w:rsidRPr="003C5404">
        <w:rPr>
          <w:szCs w:val="24"/>
        </w:rPr>
        <w:t xml:space="preserve"> </w:t>
      </w:r>
    </w:p>
    <w:p w:rsidR="00FE08FF" w:rsidRDefault="00FE08FF" w:rsidP="00FE08FF">
      <w:pPr>
        <w:numPr>
          <w:ilvl w:val="0"/>
          <w:numId w:val="7"/>
        </w:numPr>
        <w:tabs>
          <w:tab w:val="clear" w:pos="720"/>
          <w:tab w:val="num" w:pos="360"/>
        </w:tabs>
        <w:ind w:left="360"/>
        <w:jc w:val="both"/>
        <w:rPr>
          <w:szCs w:val="24"/>
        </w:rPr>
      </w:pPr>
      <w:r w:rsidRPr="00F547E0">
        <w:rPr>
          <w:szCs w:val="24"/>
        </w:rPr>
        <w:t xml:space="preserve">Při stanovení výše Vyrovnávací platby dle odst. 2 tohoto článku se </w:t>
      </w:r>
      <w:r>
        <w:rPr>
          <w:szCs w:val="24"/>
        </w:rPr>
        <w:t xml:space="preserve">zohledňují </w:t>
      </w:r>
      <w:r w:rsidRPr="00F547E0">
        <w:rPr>
          <w:szCs w:val="24"/>
        </w:rPr>
        <w:t xml:space="preserve">nezbytné náklady vynaložené Nemocnicí </w:t>
      </w:r>
      <w:r>
        <w:rPr>
          <w:szCs w:val="24"/>
        </w:rPr>
        <w:t xml:space="preserve">v souvislosti s poskytováním </w:t>
      </w:r>
      <w:r w:rsidRPr="00F547E0">
        <w:rPr>
          <w:szCs w:val="24"/>
        </w:rPr>
        <w:t>Služeb. Náklady připisované Službám mohou zahrnovat náklady vynaložené v souvislosti s poskytováním Služeb, odpovídající podíl z fixních nákladů společných pro Služby a přiměřený zisk</w:t>
      </w:r>
      <w:r>
        <w:rPr>
          <w:szCs w:val="24"/>
        </w:rPr>
        <w:t>, vše dle přílohy č. 2 Smlouvy a Metodického pokynu</w:t>
      </w:r>
      <w:r w:rsidRPr="00F547E0">
        <w:rPr>
          <w:szCs w:val="24"/>
        </w:rPr>
        <w:t>. Naproti tomu zde nelze zohlednit takové náklady, jako jsou manka, škody, smluvní či zákonné sankce apod</w:t>
      </w:r>
      <w:r>
        <w:rPr>
          <w:szCs w:val="24"/>
        </w:rPr>
        <w:t>. – viz Metodický pokyn.</w:t>
      </w:r>
    </w:p>
    <w:p w:rsidR="00FE08FF" w:rsidRPr="00F547E0" w:rsidRDefault="00FE08FF" w:rsidP="00FE08FF">
      <w:pPr>
        <w:numPr>
          <w:ilvl w:val="0"/>
          <w:numId w:val="7"/>
        </w:numPr>
        <w:tabs>
          <w:tab w:val="clear" w:pos="720"/>
          <w:tab w:val="num" w:pos="360"/>
        </w:tabs>
        <w:spacing w:after="120"/>
        <w:ind w:left="357" w:hanging="357"/>
        <w:jc w:val="both"/>
        <w:rPr>
          <w:szCs w:val="24"/>
        </w:rPr>
      </w:pPr>
      <w:r w:rsidRPr="00F547E0">
        <w:rPr>
          <w:szCs w:val="24"/>
        </w:rPr>
        <w:t xml:space="preserve">Při stanovení výše Vyrovnávací platby dle odst. 2 tohoto článku </w:t>
      </w:r>
      <w:r>
        <w:rPr>
          <w:szCs w:val="24"/>
        </w:rPr>
        <w:t>se zohledňují</w:t>
      </w:r>
      <w:r w:rsidRPr="00F547E0">
        <w:rPr>
          <w:szCs w:val="24"/>
        </w:rPr>
        <w:t xml:space="preserve"> příjmy (výnosy) z poskytování Služeb</w:t>
      </w:r>
      <w:r>
        <w:rPr>
          <w:szCs w:val="24"/>
        </w:rPr>
        <w:t xml:space="preserve"> dle přílohy č. 2 a dle Metodického pokynu.</w:t>
      </w:r>
    </w:p>
    <w:p w:rsidR="00FE08FF" w:rsidRPr="006F53F3" w:rsidRDefault="00FE08FF" w:rsidP="00FE08FF">
      <w:pPr>
        <w:numPr>
          <w:ilvl w:val="0"/>
          <w:numId w:val="7"/>
        </w:numPr>
        <w:tabs>
          <w:tab w:val="clear" w:pos="720"/>
          <w:tab w:val="num" w:pos="360"/>
        </w:tabs>
        <w:spacing w:after="120"/>
        <w:ind w:left="357" w:hanging="357"/>
        <w:jc w:val="both"/>
        <w:rPr>
          <w:szCs w:val="24"/>
        </w:rPr>
      </w:pPr>
      <w:r w:rsidRPr="006F53F3">
        <w:rPr>
          <w:szCs w:val="24"/>
        </w:rPr>
        <w:t xml:space="preserve">Pro účely této </w:t>
      </w:r>
      <w:r>
        <w:rPr>
          <w:szCs w:val="24"/>
        </w:rPr>
        <w:t>S</w:t>
      </w:r>
      <w:r w:rsidRPr="006F53F3">
        <w:rPr>
          <w:szCs w:val="24"/>
        </w:rPr>
        <w:t>mlouvy se přiměřeným ziskem rozumí míra návratnosti vlastního kapitálu, přičemž jeho výše je stanovena v </w:t>
      </w:r>
      <w:r>
        <w:rPr>
          <w:szCs w:val="24"/>
        </w:rPr>
        <w:t>příloze č. 2 této S</w:t>
      </w:r>
      <w:r w:rsidRPr="006F53F3">
        <w:rPr>
          <w:szCs w:val="24"/>
        </w:rPr>
        <w:t xml:space="preserve">mlouvy. </w:t>
      </w:r>
    </w:p>
    <w:p w:rsidR="00FE08FF" w:rsidRPr="006F53F3" w:rsidRDefault="00FE08FF" w:rsidP="00FE08FF">
      <w:pPr>
        <w:numPr>
          <w:ilvl w:val="0"/>
          <w:numId w:val="7"/>
        </w:numPr>
        <w:tabs>
          <w:tab w:val="clear" w:pos="720"/>
          <w:tab w:val="num" w:pos="360"/>
        </w:tabs>
        <w:spacing w:after="120"/>
        <w:ind w:left="357" w:hanging="357"/>
        <w:jc w:val="both"/>
        <w:rPr>
          <w:szCs w:val="24"/>
        </w:rPr>
      </w:pPr>
      <w:r>
        <w:rPr>
          <w:szCs w:val="24"/>
        </w:rPr>
        <w:t>Vyrovnávací platba se neposkytuje na náklady</w:t>
      </w:r>
      <w:r w:rsidRPr="006F53F3">
        <w:rPr>
          <w:szCs w:val="24"/>
        </w:rPr>
        <w:t xml:space="preserve"> spojené s jinými činnostmi Nemocnice, než je poskytování Služeb</w:t>
      </w:r>
      <w:r>
        <w:rPr>
          <w:szCs w:val="24"/>
        </w:rPr>
        <w:t xml:space="preserve">. </w:t>
      </w:r>
    </w:p>
    <w:p w:rsidR="00FE08FF" w:rsidRPr="006F53F3" w:rsidRDefault="00FE08FF" w:rsidP="00FE08FF">
      <w:pPr>
        <w:numPr>
          <w:ilvl w:val="0"/>
          <w:numId w:val="7"/>
        </w:numPr>
        <w:tabs>
          <w:tab w:val="clear" w:pos="720"/>
          <w:tab w:val="num" w:pos="360"/>
        </w:tabs>
        <w:spacing w:after="120"/>
        <w:ind w:left="357" w:hanging="357"/>
        <w:jc w:val="both"/>
      </w:pPr>
      <w:r>
        <w:rPr>
          <w:szCs w:val="24"/>
        </w:rPr>
        <w:t>Nemocnice musí příslušné náklady a výnosy, které jsou předmětem SOHZ, promítnout v účetnictví Nemocnice nejpozději do 30.06. následujícího kalendářního roku;</w:t>
      </w:r>
    </w:p>
    <w:p w:rsidR="00FE08FF" w:rsidRPr="00752724" w:rsidRDefault="00FE08FF" w:rsidP="00FE08FF">
      <w:pPr>
        <w:ind w:left="360"/>
        <w:jc w:val="both"/>
        <w:rPr>
          <w:b/>
          <w:szCs w:val="24"/>
        </w:rPr>
      </w:pPr>
    </w:p>
    <w:p w:rsidR="00FE08FF" w:rsidRDefault="00FE08FF" w:rsidP="00FE08FF">
      <w:pPr>
        <w:jc w:val="center"/>
        <w:rPr>
          <w:b/>
          <w:szCs w:val="24"/>
        </w:rPr>
      </w:pPr>
    </w:p>
    <w:p w:rsidR="00FE08FF" w:rsidRPr="006F53F3" w:rsidRDefault="00FE08FF" w:rsidP="00FE08FF">
      <w:pPr>
        <w:jc w:val="center"/>
        <w:rPr>
          <w:b/>
          <w:szCs w:val="24"/>
        </w:rPr>
      </w:pPr>
      <w:r w:rsidRPr="006F53F3">
        <w:rPr>
          <w:b/>
          <w:szCs w:val="24"/>
        </w:rPr>
        <w:t>VI.</w:t>
      </w:r>
    </w:p>
    <w:p w:rsidR="00FE08FF" w:rsidRPr="006F53F3" w:rsidRDefault="00FE08FF" w:rsidP="00FE08FF">
      <w:pPr>
        <w:jc w:val="center"/>
        <w:rPr>
          <w:b/>
          <w:szCs w:val="24"/>
          <w:u w:val="single"/>
        </w:rPr>
      </w:pPr>
      <w:r w:rsidRPr="006F53F3">
        <w:rPr>
          <w:b/>
          <w:szCs w:val="24"/>
          <w:u w:val="single"/>
        </w:rPr>
        <w:t>Splatnost Vyrovnávací platby</w:t>
      </w:r>
    </w:p>
    <w:p w:rsidR="00FE08FF" w:rsidRPr="006F53F3" w:rsidRDefault="00FE08FF" w:rsidP="00FE08FF">
      <w:pPr>
        <w:jc w:val="both"/>
        <w:rPr>
          <w:szCs w:val="24"/>
        </w:rPr>
      </w:pPr>
    </w:p>
    <w:p w:rsidR="00FE08FF" w:rsidRPr="008C23D1" w:rsidRDefault="00FE08FF" w:rsidP="00FE08FF">
      <w:pPr>
        <w:numPr>
          <w:ilvl w:val="0"/>
          <w:numId w:val="1"/>
        </w:numPr>
        <w:spacing w:after="120"/>
        <w:ind w:left="357" w:hanging="357"/>
        <w:jc w:val="both"/>
        <w:rPr>
          <w:szCs w:val="24"/>
        </w:rPr>
      </w:pPr>
      <w:r w:rsidRPr="008C23D1">
        <w:rPr>
          <w:szCs w:val="24"/>
        </w:rPr>
        <w:t>Nemocnice je povinna vždy nejpozději do 30. října kalendářního roku předcházejícímu kalendářnímu roku, za který bude Vyrovnávací platba dle této Smlouvy Krajem Nemocnici poskytována, zpracovat předběžnou kalkulaci výše Vyrovnávací platby pro následující kalendářní rok způsobem stanoveným v příloze č. 2 této Smlouvy (dále jen „Předběžná kalkulace“) a takto zpracovanou Předběžnou kalkulaci v uvedené lhůtě předložit Odboru zdravotnictví Krajského úřadu Karlovarského kraje (dále jen Odbor zdravotnictví). Vzorové znění Předběžné kalkulace je součástí Metodického pokynu. V případě roku 2019 bude akceptován termín pro předložení Př</w:t>
      </w:r>
      <w:r>
        <w:rPr>
          <w:szCs w:val="24"/>
        </w:rPr>
        <w:t>edběžné kalkulace nemocnicí do 6</w:t>
      </w:r>
      <w:r w:rsidRPr="008C23D1">
        <w:rPr>
          <w:szCs w:val="24"/>
        </w:rPr>
        <w:t>.2. příslušného kalendářního roku, na který bude poskytována Vyrovnávací platba.</w:t>
      </w:r>
    </w:p>
    <w:p w:rsidR="00FE08FF" w:rsidRPr="008C23D1" w:rsidRDefault="00FE08FF" w:rsidP="00FE08FF">
      <w:pPr>
        <w:numPr>
          <w:ilvl w:val="0"/>
          <w:numId w:val="1"/>
        </w:numPr>
        <w:spacing w:after="120"/>
        <w:ind w:left="357" w:hanging="357"/>
        <w:jc w:val="both"/>
        <w:rPr>
          <w:szCs w:val="24"/>
        </w:rPr>
      </w:pPr>
      <w:r w:rsidRPr="008C23D1">
        <w:rPr>
          <w:szCs w:val="24"/>
        </w:rPr>
        <w:t xml:space="preserve">Nebude-li Předběžná kalkulace Nemocnicí zpracována v souladu s touto Smlouvou, je Odbor zdravotnictví oprávněn Předběžnou kalkulaci vrátit Nemocnici k opravě. Nemocnice je v takovém případě povinna nejpozději do 7 dnů Předběžnou kalkulaci v souladu s požadavky Odboru zdravotnictví opravit a takto opravenou Předběžnou kalkulaci v této lhůtě předložit Odboru zdravotnictví. Stejným způsobem bude postupováno i v případě, bude-li i po opravě provedené dle předchozí věty tohoto odstavce Předběžná kalkulace stále vykazovat nedostatky. </w:t>
      </w:r>
    </w:p>
    <w:p w:rsidR="00FE08FF" w:rsidRPr="008C23D1" w:rsidRDefault="00FE08FF" w:rsidP="00FE08FF">
      <w:pPr>
        <w:numPr>
          <w:ilvl w:val="0"/>
          <w:numId w:val="1"/>
        </w:numPr>
        <w:spacing w:after="120"/>
        <w:ind w:left="357" w:hanging="357"/>
        <w:jc w:val="both"/>
        <w:rPr>
          <w:szCs w:val="24"/>
        </w:rPr>
      </w:pPr>
      <w:r w:rsidRPr="008C23D1">
        <w:rPr>
          <w:szCs w:val="24"/>
        </w:rPr>
        <w:t xml:space="preserve">Pokud nebude ze strany Odboru zdravotnictví postupováno dle odst. 2 tohoto článku, případně bude-li Předběžná kalkulace postupem dle odst. 2 tohoto článku Nemocnicí řádně opravena, bude Předběžná kalkulace Odborem zdravotnictví akceptována a předložena k projednání Zastupitelstvu Karlovarského kraje, které na základě této kalkulace schválí předběžnou výši Vyrovnávací platby pro příslušný kalendářní rok. O rozhodnutí Zastupitelstva Karlovarského kraje bude Nemocnice písemně vyrozuměna.  </w:t>
      </w:r>
    </w:p>
    <w:p w:rsidR="00FE08FF" w:rsidRPr="008C23D1" w:rsidRDefault="00FE08FF" w:rsidP="00FE08FF">
      <w:pPr>
        <w:numPr>
          <w:ilvl w:val="0"/>
          <w:numId w:val="1"/>
        </w:numPr>
        <w:spacing w:after="120"/>
        <w:ind w:left="357" w:hanging="357"/>
        <w:jc w:val="both"/>
      </w:pPr>
      <w:r w:rsidRPr="008C23D1">
        <w:rPr>
          <w:szCs w:val="24"/>
        </w:rPr>
        <w:t xml:space="preserve">Smluvní strany se dohodly, že termín vyplacení Předběžné a případně i Výsledné výše Vyrovnávací platby ze strany Kraje bude vždy upraven přímo usnesením Zastupitelstva Karlovarského kraje, které se bude vztahovat ke schválení Předběžné resp. Výsledné výše Vyrovnávací platby. </w:t>
      </w:r>
    </w:p>
    <w:p w:rsidR="00FE08FF" w:rsidRPr="008C23D1" w:rsidRDefault="00FE08FF" w:rsidP="00FE08FF">
      <w:pPr>
        <w:numPr>
          <w:ilvl w:val="0"/>
          <w:numId w:val="1"/>
        </w:numPr>
        <w:spacing w:after="120"/>
        <w:ind w:left="357" w:hanging="357"/>
        <w:jc w:val="both"/>
        <w:rPr>
          <w:szCs w:val="24"/>
        </w:rPr>
      </w:pPr>
      <w:r w:rsidRPr="008C23D1">
        <w:t xml:space="preserve">Nemocnice je povinna vždy nejpozději do 40 dnů po dni ověření účetní závěrky za předchozí </w:t>
      </w:r>
      <w:r w:rsidRPr="008C23D1">
        <w:rPr>
          <w:szCs w:val="24"/>
        </w:rPr>
        <w:t xml:space="preserve">kalendářní rok </w:t>
      </w:r>
      <w:r w:rsidRPr="008C23D1">
        <w:t xml:space="preserve">auditorem zpracovat výslednou kalkulaci výše Vyrovnávací platby pro uplynulý kalendářní rok způsobem stanoveným v příloze č. 2 této smlouvy (dále jen „Výsledná kalkulace“) a takto zpracovanou Výslednou kalkulaci v uvedené lhůtě 40 dnů předložit Odboru zdravotnictví. </w:t>
      </w:r>
      <w:r w:rsidRPr="008C23D1">
        <w:rPr>
          <w:szCs w:val="24"/>
        </w:rPr>
        <w:t xml:space="preserve">Vzorové znění Výsledné kalkulace je součástí Metodického pokynu. Společně s Výslednou kalkulací předloží ve shodném termínu Nemocnice odboru zdravotnictví zprávu nezávislého auditora k vyúčtování SOHZ ze které bude zřejmé, že Nemocnice vedla oddělenou analytickou účetní evidenci nákladů a výnosů vztahujících se k SOHZ v souladu s touto Smlouvou, že při rozvrhování režií postupovala v souladu se svými vnitřními pravidly, které byly v souladu s Metodickým pokynem a přílohou č. 2 předloženy odboru zdravotnictví, a že sestavila Výslednou kalkulaci řádně a z údajů vedených v oddělené evidenci nákladů a výnosů týkajících se poskytované veřejné služby podle jednotlivých odděleních. </w:t>
      </w:r>
    </w:p>
    <w:p w:rsidR="00FE08FF" w:rsidRPr="008C23D1" w:rsidRDefault="00FE08FF" w:rsidP="00FE08FF">
      <w:pPr>
        <w:numPr>
          <w:ilvl w:val="0"/>
          <w:numId w:val="1"/>
        </w:numPr>
        <w:spacing w:after="120"/>
        <w:jc w:val="both"/>
        <w:rPr>
          <w:szCs w:val="24"/>
        </w:rPr>
      </w:pPr>
      <w:r w:rsidRPr="008C23D1">
        <w:rPr>
          <w:szCs w:val="24"/>
        </w:rPr>
        <w:t xml:space="preserve">Nebude-li Výsledná kalkulace Nemocnicí zpracována v souladu s touto Smlouvou, je </w:t>
      </w:r>
      <w:r w:rsidRPr="008C23D1">
        <w:t xml:space="preserve">Odbor zdravotnictví </w:t>
      </w:r>
      <w:r w:rsidRPr="008C23D1">
        <w:rPr>
          <w:szCs w:val="24"/>
        </w:rPr>
        <w:t xml:space="preserve">oprávněn Výslednou kalkulaci vrátit Nemocnici k opravě. Nemocnice je v takovém případě povinna nejpozději do 15 dnů Výslednou kalkulaci v souladu s požadavky </w:t>
      </w:r>
      <w:r w:rsidRPr="008C23D1">
        <w:t xml:space="preserve">Odboru zdravotnictví </w:t>
      </w:r>
      <w:r w:rsidRPr="008C23D1">
        <w:rPr>
          <w:szCs w:val="24"/>
        </w:rPr>
        <w:t>opravit a takto opravenou Výslednou kalkulaci v této lhůtě předložit Kraji. Shodně bude postupováno i v případě, bude-li i po opravě provedené dle předchozí věty tohoto odstavce Výsledná kalkulace stále vykazovat nedostatky.</w:t>
      </w:r>
    </w:p>
    <w:p w:rsidR="00FE08FF" w:rsidRPr="008C23D1" w:rsidRDefault="00FE08FF" w:rsidP="00FE08FF">
      <w:pPr>
        <w:numPr>
          <w:ilvl w:val="0"/>
          <w:numId w:val="1"/>
        </w:numPr>
        <w:spacing w:after="120"/>
        <w:ind w:left="357" w:hanging="357"/>
        <w:jc w:val="both"/>
        <w:rPr>
          <w:szCs w:val="24"/>
        </w:rPr>
      </w:pPr>
      <w:r w:rsidRPr="008C23D1">
        <w:rPr>
          <w:szCs w:val="24"/>
        </w:rPr>
        <w:t xml:space="preserve">Pokud nebude ze strany </w:t>
      </w:r>
      <w:r w:rsidRPr="008C23D1">
        <w:t xml:space="preserve">Odboru zdravotnictví </w:t>
      </w:r>
      <w:r w:rsidRPr="008C23D1">
        <w:rPr>
          <w:szCs w:val="24"/>
        </w:rPr>
        <w:t xml:space="preserve">postupováno dle odst. 6 tohoto článku, případně bude-li Výsledná kalkulace postupem dle odst. 6 tohoto článku Nemocnicí řádně opravena, bude Výsledná kalkulace Odborem zdravotnictví akceptována a předložena k projednání Zastupitelstvu Karlovarského kraje, které na základě této kalkulace schválí výslednou výši Vyrovnávací platby. O rozhodnutí Zastupitelstva Karlovarského kraje bude Nemocnice písemně vyrozuměna. </w:t>
      </w:r>
    </w:p>
    <w:p w:rsidR="00FE08FF" w:rsidRPr="008C23D1" w:rsidRDefault="00FE08FF" w:rsidP="00FE08FF">
      <w:pPr>
        <w:numPr>
          <w:ilvl w:val="0"/>
          <w:numId w:val="1"/>
        </w:numPr>
        <w:spacing w:after="120"/>
        <w:ind w:left="357" w:hanging="357"/>
        <w:jc w:val="both"/>
      </w:pPr>
      <w:r w:rsidRPr="008C23D1">
        <w:t xml:space="preserve">V případě, že bude souhrn záloh na Vyrovnávací platbu poskytnutých Krajem Nemocnici dle odst. 4 tohoto článku vyšší než výsledná výše Vyrovnávací platby schválená Krajem na základě Výsledné kalkulace dle odst. 7 tohoto článku, bude takto vzniklý rozdíl představovat nadměrnou Vyrovnávací platbu, kterou je Nemocnice povinna vrátit na účet Kraje uvedený v záhlaví této Smlouvy nejpozději do 60 dnů po dni schválení výsledné výše Vyrovnávací platby na základě Výsledné kalkulace za předchozí kalendářní rok v Zastupitelstvu Karlovarského kraje. </w:t>
      </w:r>
    </w:p>
    <w:p w:rsidR="00FE08FF" w:rsidRPr="008C23D1" w:rsidRDefault="00FE08FF" w:rsidP="00FE08FF">
      <w:pPr>
        <w:numPr>
          <w:ilvl w:val="0"/>
          <w:numId w:val="1"/>
        </w:numPr>
        <w:spacing w:after="120"/>
        <w:ind w:left="357" w:hanging="357"/>
        <w:jc w:val="both"/>
      </w:pPr>
      <w:r w:rsidRPr="008C23D1">
        <w:t>V případě, že bude souhrn záloh na Vyrovnávací platbu poskytnutých Krajem Nemocnici dle odst. 4 tohoto článku nižší než výše Vyrovnávací platby vyplývající z Výsledné kalkulace schválené Krajem dle odst. 7 tohoto článku, rozhodne Zastupitelstvo Karlovarského kraje o doplacení vzniklého rozdílu na účet Nemocnice uvedený v záhlaví této Smlouvy s ohledem na odst. 13 tohoto článku. Tato platba bude Nemocnici poskytnuta nejpozději do 60 dnů po dni schválení výsledné výše Vyrovnávací platby na základě Výsledné kalkulace za předchozí kalendářní rok v Zastupitelstvu Karlovarského kraje.</w:t>
      </w:r>
    </w:p>
    <w:p w:rsidR="00FE08FF" w:rsidRPr="008C23D1" w:rsidRDefault="00FE08FF" w:rsidP="00FE08FF">
      <w:pPr>
        <w:numPr>
          <w:ilvl w:val="0"/>
          <w:numId w:val="1"/>
        </w:numPr>
        <w:spacing w:after="120"/>
        <w:ind w:left="357" w:hanging="357"/>
        <w:jc w:val="both"/>
        <w:rPr>
          <w:szCs w:val="24"/>
        </w:rPr>
      </w:pPr>
      <w:r w:rsidRPr="008C23D1">
        <w:rPr>
          <w:szCs w:val="24"/>
        </w:rPr>
        <w:t>V případě, že v průběhu kalendářního roku dojde k podstatným neočekávaným změnám</w:t>
      </w:r>
      <w:r w:rsidRPr="008C23D1">
        <w:t xml:space="preserve"> ve výdajích (nákladech) či příjmech (výnosech) spojených s poskytováním Služeb, se kterými nebylo počítáno při sestavování Předběžné kalkulace výše Vyrovnávací platby, a které mají podstatný vliv na ekonomickou situaci </w:t>
      </w:r>
      <w:r w:rsidRPr="008C23D1">
        <w:rPr>
          <w:szCs w:val="24"/>
        </w:rPr>
        <w:t xml:space="preserve">Nemocnice, je Nemocnice povinna zpracovat a </w:t>
      </w:r>
      <w:r w:rsidRPr="008C23D1">
        <w:t>předložit Kraji</w:t>
      </w:r>
      <w:r w:rsidRPr="008C23D1">
        <w:rPr>
          <w:szCs w:val="24"/>
        </w:rPr>
        <w:t xml:space="preserve"> mimořádnou průběžnou kalkulaci výše Vyrovnávací platby </w:t>
      </w:r>
      <w:r w:rsidRPr="008C23D1">
        <w:t xml:space="preserve">(dále jen „Mimořádná kalkulace“). Na základě této Mimořádné kalkulace může být Zastupitelstvem Karlovarského kraje schválena změna předběžné výše Vyrovnávací platby a odpovídající snížení či zvýšení záloh na Vyrovnávací platbu, případně poskytnutí mimořádných záloh na Vyrovnávací platbu. </w:t>
      </w:r>
      <w:r w:rsidRPr="008C23D1">
        <w:rPr>
          <w:szCs w:val="24"/>
        </w:rPr>
        <w:t>Ve vztahu ke zpracování, předkládání, kontrole a případným opravám Mimořádné kalkulace a ve vztahu ke schvalování změny výše Vyrovnávací platby se použijí přiměřeně předchozí ustanovení tohoto článku této Smlouvy týkající se Předběžné kalkulace.</w:t>
      </w:r>
    </w:p>
    <w:p w:rsidR="00FE08FF" w:rsidRPr="008C23D1" w:rsidRDefault="00FE08FF" w:rsidP="00FE08FF">
      <w:pPr>
        <w:numPr>
          <w:ilvl w:val="0"/>
          <w:numId w:val="1"/>
        </w:numPr>
        <w:spacing w:after="120"/>
        <w:ind w:left="357" w:hanging="357"/>
        <w:jc w:val="both"/>
        <w:rPr>
          <w:szCs w:val="24"/>
        </w:rPr>
      </w:pPr>
      <w:r w:rsidRPr="008C23D1">
        <w:rPr>
          <w:szCs w:val="24"/>
        </w:rPr>
        <w:t xml:space="preserve">V případě předčasného ukončení této Smlouvy je Nemocnice povinna nejpozději do jednoho měsíce ode dne předčasného ukončení této Smlouvy zpracovat Výslednou kalkulaci výše Vyrovnávací platby za období od 1. ledna kalendářního roku, v němž k předčasnému ukončení této smlouvy dojde, do dne předčasného ukončení této Smlouvy, a v uvedené lhůtě takto zpracovanou Výslednou kalkulaci předložit Kraji. Ve vztahu ke zpracování, předkládání, kontrole a případným opravám takovéto kalkulace a ve vztahu ke schvalování výsledné výše Vyrovnávací platby za výše uvedené období se použijí přiměřeně předchozí ustanovení tohoto článku této Smlouvy týkající se Výsledné kalkulace. </w:t>
      </w:r>
    </w:p>
    <w:p w:rsidR="00FE08FF" w:rsidRPr="008C23D1" w:rsidRDefault="00FE08FF" w:rsidP="00FE08FF">
      <w:pPr>
        <w:numPr>
          <w:ilvl w:val="0"/>
          <w:numId w:val="1"/>
        </w:numPr>
        <w:spacing w:after="120"/>
        <w:ind w:left="357" w:hanging="357"/>
        <w:jc w:val="both"/>
        <w:rPr>
          <w:szCs w:val="24"/>
        </w:rPr>
      </w:pPr>
      <w:r w:rsidRPr="008C23D1">
        <w:rPr>
          <w:szCs w:val="24"/>
        </w:rPr>
        <w:t>Kraj je oprávněn pozastavit placení záloh na Vyrovnávací platbu, jakož i případných doplatků Vyrovnávací platby v případě, že Nemocnice nebude poskytovat Služby v souladu s touto Smlouvou či obecně závaznými právními předpisy, a to až do doby, kdy dojde ze strany Nemocnice k odstranění veškerých zjištěných nedostatků.</w:t>
      </w:r>
    </w:p>
    <w:p w:rsidR="00FE08FF" w:rsidRPr="008C23D1" w:rsidRDefault="00FE08FF" w:rsidP="00FE08FF">
      <w:pPr>
        <w:numPr>
          <w:ilvl w:val="0"/>
          <w:numId w:val="1"/>
        </w:numPr>
        <w:spacing w:after="120"/>
        <w:ind w:left="357" w:hanging="357"/>
        <w:jc w:val="both"/>
        <w:rPr>
          <w:b/>
          <w:szCs w:val="24"/>
        </w:rPr>
      </w:pPr>
      <w:r w:rsidRPr="008C23D1">
        <w:rPr>
          <w:b/>
          <w:szCs w:val="24"/>
        </w:rPr>
        <w:t>V závislosti na aktuální ekonomické situaci Kraje, popř. na základě rozhodnutí Zastupitelstva Karlovarského kraje je Kraj oprávněn jednostranně posunout splatnost záloh na Vyrovnávací platbu, jakož i případných doplatků Vyrovnávací platby, případně Vyrovnávací platbu či zálohy na ni jednostranně snížit, případně Vyrovnávací platbu či zálohy na ni Nemocnici vůbec neposkytnout. O opatřeních dle předchozí věty tohoto odstavce je Kraj povinen Nemocnici bez zbytečného odkladu písemně informovat.</w:t>
      </w:r>
    </w:p>
    <w:p w:rsidR="00FE08FF" w:rsidRDefault="00FE08FF" w:rsidP="00FE08FF">
      <w:pPr>
        <w:numPr>
          <w:ilvl w:val="0"/>
          <w:numId w:val="1"/>
        </w:numPr>
        <w:spacing w:after="120"/>
        <w:ind w:left="357" w:hanging="357"/>
        <w:jc w:val="both"/>
        <w:rPr>
          <w:szCs w:val="24"/>
        </w:rPr>
      </w:pPr>
      <w:r w:rsidRPr="008C23D1">
        <w:rPr>
          <w:szCs w:val="24"/>
        </w:rPr>
        <w:t>Nemocnice bere na vědomí, že výše Vyrovnávací platby, jakož i výše záloh na ni, musí být v každém jednotlivém případě schválena Zastupitelstvem Karlovarského kraje a že tedy pro případ neschválení jejich výše Zastupitelstvem Karlovarského kraje nebudou tyto platby Krajem Nemocnici poskytnuty, respektive budou poskytnuty pouze ve schválené výši.</w:t>
      </w:r>
    </w:p>
    <w:p w:rsidR="00FE08FF" w:rsidRPr="008C23D1" w:rsidRDefault="00FE08FF" w:rsidP="00FE08FF">
      <w:pPr>
        <w:spacing w:after="120"/>
        <w:ind w:left="357"/>
        <w:jc w:val="both"/>
        <w:rPr>
          <w:szCs w:val="24"/>
        </w:rPr>
      </w:pPr>
    </w:p>
    <w:p w:rsidR="00FE08FF" w:rsidRDefault="00FE08FF" w:rsidP="00FE08FF">
      <w:pPr>
        <w:jc w:val="center"/>
        <w:rPr>
          <w:b/>
        </w:rPr>
      </w:pPr>
    </w:p>
    <w:p w:rsidR="00FE08FF" w:rsidRDefault="00FE08FF" w:rsidP="00FE08FF">
      <w:pPr>
        <w:jc w:val="center"/>
        <w:rPr>
          <w:b/>
        </w:rPr>
      </w:pPr>
    </w:p>
    <w:p w:rsidR="00FE08FF" w:rsidRDefault="00FE08FF" w:rsidP="00FE08FF">
      <w:pPr>
        <w:jc w:val="center"/>
        <w:rPr>
          <w:b/>
        </w:rPr>
      </w:pPr>
    </w:p>
    <w:p w:rsidR="00FE08FF" w:rsidRDefault="00FE08FF" w:rsidP="00FE08FF">
      <w:pPr>
        <w:jc w:val="center"/>
        <w:rPr>
          <w:b/>
        </w:rPr>
      </w:pPr>
    </w:p>
    <w:p w:rsidR="00FE08FF" w:rsidRPr="008C23D1" w:rsidRDefault="00FE08FF" w:rsidP="00FE08FF">
      <w:pPr>
        <w:jc w:val="center"/>
        <w:rPr>
          <w:b/>
        </w:rPr>
      </w:pPr>
    </w:p>
    <w:p w:rsidR="00FE08FF" w:rsidRPr="006F53F3" w:rsidRDefault="00FE08FF" w:rsidP="00FE08FF">
      <w:pPr>
        <w:pStyle w:val="Bezmezer"/>
        <w:jc w:val="center"/>
        <w:rPr>
          <w:b/>
        </w:rPr>
      </w:pPr>
      <w:r w:rsidRPr="006F53F3">
        <w:rPr>
          <w:b/>
        </w:rPr>
        <w:t>VII.</w:t>
      </w:r>
    </w:p>
    <w:p w:rsidR="00FE08FF" w:rsidRPr="006F53F3" w:rsidRDefault="00FE08FF" w:rsidP="00FE08FF">
      <w:pPr>
        <w:pStyle w:val="Bezmezer"/>
        <w:jc w:val="center"/>
        <w:rPr>
          <w:b/>
          <w:u w:val="single"/>
        </w:rPr>
      </w:pPr>
      <w:r w:rsidRPr="006F53F3">
        <w:rPr>
          <w:b/>
          <w:u w:val="single"/>
        </w:rPr>
        <w:t>Kontrola výše Vyrovnávací platby</w:t>
      </w:r>
    </w:p>
    <w:p w:rsidR="00FE08FF" w:rsidRPr="006F53F3" w:rsidRDefault="00FE08FF" w:rsidP="00FE08FF">
      <w:pPr>
        <w:pStyle w:val="Bezmezer"/>
        <w:jc w:val="center"/>
        <w:rPr>
          <w:b/>
          <w:u w:val="single"/>
        </w:rPr>
      </w:pPr>
    </w:p>
    <w:p w:rsidR="00FE08FF" w:rsidRDefault="00FE08FF" w:rsidP="00FE08FF">
      <w:pPr>
        <w:pStyle w:val="Bezmezer"/>
        <w:numPr>
          <w:ilvl w:val="0"/>
          <w:numId w:val="2"/>
        </w:numPr>
        <w:spacing w:after="120"/>
        <w:ind w:left="357" w:hanging="357"/>
        <w:jc w:val="both"/>
      </w:pPr>
      <w:r>
        <w:t>Nemocnice je povinna umožnit Kraji nebo jím určenému subjektu kdykoliv na vyžádání Kraje provedení kontroly veškerých dat, účetních dokladů a dalších dokumentů potřebných pro posouzení správnosti výpočtu Vyrovnávací platby v rámci Předběžné kalkulace, Výsledné kalkulace či v rámci Mimořádné kalkulace. Při těchto kontrolách je Nemocnice povinna poskytnout Kraji veškerou nezbytnou součinnost.</w:t>
      </w:r>
    </w:p>
    <w:p w:rsidR="00FE08FF" w:rsidRDefault="00FE08FF" w:rsidP="00FE08FF">
      <w:pPr>
        <w:pStyle w:val="Bezmezer"/>
        <w:numPr>
          <w:ilvl w:val="0"/>
          <w:numId w:val="2"/>
        </w:numPr>
        <w:spacing w:after="120"/>
        <w:ind w:left="357" w:hanging="357"/>
        <w:jc w:val="both"/>
      </w:pPr>
      <w:r>
        <w:t>Kraj je dále oprávněn provést srovnání, zda náklady na poskytování Služeb Nemocnicí vykázané v rámci Předběžné kalkulace, Výsledné kalkulace či v rámci Mimořádné kalkulace odpovídají nákladům obvykle vynakládaným na poskytování shodných služeb subjekty srovnatelnými s Nemocnicí.</w:t>
      </w:r>
    </w:p>
    <w:p w:rsidR="00FE08FF" w:rsidRDefault="00FE08FF" w:rsidP="00FE08FF">
      <w:pPr>
        <w:pStyle w:val="Bezmezer"/>
        <w:numPr>
          <w:ilvl w:val="0"/>
          <w:numId w:val="2"/>
        </w:numPr>
        <w:spacing w:after="120"/>
        <w:ind w:left="357" w:hanging="357"/>
        <w:jc w:val="both"/>
      </w:pPr>
      <w:r>
        <w:t xml:space="preserve">Dospěje-li Kraj na základě srovnání nákladů provedeného dle odst. 2 tohoto článku k závěru, že náklady vykázané Nemocnicí v rámci Předběžné kalkulace, Výsledné kalkulace či v rámci Mimořádné kalkulace převyšují náklady obvykle vynakládané na poskytování shodných služeb subjekty srovnatelnými s Nemocnicí, je oprávněn Vyrovnávací platbu za příslušný kalendářní rok způsobem odpovídajícím zjištěnému rozdílu snížit. Bude-li Vyrovnávací platba v době zjištění rozdílu dle předchozí věty tohoto odstavce již Nemocnici vyplacena, bude takto zjištěný rozdíl představovat nadměrnou Vyrovnávací platbu, kterou je </w:t>
      </w:r>
      <w:r>
        <w:rPr>
          <w:szCs w:val="24"/>
        </w:rPr>
        <w:t>Nemocnice povinna vrátit na účet Kraje uvedený v záhlaví této Smlouvy nejpozději do jednoho měsíce ode dne, v němž bude k vrácení této nadměrné Vyrovnávací platby Krajem vyzvána.</w:t>
      </w:r>
    </w:p>
    <w:p w:rsidR="00FE08FF" w:rsidRPr="006F53F3" w:rsidRDefault="00FE08FF" w:rsidP="00FE08FF">
      <w:pPr>
        <w:pStyle w:val="Bezmezer"/>
        <w:numPr>
          <w:ilvl w:val="0"/>
          <w:numId w:val="2"/>
        </w:numPr>
        <w:spacing w:after="120"/>
        <w:ind w:left="357" w:hanging="357"/>
        <w:jc w:val="both"/>
      </w:pPr>
      <w:r w:rsidRPr="006F53F3">
        <w:t xml:space="preserve">Kraj je rovněž oprávněn průběžně porovnávat, zda výše přiměřeného zisku stanovená v příloze č. 2 této smlouvy odpovídá průměrné míře návratnosti vlastního kapitálu platné ve zdravotnictví, přičemž dospěje-li k závěru, že výše přiměřeného zisku stanovená v příloze č. 2 této smlouvy tuto míru překračuje, je oprávněn Vyrovnávací platbu za příslušný kalendářní rok způsobem odpovídajícím zjištěnému rozdílu snížit. Bude-li Vyrovnávací platba v době zjištění rozdílu dle předchozí věty tohoto odstavce již Nemocnici vyplacena, bude takto zjištěný rozdíl představovat nadměrnou Vyrovnávací platbu, kterou je </w:t>
      </w:r>
      <w:r w:rsidRPr="006F53F3">
        <w:rPr>
          <w:szCs w:val="24"/>
        </w:rPr>
        <w:t>Nemocnice povinna vrátit na účet Kraje uvedený v záhlaví této smlouvy nejpozději do jednoho měsíce ode dne, v němž bude k vrácení této nadměrné Vyrovnávací platby Krajem vyzvána.</w:t>
      </w:r>
    </w:p>
    <w:p w:rsidR="00FE08FF" w:rsidRPr="006F53F3" w:rsidRDefault="00FE08FF" w:rsidP="00FE08FF">
      <w:pPr>
        <w:pStyle w:val="Bezmezer"/>
        <w:numPr>
          <w:ilvl w:val="0"/>
          <w:numId w:val="2"/>
        </w:numPr>
        <w:spacing w:after="120"/>
        <w:ind w:left="357" w:hanging="357"/>
        <w:jc w:val="both"/>
      </w:pPr>
      <w:r w:rsidRPr="006F53F3">
        <w:rPr>
          <w:szCs w:val="24"/>
        </w:rPr>
        <w:t xml:space="preserve">Pro případ, že nastane některá ze situací předpokládaných v odst. 3 či v odst. 4 tohoto článku, se smluvní strany zavazují uzavřít dodatek k této </w:t>
      </w:r>
      <w:r>
        <w:rPr>
          <w:szCs w:val="24"/>
        </w:rPr>
        <w:t>S</w:t>
      </w:r>
      <w:r w:rsidRPr="006F53F3">
        <w:rPr>
          <w:szCs w:val="24"/>
        </w:rPr>
        <w:t>mlouvě, jímž odpovídajícím způsobem aktualizují ukazatele pro výpočet Vyrovnávací platby tak, aby byl vznik jakýchkoliv nadměrných Vyrovnávacích plateb do budoucna vyloučen.</w:t>
      </w:r>
    </w:p>
    <w:p w:rsidR="00FE08FF" w:rsidRPr="00627B4E" w:rsidRDefault="00FE08FF" w:rsidP="00FE08FF">
      <w:pPr>
        <w:pStyle w:val="Bezmezer"/>
        <w:numPr>
          <w:ilvl w:val="0"/>
          <w:numId w:val="2"/>
        </w:numPr>
        <w:spacing w:after="120"/>
        <w:ind w:left="357" w:hanging="357"/>
        <w:jc w:val="both"/>
      </w:pPr>
      <w:r w:rsidRPr="006F53F3">
        <w:t xml:space="preserve">Nemocnice </w:t>
      </w:r>
      <w:r w:rsidRPr="006F53F3">
        <w:rPr>
          <w:szCs w:val="24"/>
        </w:rPr>
        <w:t xml:space="preserve">je povinna nejpozději do jednoho měsíce ode dne doručení výzvy Kraje vrátit na účet Kraje uvedený v záhlaví této </w:t>
      </w:r>
      <w:r>
        <w:rPr>
          <w:szCs w:val="24"/>
        </w:rPr>
        <w:t>S</w:t>
      </w:r>
      <w:r w:rsidRPr="006F53F3">
        <w:rPr>
          <w:szCs w:val="24"/>
        </w:rPr>
        <w:t xml:space="preserve">mlouvy rovněž vyplacenou Vyrovnávací platbu, která byla ve skutečnosti Nemocnicí použita za jiným účelem, než je úhrada nákladů, které mohou být ve smyslu článku V. odst. 3 této </w:t>
      </w:r>
      <w:r>
        <w:rPr>
          <w:szCs w:val="24"/>
        </w:rPr>
        <w:t>S</w:t>
      </w:r>
      <w:r w:rsidRPr="006F53F3">
        <w:rPr>
          <w:szCs w:val="24"/>
        </w:rPr>
        <w:t>mlouvy zohledněny při stanovení výše Vyrovnávací platby, a to vždy v rozsahu, v jakém byla Vyrovnávací platba takto nesprávně Nemocnicí použita.</w:t>
      </w:r>
    </w:p>
    <w:p w:rsidR="00FE08FF" w:rsidRDefault="00FE08FF" w:rsidP="00FE08FF">
      <w:pPr>
        <w:pStyle w:val="Bezmezer"/>
        <w:ind w:left="360"/>
        <w:jc w:val="both"/>
      </w:pPr>
    </w:p>
    <w:p w:rsidR="00FE08FF" w:rsidRDefault="00FE08FF" w:rsidP="00FE08FF">
      <w:pPr>
        <w:pStyle w:val="Bezmezer"/>
        <w:jc w:val="center"/>
        <w:rPr>
          <w:b/>
        </w:rPr>
      </w:pPr>
    </w:p>
    <w:p w:rsidR="00FE08FF" w:rsidRDefault="00FE08FF" w:rsidP="00FE08FF">
      <w:pPr>
        <w:pStyle w:val="Bezmezer"/>
        <w:jc w:val="center"/>
        <w:rPr>
          <w:b/>
        </w:rPr>
      </w:pPr>
    </w:p>
    <w:p w:rsidR="00FE08FF" w:rsidRDefault="00FE08FF" w:rsidP="00FE08FF">
      <w:pPr>
        <w:pStyle w:val="Bezmezer"/>
        <w:jc w:val="center"/>
        <w:rPr>
          <w:b/>
        </w:rPr>
      </w:pPr>
    </w:p>
    <w:p w:rsidR="00FE08FF" w:rsidRDefault="00FE08FF" w:rsidP="00FE08FF">
      <w:pPr>
        <w:pStyle w:val="Bezmezer"/>
        <w:jc w:val="center"/>
        <w:rPr>
          <w:b/>
        </w:rPr>
      </w:pPr>
    </w:p>
    <w:p w:rsidR="00FE08FF" w:rsidRPr="006F53F3" w:rsidRDefault="00FE08FF" w:rsidP="00FE08FF">
      <w:pPr>
        <w:pStyle w:val="Bezmezer"/>
        <w:jc w:val="center"/>
        <w:rPr>
          <w:b/>
        </w:rPr>
      </w:pPr>
      <w:r w:rsidRPr="006F53F3">
        <w:rPr>
          <w:b/>
        </w:rPr>
        <w:t>VIII.</w:t>
      </w:r>
    </w:p>
    <w:p w:rsidR="00FE08FF" w:rsidRPr="006F53F3" w:rsidRDefault="00FE08FF" w:rsidP="00FE08FF">
      <w:pPr>
        <w:pStyle w:val="Bezmezer"/>
        <w:jc w:val="center"/>
        <w:rPr>
          <w:b/>
          <w:u w:val="single"/>
        </w:rPr>
      </w:pPr>
      <w:r w:rsidRPr="006F53F3">
        <w:rPr>
          <w:b/>
          <w:u w:val="single"/>
        </w:rPr>
        <w:t>Další povinnosti Nemocnice</w:t>
      </w:r>
    </w:p>
    <w:p w:rsidR="00FE08FF" w:rsidRPr="006F53F3" w:rsidRDefault="00FE08FF" w:rsidP="00FE08FF">
      <w:pPr>
        <w:pStyle w:val="Bezmezer"/>
      </w:pPr>
    </w:p>
    <w:p w:rsidR="00FE08FF" w:rsidRPr="006F53F3" w:rsidRDefault="00FE08FF" w:rsidP="00FE08FF">
      <w:pPr>
        <w:pStyle w:val="Bezmezer"/>
        <w:jc w:val="both"/>
      </w:pPr>
      <w:r w:rsidRPr="006F53F3">
        <w:t xml:space="preserve">Nemocnice je nad rámec ostatních svých povinností vyplývajících z této </w:t>
      </w:r>
      <w:r>
        <w:t>S</w:t>
      </w:r>
      <w:r w:rsidRPr="006F53F3">
        <w:t>mlouvy zejména povinna:</w:t>
      </w:r>
    </w:p>
    <w:p w:rsidR="00FE08FF" w:rsidRPr="006F53F3" w:rsidRDefault="00FE08FF" w:rsidP="00FE08FF">
      <w:pPr>
        <w:pStyle w:val="Bezmezer"/>
        <w:numPr>
          <w:ilvl w:val="0"/>
          <w:numId w:val="4"/>
        </w:numPr>
        <w:jc w:val="both"/>
      </w:pPr>
      <w:r w:rsidRPr="006F53F3">
        <w:t xml:space="preserve">používat prostředky z vyplacených Vyrovnávacích plateb výlučně </w:t>
      </w:r>
      <w:r w:rsidRPr="006F53F3">
        <w:rPr>
          <w:szCs w:val="24"/>
        </w:rPr>
        <w:t xml:space="preserve">na úhradu nákladů, které mohou být ve smyslu článku V. odst. 3 této </w:t>
      </w:r>
      <w:r>
        <w:rPr>
          <w:szCs w:val="24"/>
        </w:rPr>
        <w:t>S</w:t>
      </w:r>
      <w:r w:rsidRPr="006F53F3">
        <w:rPr>
          <w:szCs w:val="24"/>
        </w:rPr>
        <w:t>mlouvy zohledněny při stanovení výše Vyrovnávací platby;</w:t>
      </w:r>
    </w:p>
    <w:p w:rsidR="00FE08FF" w:rsidRPr="006F53F3" w:rsidRDefault="00FE08FF" w:rsidP="00FE08FF">
      <w:pPr>
        <w:pStyle w:val="Bezmezer"/>
        <w:numPr>
          <w:ilvl w:val="0"/>
          <w:numId w:val="4"/>
        </w:numPr>
        <w:jc w:val="both"/>
      </w:pPr>
      <w:r w:rsidRPr="006F53F3">
        <w:t xml:space="preserve">poskytovat Služby </w:t>
      </w:r>
      <w:r>
        <w:t xml:space="preserve">na náležité odborné úrovni (tzn. </w:t>
      </w:r>
      <w:r w:rsidRPr="00005DEF">
        <w:t>podle pravidel vědy a uznávaných medicínských postupů, s ohledem na konkrétní podmínky a objektivní možnosti</w:t>
      </w:r>
      <w:r>
        <w:t>)</w:t>
      </w:r>
      <w:r>
        <w:br/>
      </w:r>
      <w:r w:rsidRPr="006F53F3">
        <w:t xml:space="preserve">a </w:t>
      </w:r>
      <w:r>
        <w:t xml:space="preserve">v souladu s </w:t>
      </w:r>
      <w:r w:rsidRPr="006F53F3">
        <w:t>veškerými obecně závaznými právními předpisy;</w:t>
      </w:r>
    </w:p>
    <w:p w:rsidR="00FE08FF" w:rsidRPr="00F247EE" w:rsidRDefault="00FE08FF" w:rsidP="00FE08FF">
      <w:pPr>
        <w:pStyle w:val="Bezmezer"/>
        <w:numPr>
          <w:ilvl w:val="0"/>
          <w:numId w:val="4"/>
        </w:numPr>
        <w:jc w:val="both"/>
      </w:pPr>
      <w:r w:rsidRPr="00F247EE">
        <w:t>zajistit dostatečné personální, věcné a technické vybavení nezbytné pro poskytování Služeb v souladu s právními předpisy</w:t>
      </w:r>
      <w:r>
        <w:t>. U personálního zabezpečení zajistit nepřetržitou přítomnost minimálně 1 lékaře způsobilého k samostatnému výkonu povolání lékaře dle zákona č. 95/2004 Sb., o podmínkách získávání a uznávání odborné způsobilosti a specializované způsobilosti k výkonu zdravotnického povolování  lékaře, zubního lékaře a farmaceuta, ve znění pozdějších předpisů a 1 zdravotnického pracovníka způsobilého alespoň k výkonu povolání všeobecné sestra bez dohledu dle zákona č. 96/2004 Sb., o podmínkách získávání a uznávání způsobilosti k výkonu nelékařských zdravotnických povolání a k výkonu činností souvisejících s poskytováním zdravotní péče a o změně některých souvisejících zákonů, ve znění pozdějších předpisů.</w:t>
      </w:r>
    </w:p>
    <w:p w:rsidR="00FE08FF" w:rsidRDefault="00FE08FF" w:rsidP="00FE08FF">
      <w:pPr>
        <w:pStyle w:val="Bezmezer"/>
        <w:numPr>
          <w:ilvl w:val="0"/>
          <w:numId w:val="4"/>
        </w:numPr>
        <w:jc w:val="both"/>
      </w:pPr>
      <w:r w:rsidRPr="006F53F3">
        <w:t xml:space="preserve">zajistit, aby po celou dobu trvání této </w:t>
      </w:r>
      <w:r>
        <w:t>S</w:t>
      </w:r>
      <w:r w:rsidRPr="006F53F3">
        <w:t xml:space="preserve">mlouvy byla Nemocnice ve smyslu příslušných právních předpisů řádně oprávněna poskytovat veškeré Služby v souladu s touto </w:t>
      </w:r>
      <w:r>
        <w:t>S</w:t>
      </w:r>
      <w:r w:rsidRPr="006F53F3">
        <w:t>mlouvou;</w:t>
      </w:r>
    </w:p>
    <w:p w:rsidR="00FE08FF" w:rsidRPr="00F247EE" w:rsidRDefault="00FE08FF" w:rsidP="00FE08FF">
      <w:pPr>
        <w:pStyle w:val="Bezmezer"/>
        <w:numPr>
          <w:ilvl w:val="0"/>
          <w:numId w:val="4"/>
        </w:numPr>
        <w:jc w:val="both"/>
      </w:pPr>
      <w:r w:rsidRPr="00F247EE">
        <w:t>v rámci lékařské pohotovostní služby v oboru chirurgie zajistit možnost vyšetření pacientů na skiagrafickém a ultrazvukovém pracovišti a také dostupnost laboratorního vyšetření na laboratorním pracovišti během ordinačních hodin. Skiagrafické a ultrazvukové pracoviště musí být umístěno ve stejném zdravotnickém zařízení (areálu) jako chirurgická ambulance. Laboratorní pracoviště nemusí být umístěno ve stejném zdravotnickém zařízení (areálu) jako chirurgická ambulance, ale musí být umístěno tak, aby bylo možné bez zbytečného prodlení provést nezbytná laboratorní vyšetření.</w:t>
      </w:r>
    </w:p>
    <w:p w:rsidR="00FE08FF" w:rsidRPr="00F247EE" w:rsidRDefault="00FE08FF" w:rsidP="00FE08FF">
      <w:pPr>
        <w:pStyle w:val="Bezmezer"/>
        <w:numPr>
          <w:ilvl w:val="0"/>
          <w:numId w:val="4"/>
        </w:numPr>
        <w:jc w:val="both"/>
      </w:pPr>
      <w:r>
        <w:t>v</w:t>
      </w:r>
      <w:r w:rsidRPr="00F247EE">
        <w:t> rámci lékařské pohotovostní služby v oboru všeobecné praktické lékařství zajistit dostupnost laboratorního vyšetření během ordinačních hodin. Laboratorní pracoviště nemusí být umístěno ve stejném zdravotnickém zařízení (areálu) jako LPS v oboru všeobecné praktické lékařství, ale musí být umístěno tak, aby bylo možné bez zbytečného prodlení provést nezbytná laboratorní vyšetření.</w:t>
      </w:r>
    </w:p>
    <w:p w:rsidR="00FE08FF" w:rsidRPr="006F53F3" w:rsidRDefault="00FE08FF" w:rsidP="00FE08FF">
      <w:pPr>
        <w:pStyle w:val="Bezmezer"/>
        <w:numPr>
          <w:ilvl w:val="0"/>
          <w:numId w:val="4"/>
        </w:numPr>
        <w:jc w:val="both"/>
      </w:pPr>
      <w:r w:rsidRPr="006F53F3">
        <w:t>vykazovat příjmy (výnosy) a výdaje (náklady) spojené s poskytováním Služeb na straně jedné a s jinými činnostmi Nemocnice na straně druhé ve svém účetnictví odděleně a zároveň vždy uvést, podle jakých měřítek byly jednotlivé příjmy (výnosy) a výdaje (náklady) Nemocnicí zařazeny do té či oné skupiny</w:t>
      </w:r>
      <w:r>
        <w:t xml:space="preserve"> – viz příloha č. 2 a Metodický pokyn</w:t>
      </w:r>
      <w:r w:rsidRPr="006F53F3">
        <w:t>;</w:t>
      </w:r>
    </w:p>
    <w:p w:rsidR="00FE08FF" w:rsidRDefault="00FE08FF" w:rsidP="00FE08FF">
      <w:pPr>
        <w:pStyle w:val="Bezmezer"/>
        <w:numPr>
          <w:ilvl w:val="0"/>
          <w:numId w:val="4"/>
        </w:numPr>
        <w:jc w:val="both"/>
      </w:pPr>
      <w:r w:rsidRPr="006F53F3">
        <w:t>vést účetnictví v souladu s příslušnými právními předpisy, tedy zejména tak, aby bylo správné, úplné, průkazné, srozumitelné, přehledné a aby zaručovalo trvalost účetních záznamů;</w:t>
      </w:r>
    </w:p>
    <w:p w:rsidR="00FE08FF" w:rsidRPr="006F53F3" w:rsidRDefault="00FE08FF" w:rsidP="00FE08FF">
      <w:pPr>
        <w:pStyle w:val="Bezmezer"/>
        <w:numPr>
          <w:ilvl w:val="0"/>
          <w:numId w:val="4"/>
        </w:numPr>
        <w:jc w:val="both"/>
      </w:pPr>
      <w:r w:rsidRPr="006F53F3">
        <w:t xml:space="preserve">uchovávat veškeré účetní doklady prokazující správnost výpočtu výše Vyrovnávací platby po dobu deseti let od konce kalendářního roku, za který byla Vyrovnávací platba Krajem Nemocnici poskytnuta;   </w:t>
      </w:r>
    </w:p>
    <w:p w:rsidR="00FE08FF" w:rsidRPr="006F53F3" w:rsidRDefault="00FE08FF" w:rsidP="00FE08FF">
      <w:pPr>
        <w:pStyle w:val="Bezmezer"/>
        <w:numPr>
          <w:ilvl w:val="0"/>
          <w:numId w:val="4"/>
        </w:numPr>
        <w:jc w:val="both"/>
      </w:pPr>
      <w:r w:rsidRPr="006F53F3">
        <w:t>postupovat při poskytování Služeb, jakož i v rámci své veškeré další činnosti, s péčí řádného hospodáře, to je zejména nezvyšovat náklady na svoji činnost nad míru obvyklou a nesnižovat bezdůvodně výnosy ze své činnosti. V tomto směru je Nemocnice především povinna při nákupu zdravotnického materiálu, zařízení jakož</w:t>
      </w:r>
      <w:r>
        <w:br/>
      </w:r>
      <w:r w:rsidRPr="006F53F3">
        <w:t>i dalšího zboží a služeb dbát důsledně na to, aby náklady s tím spojené byly při zachování nezbytné kvality pořizovaného zboží a služeb minimalizovány,</w:t>
      </w:r>
      <w:r>
        <w:br/>
      </w:r>
      <w:r w:rsidRPr="006F53F3">
        <w:t>a postupovat v souladu s obecně závaznými právními předpisy o zadávání veřejných zakázek v rozsahu těmito právními předpisy vyžadovaném;</w:t>
      </w:r>
    </w:p>
    <w:p w:rsidR="00FE08FF" w:rsidRPr="006F53F3" w:rsidRDefault="00FE08FF" w:rsidP="00FE08FF">
      <w:pPr>
        <w:pStyle w:val="Bezmezer"/>
        <w:numPr>
          <w:ilvl w:val="0"/>
          <w:numId w:val="4"/>
        </w:numPr>
        <w:jc w:val="both"/>
      </w:pPr>
      <w:r w:rsidRPr="006F53F3">
        <w:t>na vyžádání Kraje prokázat, že jakékoliv náklady na činnost Nemocnice byly vynaloženy účelně a že tyto odpovídají obvyklé tržní ceně zboží či služeb srovnatelných se zbožím či službami, které byly za tyto náklady Nemocnicí pořízeny;</w:t>
      </w:r>
    </w:p>
    <w:p w:rsidR="00FE08FF" w:rsidRPr="006F53F3" w:rsidRDefault="00FE08FF" w:rsidP="00FE08FF">
      <w:pPr>
        <w:pStyle w:val="Bezmezer"/>
        <w:numPr>
          <w:ilvl w:val="0"/>
          <w:numId w:val="4"/>
        </w:numPr>
        <w:jc w:val="both"/>
      </w:pPr>
      <w:r w:rsidRPr="006F53F3">
        <w:t>bez předchozího písemného souhlasu Kraje neposkytovat Služby či některou z nich prostřednictvím třetího subjektu;</w:t>
      </w:r>
    </w:p>
    <w:p w:rsidR="00FE08FF" w:rsidRDefault="00FE08FF" w:rsidP="00FE08FF">
      <w:pPr>
        <w:pStyle w:val="Bezmezer"/>
        <w:numPr>
          <w:ilvl w:val="0"/>
          <w:numId w:val="4"/>
        </w:numPr>
        <w:jc w:val="both"/>
      </w:pPr>
      <w:r w:rsidRPr="006F53F3">
        <w:t xml:space="preserve">nepřevést žádná práva ani povinnosti z této </w:t>
      </w:r>
      <w:r>
        <w:t>S</w:t>
      </w:r>
      <w:r w:rsidRPr="006F53F3">
        <w:t>mlouvy na jiný subjekt bez souhlasu Kraje.</w:t>
      </w:r>
    </w:p>
    <w:p w:rsidR="00FE08FF" w:rsidRDefault="00FE08FF" w:rsidP="00FE08FF">
      <w:pPr>
        <w:pStyle w:val="Bezmezer"/>
        <w:ind w:left="720"/>
        <w:jc w:val="both"/>
      </w:pPr>
    </w:p>
    <w:p w:rsidR="00FE08FF" w:rsidRPr="006F53F3" w:rsidRDefault="00FE08FF" w:rsidP="00FE08FF">
      <w:pPr>
        <w:pStyle w:val="Bezmezer"/>
        <w:jc w:val="center"/>
        <w:rPr>
          <w:b/>
        </w:rPr>
      </w:pPr>
      <w:r w:rsidRPr="006F53F3">
        <w:rPr>
          <w:b/>
        </w:rPr>
        <w:t>IX.</w:t>
      </w:r>
    </w:p>
    <w:p w:rsidR="00FE08FF" w:rsidRPr="006F53F3" w:rsidRDefault="00FE08FF" w:rsidP="00FE08FF">
      <w:pPr>
        <w:pStyle w:val="Bezmezer"/>
        <w:jc w:val="center"/>
        <w:rPr>
          <w:b/>
          <w:u w:val="single"/>
        </w:rPr>
      </w:pPr>
      <w:r w:rsidRPr="006F53F3">
        <w:rPr>
          <w:b/>
          <w:u w:val="single"/>
        </w:rPr>
        <w:t>Kontrola plnění povinností Nemocnice</w:t>
      </w:r>
    </w:p>
    <w:p w:rsidR="00FE08FF" w:rsidRPr="006F53F3" w:rsidRDefault="00FE08FF" w:rsidP="00FE08FF">
      <w:pPr>
        <w:pStyle w:val="Bezmezer"/>
        <w:jc w:val="center"/>
        <w:rPr>
          <w:b/>
          <w:u w:val="single"/>
        </w:rPr>
      </w:pPr>
    </w:p>
    <w:p w:rsidR="00FE08FF" w:rsidRPr="006F53F3" w:rsidRDefault="00FE08FF" w:rsidP="00FE08FF">
      <w:pPr>
        <w:pStyle w:val="Bezmezer"/>
        <w:numPr>
          <w:ilvl w:val="0"/>
          <w:numId w:val="13"/>
        </w:numPr>
        <w:jc w:val="both"/>
      </w:pPr>
      <w:r w:rsidRPr="006F53F3">
        <w:t xml:space="preserve">Kraj má právo kontrolovat plnění povinností Nemocnice při poskytování Služeb sjednaných v této </w:t>
      </w:r>
      <w:r>
        <w:t>S</w:t>
      </w:r>
      <w:r w:rsidRPr="006F53F3">
        <w:t>mlouvě nebo vyplývajících z příslušných právních předpisů, a to sám</w:t>
      </w:r>
      <w:r>
        <w:t xml:space="preserve"> prostřednictvím zaměstnanců zařazených v Krajském úřadu Karlovarského kraje</w:t>
      </w:r>
      <w:r w:rsidRPr="006F53F3">
        <w:t xml:space="preserve"> nebo prostřednictv</w:t>
      </w:r>
      <w:r>
        <w:t>ím pověřeného subjektu</w:t>
      </w:r>
      <w:r w:rsidRPr="006F53F3">
        <w:t>. Pověří-li Kraj prováděním kontroly jiný subjekt, má tento subjekt všechna práva Kraje uvedená v tomto článku a Nemocnice má vůči němu tytéž povinnosti, jako vůči Kraji, nebude-li Krajem určeno jinak.</w:t>
      </w:r>
    </w:p>
    <w:p w:rsidR="00FE08FF" w:rsidRPr="006F53F3" w:rsidRDefault="00FE08FF" w:rsidP="00FE08FF">
      <w:pPr>
        <w:pStyle w:val="Bezmezer"/>
        <w:numPr>
          <w:ilvl w:val="0"/>
          <w:numId w:val="13"/>
        </w:numPr>
        <w:jc w:val="both"/>
      </w:pPr>
      <w:r w:rsidRPr="006F53F3">
        <w:t>Za účelem provádění kontroly má Kraj právo přístupu do všech prostor, v nichž Nemocnice provozuje své činnosti, pokud to nevylučují právní předpisy.</w:t>
      </w:r>
    </w:p>
    <w:p w:rsidR="00FE08FF" w:rsidRPr="006F53F3" w:rsidRDefault="00FE08FF" w:rsidP="00FE08FF">
      <w:pPr>
        <w:pStyle w:val="Bezmezer"/>
        <w:numPr>
          <w:ilvl w:val="0"/>
          <w:numId w:val="13"/>
        </w:numPr>
        <w:jc w:val="both"/>
      </w:pPr>
      <w:r w:rsidRPr="006F53F3">
        <w:t xml:space="preserve">Nemocnice je povinna poskytnout Kraji součinnost při provádění všech kontrol a zejména poskytnout Kraji </w:t>
      </w:r>
      <w:r>
        <w:t>originály veškerých nezbytných dokladů</w:t>
      </w:r>
      <w:r w:rsidRPr="006F53F3">
        <w:t>, elektronicky i v papírové podobě.</w:t>
      </w:r>
    </w:p>
    <w:p w:rsidR="00FE08FF" w:rsidRPr="006F53F3" w:rsidRDefault="00FE08FF" w:rsidP="00FE08FF">
      <w:pPr>
        <w:pStyle w:val="Bezmezer"/>
        <w:numPr>
          <w:ilvl w:val="0"/>
          <w:numId w:val="13"/>
        </w:numPr>
        <w:jc w:val="both"/>
      </w:pPr>
      <w:r w:rsidRPr="006F53F3">
        <w:t>Nemocnice je povinna poskytnout na výzvu Kraje dle jeho požadavku ústní nebo písemné vysvětlení k dotazům Kraje.</w:t>
      </w:r>
    </w:p>
    <w:p w:rsidR="00FE08FF" w:rsidRDefault="00FE08FF" w:rsidP="00FE08FF">
      <w:pPr>
        <w:pStyle w:val="Bezmezer"/>
        <w:numPr>
          <w:ilvl w:val="0"/>
          <w:numId w:val="13"/>
        </w:numPr>
        <w:jc w:val="both"/>
      </w:pPr>
      <w:r w:rsidRPr="006F53F3">
        <w:t xml:space="preserve">Další práva Kraje týkající se kontroly výše Vyrovnávací platby jsou sjednána v článku VII. této </w:t>
      </w:r>
      <w:r>
        <w:t>S</w:t>
      </w:r>
      <w:r w:rsidRPr="006F53F3">
        <w:t>mlouvy.</w:t>
      </w:r>
    </w:p>
    <w:p w:rsidR="00FE08FF" w:rsidRDefault="00FE08FF" w:rsidP="00FE08FF">
      <w:pPr>
        <w:pStyle w:val="Bezmezer"/>
        <w:jc w:val="center"/>
        <w:rPr>
          <w:b/>
        </w:rPr>
      </w:pPr>
    </w:p>
    <w:p w:rsidR="00FE08FF" w:rsidRDefault="00FE08FF" w:rsidP="00FE08FF">
      <w:pPr>
        <w:pStyle w:val="Bezmezer"/>
        <w:jc w:val="center"/>
        <w:rPr>
          <w:b/>
        </w:rPr>
      </w:pPr>
    </w:p>
    <w:p w:rsidR="00FE08FF" w:rsidRPr="006F53F3" w:rsidRDefault="00FE08FF" w:rsidP="00FE08FF">
      <w:pPr>
        <w:pStyle w:val="Bezmezer"/>
        <w:jc w:val="center"/>
        <w:rPr>
          <w:b/>
        </w:rPr>
      </w:pPr>
      <w:r w:rsidRPr="006F53F3">
        <w:rPr>
          <w:b/>
        </w:rPr>
        <w:t>XI.</w:t>
      </w:r>
    </w:p>
    <w:p w:rsidR="00FE08FF" w:rsidRPr="006F53F3" w:rsidRDefault="00FE08FF" w:rsidP="00FE08FF">
      <w:pPr>
        <w:pStyle w:val="Bezmezer"/>
        <w:jc w:val="center"/>
        <w:rPr>
          <w:b/>
          <w:u w:val="single"/>
        </w:rPr>
      </w:pPr>
      <w:r w:rsidRPr="006F53F3">
        <w:rPr>
          <w:b/>
          <w:u w:val="single"/>
        </w:rPr>
        <w:t>Předčasné ukončení smlouvy</w:t>
      </w:r>
    </w:p>
    <w:p w:rsidR="00FE08FF" w:rsidRPr="006F53F3" w:rsidRDefault="00FE08FF" w:rsidP="00FE08FF">
      <w:pPr>
        <w:pStyle w:val="Bezmezer"/>
        <w:jc w:val="both"/>
      </w:pPr>
    </w:p>
    <w:p w:rsidR="00FE08FF" w:rsidRPr="006F53F3" w:rsidRDefault="00FE08FF" w:rsidP="00FE08FF">
      <w:pPr>
        <w:pStyle w:val="Bezmezer"/>
        <w:jc w:val="both"/>
      </w:pPr>
      <w:r w:rsidRPr="006F53F3">
        <w:t xml:space="preserve">Tato </w:t>
      </w:r>
      <w:r>
        <w:t>S</w:t>
      </w:r>
      <w:r w:rsidRPr="006F53F3">
        <w:t>mlouva může být před uplynutím doby</w:t>
      </w:r>
      <w:r>
        <w:t xml:space="preserve"> jejího</w:t>
      </w:r>
      <w:r w:rsidRPr="006F53F3">
        <w:t xml:space="preserve"> trvání této </w:t>
      </w:r>
      <w:r>
        <w:t>S</w:t>
      </w:r>
      <w:r w:rsidRPr="006F53F3">
        <w:t>mlouvy sjednané v článku III. této smlouvy ukončena</w:t>
      </w:r>
      <w:r>
        <w:t>:</w:t>
      </w:r>
      <w:r w:rsidRPr="006F53F3">
        <w:t xml:space="preserve"> </w:t>
      </w:r>
    </w:p>
    <w:p w:rsidR="00FE08FF" w:rsidRPr="006F53F3" w:rsidRDefault="00FE08FF" w:rsidP="00FE08FF">
      <w:pPr>
        <w:pStyle w:val="Bezmezer"/>
        <w:jc w:val="both"/>
      </w:pPr>
    </w:p>
    <w:p w:rsidR="00FE08FF" w:rsidRPr="006F53F3" w:rsidRDefault="00FE08FF" w:rsidP="00FE08FF">
      <w:pPr>
        <w:pStyle w:val="Bezmezer"/>
        <w:numPr>
          <w:ilvl w:val="0"/>
          <w:numId w:val="9"/>
        </w:numPr>
        <w:jc w:val="both"/>
      </w:pPr>
      <w:r w:rsidRPr="006F53F3">
        <w:t>písemnou dohodou smluvních stran;</w:t>
      </w:r>
    </w:p>
    <w:p w:rsidR="00FE08FF" w:rsidRPr="006F53F3" w:rsidRDefault="00FE08FF" w:rsidP="00FE08FF">
      <w:pPr>
        <w:pStyle w:val="Bezmezer"/>
        <w:ind w:left="360"/>
        <w:jc w:val="both"/>
      </w:pPr>
    </w:p>
    <w:p w:rsidR="00FE08FF" w:rsidRPr="006F53F3" w:rsidRDefault="00FE08FF" w:rsidP="00FE08FF">
      <w:pPr>
        <w:pStyle w:val="Bezmezer"/>
        <w:numPr>
          <w:ilvl w:val="0"/>
          <w:numId w:val="9"/>
        </w:numPr>
        <w:jc w:val="both"/>
      </w:pPr>
      <w:r w:rsidRPr="006F53F3">
        <w:t>písemnou výpovědí ze strany Kraje v případě, že:</w:t>
      </w:r>
    </w:p>
    <w:p w:rsidR="00FE08FF" w:rsidRPr="006F53F3" w:rsidRDefault="00FE08FF" w:rsidP="00FE08FF">
      <w:pPr>
        <w:pStyle w:val="Bezmezer"/>
        <w:numPr>
          <w:ilvl w:val="0"/>
          <w:numId w:val="10"/>
        </w:numPr>
        <w:jc w:val="both"/>
      </w:pPr>
      <w:r w:rsidRPr="006F53F3">
        <w:t xml:space="preserve">Nemocnice podstatným způsobem nebo opakovaně poruší kteroukoliv z povinností vyplývajících jí z této </w:t>
      </w:r>
      <w:r>
        <w:t>S</w:t>
      </w:r>
      <w:r w:rsidRPr="006F53F3">
        <w:t>mlouvy či obecně závazných právních předpisů;</w:t>
      </w:r>
    </w:p>
    <w:p w:rsidR="00FE08FF" w:rsidRPr="006F53F3" w:rsidRDefault="00FE08FF" w:rsidP="00FE08FF">
      <w:pPr>
        <w:pStyle w:val="Bezmezer"/>
        <w:numPr>
          <w:ilvl w:val="0"/>
          <w:numId w:val="10"/>
        </w:numPr>
        <w:jc w:val="both"/>
      </w:pPr>
      <w:r w:rsidRPr="006F53F3">
        <w:t>Nemocnice pozbude oprávnění k poskytování Služeb nebo některé z nich;</w:t>
      </w:r>
    </w:p>
    <w:p w:rsidR="00FE08FF" w:rsidRPr="006F53F3" w:rsidRDefault="00FE08FF" w:rsidP="00FE08FF">
      <w:pPr>
        <w:pStyle w:val="Bezmezer"/>
        <w:numPr>
          <w:ilvl w:val="0"/>
          <w:numId w:val="10"/>
        </w:numPr>
        <w:jc w:val="both"/>
      </w:pPr>
      <w:r w:rsidRPr="006F53F3">
        <w:t xml:space="preserve">nastane situace předpokládaná v ustanovení článku XII. odst. 3 věta poslední této </w:t>
      </w:r>
      <w:r>
        <w:t>S</w:t>
      </w:r>
      <w:r w:rsidRPr="006F53F3">
        <w:t>mlouvy;</w:t>
      </w:r>
    </w:p>
    <w:p w:rsidR="00FE08FF" w:rsidRPr="006F53F3" w:rsidRDefault="00FE08FF" w:rsidP="00FE08FF">
      <w:pPr>
        <w:pStyle w:val="Bezmezer"/>
        <w:numPr>
          <w:ilvl w:val="0"/>
          <w:numId w:val="10"/>
        </w:numPr>
        <w:jc w:val="both"/>
      </w:pPr>
      <w:r w:rsidRPr="006F53F3">
        <w:t xml:space="preserve">Nemocnice neuzavře s Krajem </w:t>
      </w:r>
      <w:r w:rsidRPr="006F53F3">
        <w:rPr>
          <w:szCs w:val="24"/>
        </w:rPr>
        <w:t xml:space="preserve">dodatek k této </w:t>
      </w:r>
      <w:r>
        <w:rPr>
          <w:szCs w:val="24"/>
        </w:rPr>
        <w:t>S</w:t>
      </w:r>
      <w:r w:rsidRPr="006F53F3">
        <w:rPr>
          <w:szCs w:val="24"/>
        </w:rPr>
        <w:t>mlouvě</w:t>
      </w:r>
      <w:r w:rsidRPr="006F53F3">
        <w:t xml:space="preserve"> ve smyslu článku VII. odst. 5 této </w:t>
      </w:r>
      <w:r>
        <w:t>S</w:t>
      </w:r>
      <w:r w:rsidRPr="006F53F3">
        <w:t>mlouvy,</w:t>
      </w:r>
    </w:p>
    <w:p w:rsidR="00FE08FF" w:rsidRDefault="00FE08FF" w:rsidP="00FE08FF">
      <w:pPr>
        <w:pStyle w:val="Bezmezer"/>
        <w:ind w:left="360"/>
        <w:jc w:val="both"/>
      </w:pPr>
      <w:r w:rsidRPr="006F53F3">
        <w:t>přičemž výpovědní lhůta činí jeden měsíc a počítá se od prvého dne kalendářního měsíce následujícího po doručení výpovědi Nemocnici;</w:t>
      </w:r>
    </w:p>
    <w:p w:rsidR="00FE08FF" w:rsidRPr="006F53F3" w:rsidRDefault="00FE08FF" w:rsidP="00FE08FF">
      <w:pPr>
        <w:pStyle w:val="Bezmezer"/>
        <w:ind w:left="360"/>
        <w:jc w:val="both"/>
      </w:pPr>
    </w:p>
    <w:p w:rsidR="00FE08FF" w:rsidRDefault="00FE08FF" w:rsidP="00FE08FF">
      <w:pPr>
        <w:pStyle w:val="Bezmezer"/>
        <w:numPr>
          <w:ilvl w:val="0"/>
          <w:numId w:val="9"/>
        </w:numPr>
        <w:jc w:val="both"/>
      </w:pPr>
      <w:r w:rsidRPr="006F53F3">
        <w:t xml:space="preserve">písemnou výpovědí ze strany Kraje bez udání důvodu doručenou Nemocnici nejpozději dva měsíce před koncem kalendářního roku, přičemž v případě této výpovědi skončí tato </w:t>
      </w:r>
      <w:r>
        <w:t>S</w:t>
      </w:r>
      <w:r w:rsidRPr="006F53F3">
        <w:t>mlouva dnem 31. prosince kalendářního roku, v němž byla výpověď Nemocnici doručena.</w:t>
      </w:r>
    </w:p>
    <w:p w:rsidR="00FE08FF" w:rsidRDefault="00FE08FF" w:rsidP="00FE08FF">
      <w:pPr>
        <w:pStyle w:val="Bezmezer"/>
        <w:jc w:val="center"/>
        <w:rPr>
          <w:b/>
        </w:rPr>
      </w:pPr>
    </w:p>
    <w:p w:rsidR="00FE08FF" w:rsidRDefault="00FE08FF" w:rsidP="00FE08FF">
      <w:pPr>
        <w:pStyle w:val="Bezmezer"/>
        <w:jc w:val="center"/>
        <w:rPr>
          <w:b/>
        </w:rPr>
      </w:pPr>
    </w:p>
    <w:p w:rsidR="00FE08FF" w:rsidRDefault="00FE08FF" w:rsidP="00FE08FF">
      <w:pPr>
        <w:pStyle w:val="Bezmezer"/>
        <w:jc w:val="center"/>
        <w:rPr>
          <w:b/>
        </w:rPr>
      </w:pPr>
    </w:p>
    <w:p w:rsidR="00FE08FF" w:rsidRDefault="00FE08FF" w:rsidP="00FE08FF">
      <w:pPr>
        <w:pStyle w:val="Bezmezer"/>
        <w:jc w:val="center"/>
        <w:rPr>
          <w:b/>
        </w:rPr>
      </w:pPr>
      <w:r w:rsidRPr="006F53F3">
        <w:rPr>
          <w:b/>
        </w:rPr>
        <w:t>XII.</w:t>
      </w:r>
    </w:p>
    <w:p w:rsidR="00FE08FF" w:rsidRPr="003F420A" w:rsidRDefault="00FE08FF" w:rsidP="00FE08FF">
      <w:pPr>
        <w:jc w:val="center"/>
        <w:rPr>
          <w:rFonts w:eastAsia="Times New Roman"/>
          <w:b/>
          <w:bCs/>
          <w:szCs w:val="24"/>
          <w:u w:val="single"/>
          <w:lang w:eastAsia="cs-CZ"/>
        </w:rPr>
      </w:pPr>
      <w:r w:rsidRPr="003F420A">
        <w:rPr>
          <w:rFonts w:eastAsia="Times New Roman"/>
          <w:b/>
          <w:bCs/>
          <w:szCs w:val="24"/>
          <w:u w:val="single"/>
          <w:lang w:eastAsia="cs-CZ"/>
        </w:rPr>
        <w:t>Důsledky porušení povinností Nemocnice</w:t>
      </w:r>
    </w:p>
    <w:p w:rsidR="00FE08FF" w:rsidRDefault="00FE08FF" w:rsidP="00FE08FF">
      <w:pPr>
        <w:pStyle w:val="Bezmezer"/>
        <w:jc w:val="center"/>
        <w:rPr>
          <w:b/>
        </w:rPr>
      </w:pPr>
    </w:p>
    <w:p w:rsidR="00FE08FF" w:rsidRPr="003F420A" w:rsidRDefault="00FE08FF" w:rsidP="00FE08FF">
      <w:pPr>
        <w:numPr>
          <w:ilvl w:val="0"/>
          <w:numId w:val="22"/>
        </w:numPr>
        <w:spacing w:after="120"/>
        <w:ind w:left="425" w:hanging="425"/>
        <w:jc w:val="both"/>
      </w:pPr>
      <w:r w:rsidRPr="003F420A">
        <w:t xml:space="preserve">V případě, že </w:t>
      </w:r>
      <w:r>
        <w:t>Nemocnice</w:t>
      </w:r>
      <w:r w:rsidRPr="003F420A">
        <w:t xml:space="preserve"> dle článku V</w:t>
      </w:r>
      <w:r>
        <w:t>I.</w:t>
      </w:r>
      <w:r w:rsidRPr="003F420A">
        <w:t xml:space="preserve"> bod </w:t>
      </w:r>
      <w:r>
        <w:t>8</w:t>
      </w:r>
      <w:r w:rsidRPr="003F420A">
        <w:t xml:space="preserve"> </w:t>
      </w:r>
      <w:r>
        <w:t>S</w:t>
      </w:r>
      <w:r w:rsidRPr="003F420A">
        <w:t xml:space="preserve">mlouvy nevrátí převodem na účet </w:t>
      </w:r>
      <w:r>
        <w:t>Kraje nadměrnou Vyrovnávací platbu</w:t>
      </w:r>
      <w:r w:rsidRPr="003F420A">
        <w:t>, považují se tyto finanční prostředky za neoprávněně zadržené ve smyslu ustanovení § 22 zákona</w:t>
      </w:r>
      <w:r>
        <w:t xml:space="preserve"> č. 250/2000 Sb.,</w:t>
      </w:r>
      <w:r w:rsidRPr="003F420A">
        <w:t xml:space="preserve"> </w:t>
      </w:r>
      <w:r>
        <w:br/>
      </w:r>
      <w:r w:rsidRPr="003F420A">
        <w:t>o rozpočtových pravidlech územních rozpočtů</w:t>
      </w:r>
      <w:r>
        <w:t>, ve znění pozdějších předpisů (dále jen „zákon o rozpočtových pravidlech územních rozpočtů“)</w:t>
      </w:r>
      <w:r w:rsidRPr="003F420A">
        <w:t xml:space="preserve">. </w:t>
      </w:r>
      <w:r>
        <w:t>Nemocnice je v takovém případě povinna</w:t>
      </w:r>
      <w:r w:rsidRPr="003F420A">
        <w:t xml:space="preserve"> provést v souladu s ustanovením § 22 zákona o rozpočtových pravidlech územních rozpočtů odvod za porušení rozpočtové kázně. </w:t>
      </w:r>
    </w:p>
    <w:p w:rsidR="00FE08FF" w:rsidRDefault="00FE08FF" w:rsidP="00FE08FF">
      <w:pPr>
        <w:numPr>
          <w:ilvl w:val="0"/>
          <w:numId w:val="22"/>
        </w:numPr>
        <w:spacing w:after="120"/>
        <w:ind w:left="425" w:hanging="425"/>
        <w:jc w:val="both"/>
      </w:pPr>
      <w:r w:rsidRPr="003F420A">
        <w:t xml:space="preserve">Jestliže </w:t>
      </w:r>
      <w:r>
        <w:t>Nemocnice poruší povinnosti uvedené v článku VI. bodě 5 Smlouvy, tedy nepředloží Výslednou kalkulaci a zprávu ověřenou auditorem ve stanoveném termínu a/nebo jestliže Nemocnice</w:t>
      </w:r>
      <w:r w:rsidRPr="003F420A">
        <w:t xml:space="preserve"> </w:t>
      </w:r>
      <w:r>
        <w:t>neprovede finanční vyúčtování V</w:t>
      </w:r>
      <w:r w:rsidRPr="003F420A">
        <w:t>yrovnávací platby</w:t>
      </w:r>
      <w:r>
        <w:t xml:space="preserve"> v souladu s touto Smlouvou nebo</w:t>
      </w:r>
      <w:r w:rsidRPr="003F420A">
        <w:t xml:space="preserve"> neprokáže způsobem stanoveným použití finančních prostředků v souladu s</w:t>
      </w:r>
      <w:r>
        <w:t> přílohou č. 2 a Metodickým pokynem</w:t>
      </w:r>
      <w:r w:rsidRPr="003F420A">
        <w:t>, považují se</w:t>
      </w:r>
      <w:r>
        <w:t xml:space="preserve"> poskytnuté finanční </w:t>
      </w:r>
      <w:r w:rsidRPr="003F420A">
        <w:t xml:space="preserve">prostředky, resp. jejich část, v rozsahu neprokázání za neoprávněně použité ve smyslu ustanovení § 22 zákona o rozpočtových pravidlech územních rozpočtů. </w:t>
      </w:r>
      <w:r>
        <w:t>Nemocnice je v takovém případě povinna</w:t>
      </w:r>
      <w:r w:rsidRPr="003F420A">
        <w:t xml:space="preserve"> provést v souladu s ustanovením § 22 zákona o rozpočtových pravidlech</w:t>
      </w:r>
      <w:r>
        <w:t xml:space="preserve"> územních rozpočtů</w:t>
      </w:r>
      <w:r w:rsidRPr="003F420A">
        <w:t xml:space="preserve"> odvod za porušení rozpočtové kázně rozpočtu </w:t>
      </w:r>
      <w:r>
        <w:t>Kraje</w:t>
      </w:r>
      <w:r w:rsidRPr="003F420A">
        <w:t xml:space="preserve">. </w:t>
      </w:r>
    </w:p>
    <w:p w:rsidR="00FE08FF" w:rsidRPr="003F420A" w:rsidRDefault="00FE08FF" w:rsidP="00FE08FF">
      <w:pPr>
        <w:numPr>
          <w:ilvl w:val="0"/>
          <w:numId w:val="22"/>
        </w:numPr>
        <w:spacing w:after="120"/>
        <w:ind w:left="425" w:hanging="425"/>
        <w:jc w:val="both"/>
      </w:pPr>
      <w:r>
        <w:rPr>
          <w:bCs/>
        </w:rPr>
        <w:t>V případě, že Kraj zjistí, že byla poskytnuta Vyrovnávací platba ve výši, která je v rozporu s touto Smlouvou i včetně jejích příloh a Metodického pokynu, tj. zejména v případě poskytnutí Vyrovnávací platby např. v důsledku nesprávně vedené oddělené evidence, neoprávněně zařazených nákladů aj., jedná se o porušení rozpočtové kázně ve smyslu § 22 zákona o rozpočtových pravidlech územních rozpočtů.</w:t>
      </w:r>
    </w:p>
    <w:p w:rsidR="00FE08FF" w:rsidRPr="003F420A" w:rsidRDefault="00FE08FF" w:rsidP="00FE08FF">
      <w:pPr>
        <w:numPr>
          <w:ilvl w:val="0"/>
          <w:numId w:val="22"/>
        </w:numPr>
        <w:spacing w:after="120"/>
        <w:ind w:left="425" w:hanging="425"/>
        <w:jc w:val="both"/>
      </w:pPr>
      <w:r w:rsidRPr="003F420A">
        <w:t xml:space="preserve">Veškeré platby jako důsledky porušení rozpočtové kázně provede </w:t>
      </w:r>
      <w:r>
        <w:t>Nemocnice</w:t>
      </w:r>
      <w:r w:rsidRPr="003F420A">
        <w:t xml:space="preserve"> formou bezhotovostního převodu na účet </w:t>
      </w:r>
      <w:r>
        <w:t>Kraje</w:t>
      </w:r>
      <w:r w:rsidRPr="003F420A">
        <w:t xml:space="preserve"> uvedený v záhlaví </w:t>
      </w:r>
      <w:r>
        <w:t>S</w:t>
      </w:r>
      <w:r w:rsidRPr="003F420A">
        <w:t>mlouvy.</w:t>
      </w:r>
    </w:p>
    <w:p w:rsidR="00FE08FF" w:rsidRPr="003A0793" w:rsidRDefault="00FE08FF" w:rsidP="00FE08FF">
      <w:pPr>
        <w:numPr>
          <w:ilvl w:val="0"/>
          <w:numId w:val="22"/>
        </w:numPr>
        <w:spacing w:after="120"/>
        <w:ind w:left="425" w:hanging="425"/>
        <w:jc w:val="both"/>
      </w:pPr>
      <w:r w:rsidRPr="003F420A">
        <w:t xml:space="preserve">V případě opakovaného porušení povinnosti může </w:t>
      </w:r>
      <w:r>
        <w:t>Kraj</w:t>
      </w:r>
      <w:r w:rsidRPr="003F420A">
        <w:t xml:space="preserve"> </w:t>
      </w:r>
      <w:r>
        <w:t>S</w:t>
      </w:r>
      <w:r w:rsidRPr="003F420A">
        <w:t>mlouvu vypovědět dle čl. X</w:t>
      </w:r>
      <w:r>
        <w:t>I</w:t>
      </w:r>
      <w:r w:rsidRPr="003F420A">
        <w:t>. odst. 2</w:t>
      </w:r>
      <w:r>
        <w:t>a Smlouvy</w:t>
      </w:r>
      <w:r w:rsidRPr="003F420A">
        <w:t>.</w:t>
      </w:r>
    </w:p>
    <w:p w:rsidR="00FE08FF" w:rsidRDefault="00FE08FF" w:rsidP="00FE08FF">
      <w:pPr>
        <w:pStyle w:val="Bezmezer"/>
        <w:jc w:val="center"/>
        <w:rPr>
          <w:b/>
        </w:rPr>
      </w:pPr>
    </w:p>
    <w:p w:rsidR="00FE08FF" w:rsidRPr="006F53F3" w:rsidRDefault="00FE08FF" w:rsidP="00FE08FF">
      <w:pPr>
        <w:pStyle w:val="Bezmezer"/>
        <w:jc w:val="center"/>
        <w:rPr>
          <w:b/>
        </w:rPr>
      </w:pPr>
      <w:r>
        <w:rPr>
          <w:b/>
        </w:rPr>
        <w:t>XIII.</w:t>
      </w:r>
    </w:p>
    <w:p w:rsidR="00FE08FF" w:rsidRPr="006F53F3" w:rsidRDefault="00FE08FF" w:rsidP="00FE08FF">
      <w:pPr>
        <w:jc w:val="center"/>
        <w:rPr>
          <w:b/>
          <w:szCs w:val="24"/>
          <w:u w:val="single"/>
        </w:rPr>
      </w:pPr>
      <w:r w:rsidRPr="006F53F3">
        <w:rPr>
          <w:b/>
          <w:szCs w:val="24"/>
          <w:u w:val="single"/>
        </w:rPr>
        <w:t>Závěrečné ustanovení</w:t>
      </w:r>
    </w:p>
    <w:p w:rsidR="00FE08FF" w:rsidRPr="006F53F3" w:rsidRDefault="00FE08FF" w:rsidP="00FE08FF">
      <w:pPr>
        <w:jc w:val="both"/>
        <w:rPr>
          <w:b/>
          <w:szCs w:val="24"/>
          <w:u w:val="single"/>
        </w:rPr>
      </w:pPr>
    </w:p>
    <w:p w:rsidR="00FE08FF" w:rsidRDefault="00FE08FF" w:rsidP="00FE08FF">
      <w:pPr>
        <w:numPr>
          <w:ilvl w:val="1"/>
          <w:numId w:val="4"/>
        </w:numPr>
        <w:tabs>
          <w:tab w:val="clear" w:pos="1440"/>
          <w:tab w:val="num" w:pos="360"/>
        </w:tabs>
        <w:spacing w:after="120"/>
        <w:ind w:left="357" w:hanging="357"/>
        <w:jc w:val="both"/>
        <w:rPr>
          <w:bCs/>
        </w:rPr>
      </w:pPr>
      <w:r>
        <w:rPr>
          <w:bCs/>
        </w:rPr>
        <w:t>Vzhledem k tomu, že Nemocnice provozovala Službu již od 1.1.2019, souhlasí Kraj s tím, že Nemocnice použije Vyrovnávací platbu, za podmínek stanovených touto Smlouvou, přílohou č. 2  a  Metodickým pokynem i na zabezpečení Služby již od 01.01.2019.</w:t>
      </w:r>
    </w:p>
    <w:p w:rsidR="00FE08FF" w:rsidRPr="006F53F3" w:rsidRDefault="00FE08FF" w:rsidP="00FE08FF">
      <w:pPr>
        <w:numPr>
          <w:ilvl w:val="1"/>
          <w:numId w:val="4"/>
        </w:numPr>
        <w:tabs>
          <w:tab w:val="clear" w:pos="1440"/>
          <w:tab w:val="num" w:pos="360"/>
        </w:tabs>
        <w:spacing w:after="120"/>
        <w:ind w:left="357" w:hanging="357"/>
        <w:jc w:val="both"/>
        <w:rPr>
          <w:szCs w:val="24"/>
        </w:rPr>
      </w:pPr>
      <w:r w:rsidRPr="006F53F3">
        <w:rPr>
          <w:szCs w:val="24"/>
        </w:rPr>
        <w:t xml:space="preserve">Tato </w:t>
      </w:r>
      <w:r>
        <w:rPr>
          <w:szCs w:val="24"/>
        </w:rPr>
        <w:t>S</w:t>
      </w:r>
      <w:r w:rsidRPr="006F53F3">
        <w:rPr>
          <w:szCs w:val="24"/>
        </w:rPr>
        <w:t>mlouva nabývá platnosti</w:t>
      </w:r>
      <w:r>
        <w:rPr>
          <w:szCs w:val="24"/>
        </w:rPr>
        <w:t xml:space="preserve"> a účinnosti </w:t>
      </w:r>
      <w:r w:rsidRPr="006F53F3">
        <w:rPr>
          <w:szCs w:val="24"/>
        </w:rPr>
        <w:t xml:space="preserve">dnem podpisu obou smluvních stran </w:t>
      </w:r>
    </w:p>
    <w:p w:rsidR="00FE08FF" w:rsidRPr="006F53F3" w:rsidRDefault="00FE08FF" w:rsidP="00FE08FF">
      <w:pPr>
        <w:numPr>
          <w:ilvl w:val="1"/>
          <w:numId w:val="4"/>
        </w:numPr>
        <w:tabs>
          <w:tab w:val="clear" w:pos="1440"/>
          <w:tab w:val="num" w:pos="360"/>
        </w:tabs>
        <w:spacing w:after="120"/>
        <w:ind w:left="357" w:hanging="357"/>
        <w:jc w:val="both"/>
        <w:rPr>
          <w:szCs w:val="24"/>
        </w:rPr>
      </w:pPr>
      <w:r w:rsidRPr="006F53F3">
        <w:rPr>
          <w:szCs w:val="24"/>
        </w:rPr>
        <w:t xml:space="preserve">Tato </w:t>
      </w:r>
      <w:r>
        <w:rPr>
          <w:szCs w:val="24"/>
        </w:rPr>
        <w:t>S</w:t>
      </w:r>
      <w:r w:rsidRPr="006F53F3">
        <w:rPr>
          <w:szCs w:val="24"/>
        </w:rPr>
        <w:t>mlouva může být měněna a doplňována pouze na základě dohody smluvních stran, a to formou písemných změn či dodatků.</w:t>
      </w:r>
    </w:p>
    <w:p w:rsidR="00FE08FF" w:rsidRPr="006F53F3" w:rsidRDefault="00FE08FF" w:rsidP="00FE08FF">
      <w:pPr>
        <w:numPr>
          <w:ilvl w:val="1"/>
          <w:numId w:val="4"/>
        </w:numPr>
        <w:tabs>
          <w:tab w:val="clear" w:pos="1440"/>
          <w:tab w:val="num" w:pos="360"/>
        </w:tabs>
        <w:spacing w:after="120"/>
        <w:ind w:left="357" w:hanging="357"/>
        <w:jc w:val="both"/>
        <w:rPr>
          <w:szCs w:val="24"/>
        </w:rPr>
      </w:pPr>
      <w:r w:rsidRPr="006F53F3">
        <w:rPr>
          <w:szCs w:val="24"/>
        </w:rPr>
        <w:t xml:space="preserve">Stane-li se po uzavření této </w:t>
      </w:r>
      <w:r>
        <w:rPr>
          <w:szCs w:val="24"/>
        </w:rPr>
        <w:t>S</w:t>
      </w:r>
      <w:r w:rsidRPr="006F53F3">
        <w:rPr>
          <w:szCs w:val="24"/>
        </w:rPr>
        <w:t>mlouvy v důsledku přijetí nového zákona, jiného obecně závazného právního předpisu nebo jiné normy či předpisu</w:t>
      </w:r>
      <w:r>
        <w:rPr>
          <w:szCs w:val="24"/>
        </w:rPr>
        <w:t>,</w:t>
      </w:r>
      <w:r w:rsidRPr="006F53F3">
        <w:rPr>
          <w:szCs w:val="24"/>
        </w:rPr>
        <w:t xml:space="preserve"> vztahujícího se k této smlouvě založeným právním vztahům</w:t>
      </w:r>
      <w:r>
        <w:rPr>
          <w:szCs w:val="24"/>
        </w:rPr>
        <w:t>,</w:t>
      </w:r>
      <w:r w:rsidRPr="006F53F3">
        <w:rPr>
          <w:szCs w:val="24"/>
        </w:rPr>
        <w:t xml:space="preserve"> plnění jakéhokoliv závazku z této </w:t>
      </w:r>
      <w:r>
        <w:rPr>
          <w:szCs w:val="24"/>
        </w:rPr>
        <w:t>S</w:t>
      </w:r>
      <w:r w:rsidRPr="006F53F3">
        <w:rPr>
          <w:szCs w:val="24"/>
        </w:rPr>
        <w:t>mlouvy vyplývajícího</w:t>
      </w:r>
      <w:r>
        <w:rPr>
          <w:szCs w:val="24"/>
        </w:rPr>
        <w:t xml:space="preserve"> - </w:t>
      </w:r>
      <w:r w:rsidRPr="006F53F3">
        <w:rPr>
          <w:szCs w:val="24"/>
        </w:rPr>
        <w:t xml:space="preserve"> zakázaným, zavazují se smluvní strany ve vzájemné součinnosti neprodleně zahájit jednání o uzavření dodatku k této </w:t>
      </w:r>
      <w:r>
        <w:rPr>
          <w:szCs w:val="24"/>
        </w:rPr>
        <w:t>S</w:t>
      </w:r>
      <w:r w:rsidRPr="006F53F3">
        <w:rPr>
          <w:szCs w:val="24"/>
        </w:rPr>
        <w:t xml:space="preserve">mlouvě, kterým bude tato </w:t>
      </w:r>
      <w:r>
        <w:rPr>
          <w:szCs w:val="24"/>
        </w:rPr>
        <w:t>S</w:t>
      </w:r>
      <w:r w:rsidRPr="006F53F3">
        <w:rPr>
          <w:szCs w:val="24"/>
        </w:rPr>
        <w:t xml:space="preserve">mlouva s takovým předpisem uvedena do souladu. Nedojde-li k uzavření takového dodatku k této </w:t>
      </w:r>
      <w:r>
        <w:rPr>
          <w:szCs w:val="24"/>
        </w:rPr>
        <w:t>S</w:t>
      </w:r>
      <w:r w:rsidRPr="006F53F3">
        <w:rPr>
          <w:szCs w:val="24"/>
        </w:rPr>
        <w:t xml:space="preserve">mlouvě do jednoho měsíce ode dne, v němž se Kraj o skutečnosti odůvodňující jeho uzavření dozví, bude Kraj oprávněn tuto </w:t>
      </w:r>
      <w:r>
        <w:rPr>
          <w:szCs w:val="24"/>
        </w:rPr>
        <w:t>S</w:t>
      </w:r>
      <w:r w:rsidRPr="006F53F3">
        <w:rPr>
          <w:szCs w:val="24"/>
        </w:rPr>
        <w:t xml:space="preserve">mlouvu vypovědět způsobem sjednaným v článku XI. odst. 2 této </w:t>
      </w:r>
      <w:r>
        <w:rPr>
          <w:szCs w:val="24"/>
        </w:rPr>
        <w:t>S</w:t>
      </w:r>
      <w:r w:rsidRPr="006F53F3">
        <w:rPr>
          <w:szCs w:val="24"/>
        </w:rPr>
        <w:t>mlouvy.</w:t>
      </w:r>
    </w:p>
    <w:p w:rsidR="00FE08FF" w:rsidRPr="006F53F3" w:rsidRDefault="00FE08FF" w:rsidP="00FE08FF">
      <w:pPr>
        <w:numPr>
          <w:ilvl w:val="1"/>
          <w:numId w:val="4"/>
        </w:numPr>
        <w:tabs>
          <w:tab w:val="clear" w:pos="1440"/>
          <w:tab w:val="num" w:pos="360"/>
        </w:tabs>
        <w:spacing w:after="120"/>
        <w:ind w:left="357" w:hanging="357"/>
        <w:jc w:val="both"/>
        <w:rPr>
          <w:szCs w:val="24"/>
        </w:rPr>
      </w:pPr>
      <w:r w:rsidRPr="006F53F3">
        <w:rPr>
          <w:szCs w:val="24"/>
        </w:rPr>
        <w:t xml:space="preserve">Nemocnice bere podpisem této </w:t>
      </w:r>
      <w:r>
        <w:rPr>
          <w:szCs w:val="24"/>
        </w:rPr>
        <w:t>S</w:t>
      </w:r>
      <w:r w:rsidRPr="006F53F3">
        <w:rPr>
          <w:szCs w:val="24"/>
        </w:rPr>
        <w:t>mlouvy na vědomí, že Kraj je jakožto územní samosprávný celek povinen poskytovat informace dle zákona č. 106/1999 Sb., o svobodném přístupu k</w:t>
      </w:r>
      <w:r>
        <w:rPr>
          <w:szCs w:val="24"/>
        </w:rPr>
        <w:t> </w:t>
      </w:r>
      <w:r w:rsidRPr="006F53F3">
        <w:rPr>
          <w:szCs w:val="24"/>
        </w:rPr>
        <w:t>informacím</w:t>
      </w:r>
      <w:r>
        <w:rPr>
          <w:szCs w:val="24"/>
        </w:rPr>
        <w:t>, ve znění pozdějších předpisů</w:t>
      </w:r>
      <w:r w:rsidRPr="006F53F3">
        <w:rPr>
          <w:szCs w:val="24"/>
        </w:rPr>
        <w:t>.</w:t>
      </w:r>
    </w:p>
    <w:p w:rsidR="00FE08FF" w:rsidRPr="006F53F3" w:rsidRDefault="00FE08FF" w:rsidP="00FE08FF">
      <w:pPr>
        <w:numPr>
          <w:ilvl w:val="1"/>
          <w:numId w:val="4"/>
        </w:numPr>
        <w:tabs>
          <w:tab w:val="clear" w:pos="1440"/>
          <w:tab w:val="num" w:pos="360"/>
        </w:tabs>
        <w:spacing w:after="120"/>
        <w:ind w:left="357" w:hanging="357"/>
        <w:jc w:val="both"/>
        <w:rPr>
          <w:szCs w:val="24"/>
        </w:rPr>
      </w:pPr>
      <w:r w:rsidRPr="006F53F3">
        <w:rPr>
          <w:szCs w:val="24"/>
        </w:rPr>
        <w:t xml:space="preserve">Nemocnice bere dále podpisem této </w:t>
      </w:r>
      <w:r>
        <w:rPr>
          <w:szCs w:val="24"/>
        </w:rPr>
        <w:t>S</w:t>
      </w:r>
      <w:r w:rsidRPr="006F53F3">
        <w:rPr>
          <w:szCs w:val="24"/>
        </w:rPr>
        <w:t xml:space="preserve">mlouvy na vědomí, že poskytování peněžních prostředků Nemocnici ze strany Kraje dle této </w:t>
      </w:r>
      <w:r>
        <w:rPr>
          <w:szCs w:val="24"/>
        </w:rPr>
        <w:t>S</w:t>
      </w:r>
      <w:r w:rsidRPr="006F53F3">
        <w:rPr>
          <w:szCs w:val="24"/>
        </w:rPr>
        <w:t xml:space="preserve">mlouvy podléhá finanční kontrole ve smyslu zákona č. 320/2001 Sb., </w:t>
      </w:r>
      <w:r>
        <w:rPr>
          <w:szCs w:val="24"/>
        </w:rPr>
        <w:t xml:space="preserve">o </w:t>
      </w:r>
      <w:r w:rsidRPr="006F53F3">
        <w:rPr>
          <w:szCs w:val="24"/>
        </w:rPr>
        <w:t>finanční kontrole ve veřejné správě a o změně některých zákonů (zákon o finanční kontrole)</w:t>
      </w:r>
      <w:r>
        <w:rPr>
          <w:szCs w:val="24"/>
        </w:rPr>
        <w:t>, ve znění pozdějších předpisů</w:t>
      </w:r>
      <w:r w:rsidRPr="006F53F3">
        <w:rPr>
          <w:szCs w:val="24"/>
        </w:rPr>
        <w:t xml:space="preserve">, a že se tudíž na každé případné neoprávněné použití nebo zadržení peněžních prostředků Kraje poskytnutých Nemocnici dle této smlouvy vztahuje ustanovení § 22 zákona o rozpočtových pravidlech územních rozpočtů.  </w:t>
      </w:r>
    </w:p>
    <w:p w:rsidR="00FE08FF" w:rsidRPr="006F53F3" w:rsidRDefault="00FE08FF" w:rsidP="00FE08FF">
      <w:pPr>
        <w:numPr>
          <w:ilvl w:val="1"/>
          <w:numId w:val="4"/>
        </w:numPr>
        <w:tabs>
          <w:tab w:val="clear" w:pos="1440"/>
          <w:tab w:val="num" w:pos="360"/>
        </w:tabs>
        <w:spacing w:after="120"/>
        <w:ind w:left="357" w:hanging="357"/>
        <w:jc w:val="both"/>
        <w:rPr>
          <w:szCs w:val="24"/>
        </w:rPr>
      </w:pPr>
      <w:r w:rsidRPr="006F53F3">
        <w:rPr>
          <w:szCs w:val="24"/>
        </w:rPr>
        <w:t xml:space="preserve">Tato </w:t>
      </w:r>
      <w:r>
        <w:rPr>
          <w:szCs w:val="24"/>
        </w:rPr>
        <w:t>S</w:t>
      </w:r>
      <w:r w:rsidRPr="006F53F3">
        <w:rPr>
          <w:szCs w:val="24"/>
        </w:rPr>
        <w:t>mlouva byla vyhotovena ve třech stejnopisech, z nichž dva obdrží Kraj a jeden Nemocnice.</w:t>
      </w:r>
    </w:p>
    <w:p w:rsidR="00FE08FF" w:rsidRPr="006F53F3" w:rsidRDefault="00FE08FF" w:rsidP="00FE08FF">
      <w:pPr>
        <w:numPr>
          <w:ilvl w:val="1"/>
          <w:numId w:val="4"/>
        </w:numPr>
        <w:tabs>
          <w:tab w:val="clear" w:pos="1440"/>
          <w:tab w:val="num" w:pos="360"/>
        </w:tabs>
        <w:spacing w:after="120"/>
        <w:ind w:left="357" w:hanging="357"/>
        <w:jc w:val="both"/>
        <w:rPr>
          <w:szCs w:val="24"/>
        </w:rPr>
      </w:pPr>
      <w:r w:rsidRPr="006F53F3">
        <w:rPr>
          <w:szCs w:val="24"/>
        </w:rPr>
        <w:t xml:space="preserve">Tato </w:t>
      </w:r>
      <w:r>
        <w:rPr>
          <w:szCs w:val="24"/>
        </w:rPr>
        <w:t>S</w:t>
      </w:r>
      <w:r w:rsidRPr="006F53F3">
        <w:rPr>
          <w:szCs w:val="24"/>
        </w:rPr>
        <w:t>mlouva byla uzavřena na základě pravé a svobodné vůle obou smluvních stran</w:t>
      </w:r>
      <w:r>
        <w:rPr>
          <w:szCs w:val="24"/>
        </w:rPr>
        <w:br/>
      </w:r>
      <w:r w:rsidRPr="006F53F3">
        <w:rPr>
          <w:szCs w:val="24"/>
        </w:rPr>
        <w:t>a jako takovou ji tyto stvrzují svými vlastnoručními podpisy.</w:t>
      </w:r>
    </w:p>
    <w:p w:rsidR="00FE08FF" w:rsidRDefault="00FE08FF" w:rsidP="00FE08FF">
      <w:pPr>
        <w:jc w:val="both"/>
        <w:rPr>
          <w:szCs w:val="24"/>
        </w:rPr>
      </w:pPr>
    </w:p>
    <w:p w:rsidR="00FE08FF" w:rsidRPr="00CB7D91" w:rsidRDefault="00FE08FF" w:rsidP="00FE08FF">
      <w:pPr>
        <w:jc w:val="both"/>
        <w:rPr>
          <w:sz w:val="22"/>
        </w:rPr>
      </w:pPr>
      <w:r>
        <w:rPr>
          <w:sz w:val="22"/>
          <w:u w:val="single"/>
        </w:rPr>
        <w:t>P</w:t>
      </w:r>
      <w:r w:rsidRPr="00CB7D91">
        <w:rPr>
          <w:sz w:val="22"/>
          <w:u w:val="single"/>
        </w:rPr>
        <w:t>řílohy:</w:t>
      </w:r>
      <w:r>
        <w:rPr>
          <w:sz w:val="22"/>
        </w:rPr>
        <w:tab/>
      </w:r>
      <w:r w:rsidRPr="00CB7D91">
        <w:rPr>
          <w:sz w:val="22"/>
        </w:rPr>
        <w:t>1. Specifikace zdravotních služeb jako služeb obecného hospodářského zájmu</w:t>
      </w:r>
    </w:p>
    <w:p w:rsidR="00FE08FF" w:rsidRPr="00CB7D91" w:rsidRDefault="00FE08FF" w:rsidP="00FE08FF">
      <w:pPr>
        <w:jc w:val="both"/>
        <w:rPr>
          <w:sz w:val="22"/>
        </w:rPr>
      </w:pPr>
      <w:r w:rsidRPr="00CB7D91">
        <w:rPr>
          <w:sz w:val="22"/>
        </w:rPr>
        <w:tab/>
      </w:r>
      <w:r w:rsidRPr="00CB7D91">
        <w:rPr>
          <w:sz w:val="22"/>
        </w:rPr>
        <w:tab/>
        <w:t>2. Způsob výpočtu výše Vyrovnávací platby</w:t>
      </w:r>
    </w:p>
    <w:p w:rsidR="00FE08FF" w:rsidRPr="00CB7D91" w:rsidRDefault="00FE08FF" w:rsidP="00FE08FF">
      <w:pPr>
        <w:jc w:val="both"/>
        <w:rPr>
          <w:sz w:val="22"/>
        </w:rPr>
      </w:pPr>
      <w:r>
        <w:rPr>
          <w:sz w:val="22"/>
        </w:rPr>
        <w:t xml:space="preserve">                          </w:t>
      </w:r>
      <w:r w:rsidRPr="00CB7D91">
        <w:rPr>
          <w:sz w:val="22"/>
        </w:rPr>
        <w:t>3. Metodický pokyn</w:t>
      </w:r>
    </w:p>
    <w:p w:rsidR="00FE08FF" w:rsidRDefault="00FE08FF" w:rsidP="00FE08FF">
      <w:pPr>
        <w:jc w:val="both"/>
        <w:rPr>
          <w:sz w:val="20"/>
          <w:szCs w:val="20"/>
        </w:rPr>
      </w:pPr>
    </w:p>
    <w:p w:rsidR="00FE08FF" w:rsidRDefault="00FE08FF" w:rsidP="00FE08FF">
      <w:pPr>
        <w:jc w:val="both"/>
        <w:rPr>
          <w:sz w:val="20"/>
          <w:szCs w:val="20"/>
        </w:rPr>
      </w:pPr>
    </w:p>
    <w:p w:rsidR="00FE08FF" w:rsidRPr="006F53F3" w:rsidRDefault="00FE08FF" w:rsidP="00FE08FF">
      <w:pPr>
        <w:jc w:val="both"/>
        <w:rPr>
          <w:sz w:val="20"/>
          <w:szCs w:val="20"/>
        </w:rPr>
      </w:pPr>
    </w:p>
    <w:p w:rsidR="00FE08FF" w:rsidRDefault="00FE08FF" w:rsidP="00FE08FF">
      <w:pPr>
        <w:jc w:val="both"/>
        <w:rPr>
          <w:szCs w:val="24"/>
        </w:rPr>
      </w:pPr>
    </w:p>
    <w:p w:rsidR="00FE08FF" w:rsidRPr="006F53F3" w:rsidRDefault="00FE08FF" w:rsidP="00FE08FF">
      <w:pPr>
        <w:jc w:val="both"/>
        <w:rPr>
          <w:szCs w:val="24"/>
        </w:rPr>
      </w:pPr>
      <w:r w:rsidRPr="006F53F3">
        <w:rPr>
          <w:szCs w:val="24"/>
        </w:rPr>
        <w:t>V</w:t>
      </w:r>
      <w:r>
        <w:rPr>
          <w:szCs w:val="24"/>
        </w:rPr>
        <w:t xml:space="preserve"> ………………….. </w:t>
      </w:r>
      <w:r w:rsidRPr="006F53F3">
        <w:rPr>
          <w:szCs w:val="24"/>
        </w:rPr>
        <w:t xml:space="preserve"> dne</w:t>
      </w:r>
      <w:r>
        <w:rPr>
          <w:szCs w:val="24"/>
        </w:rPr>
        <w:t xml:space="preserve"> </w:t>
      </w:r>
      <w:r w:rsidRPr="006F53F3">
        <w:rPr>
          <w:szCs w:val="24"/>
        </w:rPr>
        <w:t>.....</w:t>
      </w:r>
      <w:r>
        <w:rPr>
          <w:szCs w:val="24"/>
        </w:rPr>
        <w:t>.....................</w:t>
      </w:r>
      <w:r w:rsidRPr="006F53F3">
        <w:rPr>
          <w:szCs w:val="24"/>
        </w:rPr>
        <w:tab/>
      </w:r>
      <w:r>
        <w:rPr>
          <w:szCs w:val="24"/>
        </w:rPr>
        <w:tab/>
        <w:t>V………………….</w:t>
      </w:r>
      <w:r w:rsidRPr="006F53F3">
        <w:rPr>
          <w:szCs w:val="24"/>
        </w:rPr>
        <w:t xml:space="preserve"> dne ............................</w:t>
      </w:r>
    </w:p>
    <w:p w:rsidR="00FE08FF" w:rsidRDefault="00FE08FF" w:rsidP="00FE08FF">
      <w:pPr>
        <w:jc w:val="both"/>
        <w:rPr>
          <w:szCs w:val="24"/>
        </w:rPr>
      </w:pPr>
    </w:p>
    <w:p w:rsidR="00FE08FF" w:rsidRDefault="00FE08FF" w:rsidP="00FE08FF">
      <w:pPr>
        <w:jc w:val="both"/>
        <w:rPr>
          <w:szCs w:val="24"/>
        </w:rPr>
      </w:pPr>
      <w:r w:rsidRPr="006F53F3">
        <w:rPr>
          <w:szCs w:val="24"/>
        </w:rPr>
        <w:t>..........................</w:t>
      </w:r>
      <w:r>
        <w:rPr>
          <w:szCs w:val="24"/>
        </w:rPr>
        <w:t>..............................</w:t>
      </w:r>
      <w:r w:rsidRPr="006F53F3">
        <w:rPr>
          <w:szCs w:val="24"/>
        </w:rPr>
        <w:tab/>
      </w:r>
      <w:r w:rsidRPr="006F53F3">
        <w:rPr>
          <w:szCs w:val="24"/>
        </w:rPr>
        <w:tab/>
      </w:r>
      <w:r>
        <w:rPr>
          <w:szCs w:val="24"/>
        </w:rPr>
        <w:t xml:space="preserve">              </w:t>
      </w:r>
      <w:r w:rsidRPr="006F53F3">
        <w:rPr>
          <w:szCs w:val="24"/>
        </w:rPr>
        <w:t>...........................</w:t>
      </w:r>
      <w:r>
        <w:rPr>
          <w:szCs w:val="24"/>
        </w:rPr>
        <w:t>...............................</w:t>
      </w:r>
    </w:p>
    <w:p w:rsidR="00FE08FF" w:rsidRPr="006D2FD9" w:rsidRDefault="00FE08FF" w:rsidP="00FE08FF">
      <w:pPr>
        <w:jc w:val="both"/>
        <w:rPr>
          <w:b/>
          <w:szCs w:val="24"/>
        </w:rPr>
      </w:pPr>
      <w:r>
        <w:rPr>
          <w:szCs w:val="24"/>
        </w:rPr>
        <w:t xml:space="preserve">     </w:t>
      </w:r>
      <w:r w:rsidRPr="006D2FD9">
        <w:rPr>
          <w:b/>
          <w:szCs w:val="24"/>
        </w:rPr>
        <w:t>nemocnice</w:t>
      </w:r>
    </w:p>
    <w:p w:rsidR="00FE08FF" w:rsidRDefault="00FE08FF" w:rsidP="00FE08FF">
      <w:pPr>
        <w:ind w:left="4956" w:firstLine="708"/>
        <w:jc w:val="both"/>
        <w:rPr>
          <w:b/>
          <w:szCs w:val="24"/>
        </w:rPr>
      </w:pPr>
      <w:r w:rsidRPr="006F53F3">
        <w:rPr>
          <w:b/>
          <w:szCs w:val="24"/>
        </w:rPr>
        <w:t>kraj</w:t>
      </w:r>
    </w:p>
    <w:p w:rsidR="00FE08FF" w:rsidRDefault="00FE08FF" w:rsidP="00FE08FF">
      <w:pPr>
        <w:ind w:left="4956" w:firstLine="708"/>
        <w:jc w:val="both"/>
        <w:rPr>
          <w:b/>
          <w:szCs w:val="24"/>
        </w:rPr>
      </w:pPr>
      <w:r>
        <w:rPr>
          <w:szCs w:val="24"/>
        </w:rPr>
        <w:t>člen</w:t>
      </w:r>
      <w:r w:rsidRPr="006F53F3">
        <w:rPr>
          <w:szCs w:val="24"/>
        </w:rPr>
        <w:t xml:space="preserve"> Rady </w:t>
      </w:r>
      <w:r>
        <w:rPr>
          <w:szCs w:val="24"/>
        </w:rPr>
        <w:t>Karlovarského kraje</w:t>
      </w:r>
    </w:p>
    <w:p w:rsidR="00FE08FF" w:rsidRDefault="00FE08FF" w:rsidP="00FE08FF">
      <w:pPr>
        <w:ind w:left="4956" w:firstLine="708"/>
        <w:jc w:val="both"/>
        <w:rPr>
          <w:szCs w:val="24"/>
        </w:rPr>
      </w:pPr>
      <w:r>
        <w:rPr>
          <w:szCs w:val="24"/>
        </w:rPr>
        <w:t xml:space="preserve">pro </w:t>
      </w:r>
      <w:r w:rsidRPr="006F53F3">
        <w:rPr>
          <w:szCs w:val="24"/>
        </w:rPr>
        <w:t>oblast zdravotnictví</w:t>
      </w:r>
      <w:r>
        <w:rPr>
          <w:szCs w:val="24"/>
        </w:rPr>
        <w:t xml:space="preserve"> </w:t>
      </w:r>
    </w:p>
    <w:p w:rsidR="00FE08FF" w:rsidRDefault="00FE08FF" w:rsidP="00FE08FF">
      <w:pPr>
        <w:ind w:left="4956" w:firstLine="708"/>
        <w:jc w:val="both"/>
        <w:rPr>
          <w:szCs w:val="24"/>
        </w:rPr>
      </w:pPr>
    </w:p>
    <w:p w:rsidR="00FE08FF" w:rsidRDefault="00FE08FF" w:rsidP="00FE08FF">
      <w:pPr>
        <w:jc w:val="both"/>
        <w:rPr>
          <w:szCs w:val="24"/>
        </w:rPr>
      </w:pPr>
      <w:r w:rsidRPr="006F53F3">
        <w:rPr>
          <w:szCs w:val="24"/>
        </w:rPr>
        <w:t>.........................................................</w:t>
      </w:r>
      <w:r w:rsidRPr="006F53F3">
        <w:rPr>
          <w:szCs w:val="24"/>
        </w:rPr>
        <w:tab/>
      </w:r>
    </w:p>
    <w:p w:rsidR="00FE08FF" w:rsidRDefault="00FE08FF" w:rsidP="00FE08FF">
      <w:pPr>
        <w:spacing w:after="120"/>
        <w:jc w:val="both"/>
        <w:rPr>
          <w:sz w:val="20"/>
          <w:szCs w:val="20"/>
        </w:rPr>
      </w:pPr>
      <w:r>
        <w:rPr>
          <w:szCs w:val="24"/>
        </w:rPr>
        <w:t xml:space="preserve">     </w:t>
      </w:r>
      <w:r>
        <w:rPr>
          <w:b/>
          <w:szCs w:val="24"/>
        </w:rPr>
        <w:t>nemocnice</w:t>
      </w:r>
      <w:r w:rsidRPr="006F53F3">
        <w:rPr>
          <w:sz w:val="20"/>
          <w:szCs w:val="20"/>
        </w:rPr>
        <w:tab/>
      </w:r>
      <w:r w:rsidRPr="006F53F3">
        <w:rPr>
          <w:sz w:val="20"/>
          <w:szCs w:val="20"/>
        </w:rPr>
        <w:tab/>
      </w:r>
      <w:r w:rsidRPr="006F53F3">
        <w:rPr>
          <w:sz w:val="20"/>
          <w:szCs w:val="20"/>
        </w:rPr>
        <w:tab/>
        <w:t xml:space="preserve">        </w:t>
      </w:r>
      <w:r>
        <w:rPr>
          <w:sz w:val="20"/>
          <w:szCs w:val="20"/>
        </w:rPr>
        <w:t xml:space="preserve">       </w:t>
      </w:r>
    </w:p>
    <w:p w:rsidR="00FE08FF" w:rsidRDefault="00FE08FF" w:rsidP="00FE08FF">
      <w:pPr>
        <w:spacing w:after="120"/>
        <w:jc w:val="both"/>
        <w:rPr>
          <w:sz w:val="20"/>
          <w:szCs w:val="20"/>
        </w:rPr>
        <w:sectPr w:rsidR="00FE08FF" w:rsidSect="008E0926">
          <w:footerReference w:type="even" r:id="rId7"/>
          <w:footerReference w:type="default" r:id="rId8"/>
          <w:pgSz w:w="11906" w:h="16838"/>
          <w:pgMar w:top="1417" w:right="1417" w:bottom="1417" w:left="1417" w:header="708" w:footer="708" w:gutter="0"/>
          <w:cols w:space="708"/>
          <w:titlePg/>
          <w:docGrid w:linePitch="360"/>
        </w:sectPr>
      </w:pPr>
    </w:p>
    <w:p w:rsidR="00FE08FF" w:rsidRDefault="00FE08FF" w:rsidP="00FE08FF">
      <w:pPr>
        <w:spacing w:after="120"/>
        <w:jc w:val="both"/>
        <w:rPr>
          <w:szCs w:val="24"/>
        </w:rPr>
      </w:pPr>
      <w:r>
        <w:rPr>
          <w:szCs w:val="24"/>
        </w:rPr>
        <w:tab/>
      </w:r>
    </w:p>
    <w:p w:rsidR="00FE08FF" w:rsidRPr="000D78F8" w:rsidRDefault="00FE08FF" w:rsidP="00FE08FF">
      <w:pPr>
        <w:tabs>
          <w:tab w:val="left" w:pos="1680"/>
        </w:tabs>
        <w:jc w:val="center"/>
        <w:rPr>
          <w:b/>
          <w:sz w:val="28"/>
          <w:szCs w:val="28"/>
        </w:rPr>
      </w:pPr>
      <w:r w:rsidRPr="000D78F8">
        <w:rPr>
          <w:b/>
          <w:sz w:val="28"/>
          <w:szCs w:val="28"/>
        </w:rPr>
        <w:t xml:space="preserve">Specifikace zdravotních služeb </w:t>
      </w:r>
      <w:r w:rsidRPr="000D78F8">
        <w:rPr>
          <w:b/>
          <w:sz w:val="28"/>
          <w:szCs w:val="28"/>
        </w:rPr>
        <w:br/>
        <w:t>jako služeb obecného hospodářského zájmu</w:t>
      </w:r>
    </w:p>
    <w:p w:rsidR="00FE08FF" w:rsidRPr="001436D6" w:rsidRDefault="00FE08FF" w:rsidP="00FE08FF">
      <w:pPr>
        <w:spacing w:after="360"/>
      </w:pPr>
      <w:r w:rsidRPr="001436D6">
        <w:t>.......................................................................................................................................................</w:t>
      </w:r>
    </w:p>
    <w:p w:rsidR="00FE08FF" w:rsidRPr="001436D6" w:rsidRDefault="00FE08FF" w:rsidP="00FE08FF">
      <w:pPr>
        <w:pStyle w:val="Nadpis1"/>
        <w:spacing w:beforeLines="200" w:before="480" w:afterLines="120" w:after="288"/>
        <w:ind w:left="431" w:hanging="431"/>
      </w:pPr>
      <w:bookmarkStart w:id="1" w:name="_Toc535914074"/>
      <w:r w:rsidRPr="00640169">
        <w:t xml:space="preserve">Zdravotní služby poskytované v rámci lékařské pohotovostní služby </w:t>
      </w:r>
      <w:bookmarkEnd w:id="1"/>
      <w:r>
        <w:rPr>
          <w:lang w:val="cs-CZ"/>
        </w:rPr>
        <w:t xml:space="preserve"> - obor všeobecné praktické lékařství</w:t>
      </w:r>
    </w:p>
    <w:p w:rsidR="00FE08FF" w:rsidRPr="00564F03" w:rsidRDefault="00FE08FF" w:rsidP="00FE08FF">
      <w:pPr>
        <w:pStyle w:val="Normlnweb"/>
        <w:spacing w:line="360" w:lineRule="atLeast"/>
        <w:jc w:val="both"/>
      </w:pPr>
      <w:r w:rsidRPr="001946B4">
        <w:t xml:space="preserve">Lékařská pohotovostní služba v Nemocnici Mariánské Lázně (dále jen “LPS”) je ambulantní péče poskytovaná pacientům v případech náhlé změny zdravotního stavu nebo zhoršení průběhu onemocnění, ke kterému došlo mimo pravidelnou ordinační dobu poskytovatele lékařské péče. </w:t>
      </w:r>
      <w:r w:rsidRPr="00564F03">
        <w:t xml:space="preserve">V případě výskytu infekčních onemocnění zajišťuje i základní protiepidemická opatření v nezbytném rozsahu. </w:t>
      </w:r>
    </w:p>
    <w:p w:rsidR="00FE08FF" w:rsidRPr="00564F03" w:rsidRDefault="00FE08FF" w:rsidP="00FE08FF">
      <w:pPr>
        <w:jc w:val="both"/>
        <w:rPr>
          <w:szCs w:val="24"/>
        </w:rPr>
      </w:pPr>
      <w:r w:rsidRPr="00564F03">
        <w:rPr>
          <w:szCs w:val="24"/>
        </w:rPr>
        <w:t>Poskytována je v nemocnici Mariánské Lázně.</w:t>
      </w:r>
    </w:p>
    <w:p w:rsidR="00FE08FF" w:rsidRPr="00235DB8" w:rsidRDefault="00FE08FF" w:rsidP="00FE08FF">
      <w:pPr>
        <w:rPr>
          <w:b/>
          <w:color w:val="FF0000"/>
        </w:rPr>
      </w:pPr>
    </w:p>
    <w:p w:rsidR="00FE08FF" w:rsidRDefault="00FE08FF" w:rsidP="00FE08FF">
      <w:pPr>
        <w:rPr>
          <w:b/>
        </w:rPr>
      </w:pPr>
    </w:p>
    <w:p w:rsidR="00FE08FF" w:rsidRDefault="00FE08FF" w:rsidP="00FE08FF">
      <w:pPr>
        <w:rPr>
          <w:b/>
        </w:rPr>
      </w:pPr>
      <w:r>
        <w:rPr>
          <w:b/>
        </w:rPr>
        <w:t>Provozování LPS - obor všeobecné praktické lékařství</w:t>
      </w:r>
    </w:p>
    <w:p w:rsidR="00FE08FF" w:rsidRDefault="00FE08FF" w:rsidP="00FE08FF"/>
    <w:p w:rsidR="00FE08FF" w:rsidRPr="004949BA" w:rsidRDefault="00FE08FF" w:rsidP="00FE08FF">
      <w:r w:rsidRPr="004949BA">
        <w:t>Všední dny: 16:00 – 21:00</w:t>
      </w:r>
    </w:p>
    <w:p w:rsidR="00FE08FF" w:rsidRPr="004949BA" w:rsidRDefault="00FE08FF" w:rsidP="00FE08FF">
      <w:r w:rsidRPr="004949BA">
        <w:t>Víkendy a svátky: 9:00 – 21:00</w:t>
      </w:r>
    </w:p>
    <w:p w:rsidR="00FE08FF" w:rsidRDefault="00FE08FF" w:rsidP="00FE08FF">
      <w:pPr>
        <w:rPr>
          <w:b/>
        </w:rPr>
      </w:pPr>
    </w:p>
    <w:p w:rsidR="00FE08FF" w:rsidRPr="001436D6" w:rsidRDefault="00FE08FF" w:rsidP="00FE08FF"/>
    <w:p w:rsidR="00FE08FF" w:rsidRPr="001946B4" w:rsidRDefault="00FE08FF" w:rsidP="00FE08FF">
      <w:pPr>
        <w:pStyle w:val="Nadpis1"/>
        <w:spacing w:beforeLines="200" w:before="480" w:afterLines="120" w:after="288"/>
        <w:ind w:left="431" w:hanging="431"/>
        <w:rPr>
          <w:szCs w:val="28"/>
        </w:rPr>
      </w:pPr>
      <w:r w:rsidRPr="00640169">
        <w:t xml:space="preserve">Zdravotní služby poskytované v rámci </w:t>
      </w:r>
      <w:bookmarkStart w:id="2" w:name="_Toc536693734"/>
      <w:r>
        <w:rPr>
          <w:lang w:val="cs-CZ"/>
        </w:rPr>
        <w:t xml:space="preserve">lékařské pohotovostní služby - </w:t>
      </w:r>
      <w:bookmarkEnd w:id="2"/>
      <w:r>
        <w:rPr>
          <w:lang w:val="cs-CZ"/>
        </w:rPr>
        <w:t>chirurgie</w:t>
      </w:r>
    </w:p>
    <w:p w:rsidR="00FE08FF" w:rsidRPr="001946B4" w:rsidRDefault="00FE08FF" w:rsidP="00FE08FF">
      <w:pPr>
        <w:spacing w:after="150" w:line="391" w:lineRule="atLeast"/>
        <w:jc w:val="both"/>
        <w:rPr>
          <w:rFonts w:eastAsia="Times New Roman"/>
          <w:color w:val="454646"/>
          <w:szCs w:val="24"/>
          <w:lang w:eastAsia="cs-CZ"/>
        </w:rPr>
      </w:pPr>
      <w:r w:rsidRPr="001946B4">
        <w:rPr>
          <w:rFonts w:eastAsia="Times New Roman"/>
          <w:color w:val="454646"/>
          <w:szCs w:val="24"/>
          <w:lang w:eastAsia="cs-CZ"/>
        </w:rPr>
        <w:t xml:space="preserve">LPS v oboru chirurgie poskytuje ambulantní péči pro všechna akutní i chronická onemocnění chirurgické povahy, zajišťuje prvotní ošetření úrazů, včetně otevřených ran a zlomenin, převazy ran a řešení jejich hojení. Provádí se kontroly pooperačních stavů, realizují plánované drobné ambulantní výkony. </w:t>
      </w:r>
    </w:p>
    <w:p w:rsidR="00FE08FF" w:rsidRDefault="00FE08FF" w:rsidP="00FE08FF">
      <w:pPr>
        <w:rPr>
          <w:lang w:val="x-none" w:eastAsia="x-none"/>
        </w:rPr>
      </w:pPr>
    </w:p>
    <w:p w:rsidR="00FE08FF" w:rsidRPr="00564F03" w:rsidRDefault="00FE08FF" w:rsidP="00FE08FF">
      <w:pPr>
        <w:jc w:val="both"/>
        <w:rPr>
          <w:szCs w:val="24"/>
        </w:rPr>
      </w:pPr>
      <w:r w:rsidRPr="00564F03">
        <w:rPr>
          <w:szCs w:val="24"/>
        </w:rPr>
        <w:t>Poskytována je v nemocnici Mariánské Lázně.</w:t>
      </w:r>
    </w:p>
    <w:p w:rsidR="00FE08FF" w:rsidRPr="00235DB8" w:rsidRDefault="00FE08FF" w:rsidP="00FE08FF">
      <w:pPr>
        <w:rPr>
          <w:b/>
          <w:color w:val="FF0000"/>
        </w:rPr>
      </w:pPr>
    </w:p>
    <w:p w:rsidR="00FE08FF" w:rsidRDefault="00FE08FF" w:rsidP="00FE08FF">
      <w:pPr>
        <w:rPr>
          <w:b/>
        </w:rPr>
      </w:pPr>
    </w:p>
    <w:p w:rsidR="00FE08FF" w:rsidRDefault="00FE08FF" w:rsidP="00FE08FF">
      <w:pPr>
        <w:rPr>
          <w:b/>
        </w:rPr>
      </w:pPr>
      <w:r>
        <w:rPr>
          <w:b/>
        </w:rPr>
        <w:t>Provozování LPS - obor chirurgie</w:t>
      </w:r>
    </w:p>
    <w:p w:rsidR="00FE08FF" w:rsidRDefault="00FE08FF" w:rsidP="00FE08FF"/>
    <w:p w:rsidR="00FE08FF" w:rsidRPr="004949BA" w:rsidRDefault="00FE08FF" w:rsidP="00FE08FF">
      <w:r w:rsidRPr="004949BA">
        <w:t>Všední dny: 15:30 – 21:00</w:t>
      </w:r>
    </w:p>
    <w:p w:rsidR="00FE08FF" w:rsidRPr="004949BA" w:rsidRDefault="00FE08FF" w:rsidP="00FE08FF">
      <w:r w:rsidRPr="004949BA">
        <w:t>Víkendy a svátky: 7:00 – 21:00</w:t>
      </w:r>
    </w:p>
    <w:p w:rsidR="00FE08FF" w:rsidRPr="001436D6" w:rsidRDefault="00FE08FF" w:rsidP="00FE08FF">
      <w:pPr>
        <w:ind w:left="720"/>
      </w:pPr>
    </w:p>
    <w:p w:rsidR="00FE08FF" w:rsidRDefault="00FE08FF" w:rsidP="00FE08FF">
      <w:pPr>
        <w:ind w:left="4956" w:firstLine="708"/>
        <w:jc w:val="both"/>
        <w:rPr>
          <w:szCs w:val="24"/>
        </w:rPr>
        <w:sectPr w:rsidR="00FE08FF">
          <w:headerReference w:type="default" r:id="rId9"/>
          <w:pgSz w:w="11906" w:h="16838"/>
          <w:pgMar w:top="1417" w:right="1417" w:bottom="1417" w:left="1417" w:header="708" w:footer="708" w:gutter="0"/>
          <w:cols w:space="708"/>
          <w:docGrid w:linePitch="360"/>
        </w:sectPr>
      </w:pPr>
    </w:p>
    <w:p w:rsidR="00FE08FF" w:rsidRDefault="00FE08FF" w:rsidP="00FE08FF">
      <w:pPr>
        <w:pStyle w:val="Bezmezer"/>
        <w:jc w:val="center"/>
        <w:rPr>
          <w:b/>
          <w:sz w:val="44"/>
          <w:szCs w:val="44"/>
        </w:rPr>
      </w:pPr>
    </w:p>
    <w:p w:rsidR="00FE08FF" w:rsidRPr="00A14363" w:rsidRDefault="00FE08FF" w:rsidP="00FE08FF">
      <w:pPr>
        <w:pStyle w:val="Bezmezer"/>
        <w:jc w:val="center"/>
        <w:rPr>
          <w:b/>
          <w:sz w:val="44"/>
          <w:szCs w:val="44"/>
        </w:rPr>
      </w:pPr>
      <w:r w:rsidRPr="00A14363">
        <w:rPr>
          <w:b/>
          <w:sz w:val="44"/>
          <w:szCs w:val="44"/>
        </w:rPr>
        <w:t>Způsob výpočtu výše Vyrovnávací platby</w:t>
      </w:r>
    </w:p>
    <w:p w:rsidR="00FE08FF" w:rsidRPr="00A14363" w:rsidRDefault="00FE08FF" w:rsidP="00FE08FF">
      <w:pPr>
        <w:pStyle w:val="Bezmezer"/>
        <w:jc w:val="center"/>
        <w:rPr>
          <w:b/>
          <w:sz w:val="44"/>
          <w:szCs w:val="44"/>
        </w:rPr>
      </w:pPr>
    </w:p>
    <w:p w:rsidR="00FE08FF" w:rsidRPr="00A14363" w:rsidRDefault="00FE08FF" w:rsidP="00FE08FF">
      <w:pPr>
        <w:pStyle w:val="Bezmezer"/>
        <w:jc w:val="both"/>
        <w:rPr>
          <w:szCs w:val="24"/>
        </w:rPr>
      </w:pPr>
    </w:p>
    <w:p w:rsidR="00FE08FF" w:rsidRPr="00A14363" w:rsidRDefault="00FE08FF" w:rsidP="00FE08FF">
      <w:pPr>
        <w:pStyle w:val="Bezmezer"/>
        <w:jc w:val="both"/>
        <w:rPr>
          <w:szCs w:val="24"/>
        </w:rPr>
      </w:pPr>
      <w:r w:rsidRPr="00A14363">
        <w:rPr>
          <w:szCs w:val="24"/>
        </w:rPr>
        <w:t xml:space="preserve">Předběžná kalkulace dle článku VI. odst. 1 smlouvy, Výsledná kalkulace dle článku VI. odst. 8 a odst. 15 smlouvy a Mimořádná kalkulace dle článku VI. odst. 14 smlouvy bude sestavována dle níže uvedeného kalkulačního vzorce a v souladu s Metodickým pokynem  schváleným </w:t>
      </w:r>
      <w:r>
        <w:rPr>
          <w:szCs w:val="24"/>
        </w:rPr>
        <w:t>Zastupitelstvem Karlovarského kraje dne</w:t>
      </w:r>
      <w:r w:rsidR="003E5BA7">
        <w:rPr>
          <w:szCs w:val="24"/>
        </w:rPr>
        <w:t xml:space="preserve"> 28.02.2019</w:t>
      </w:r>
      <w:r w:rsidRPr="003E5BA7">
        <w:rPr>
          <w:szCs w:val="24"/>
        </w:rPr>
        <w:t>,</w:t>
      </w:r>
      <w:r w:rsidRPr="00A14363">
        <w:rPr>
          <w:szCs w:val="24"/>
        </w:rPr>
        <w:t xml:space="preserve"> který obsahuje i vzorové znění kalkulací.</w:t>
      </w:r>
      <w:bookmarkStart w:id="3" w:name="_GoBack"/>
      <w:bookmarkEnd w:id="3"/>
    </w:p>
    <w:p w:rsidR="00FE08FF" w:rsidRPr="00A14363" w:rsidRDefault="00FE08FF" w:rsidP="00FE08FF">
      <w:pPr>
        <w:pStyle w:val="Bezmezer"/>
        <w:jc w:val="both"/>
        <w:rPr>
          <w:szCs w:val="24"/>
        </w:rPr>
      </w:pPr>
    </w:p>
    <w:p w:rsidR="00FE08FF" w:rsidRPr="00A14363" w:rsidRDefault="00FE08FF" w:rsidP="00FE08FF">
      <w:pPr>
        <w:pStyle w:val="Bezmezer"/>
        <w:jc w:val="both"/>
        <w:rPr>
          <w:szCs w:val="24"/>
        </w:rPr>
      </w:pPr>
    </w:p>
    <w:p w:rsidR="00FE08FF" w:rsidRPr="00A14363" w:rsidRDefault="00FE08FF" w:rsidP="00FE08FF">
      <w:pPr>
        <w:pStyle w:val="Bezmezer"/>
        <w:numPr>
          <w:ilvl w:val="0"/>
          <w:numId w:val="24"/>
        </w:numPr>
        <w:jc w:val="both"/>
        <w:rPr>
          <w:b/>
          <w:sz w:val="28"/>
          <w:szCs w:val="28"/>
          <w:u w:val="single"/>
        </w:rPr>
      </w:pPr>
      <w:r w:rsidRPr="00A14363">
        <w:rPr>
          <w:b/>
          <w:sz w:val="28"/>
          <w:szCs w:val="28"/>
          <w:u w:val="single"/>
        </w:rPr>
        <w:t>Kalkulační vzorec:</w:t>
      </w:r>
    </w:p>
    <w:p w:rsidR="00FE08FF" w:rsidRPr="00A14363" w:rsidRDefault="00FE08FF" w:rsidP="00FE08FF">
      <w:pPr>
        <w:pStyle w:val="Bezmezer"/>
        <w:ind w:left="360"/>
        <w:jc w:val="both"/>
        <w:rPr>
          <w:szCs w:val="24"/>
        </w:rPr>
      </w:pPr>
    </w:p>
    <w:p w:rsidR="00FE08FF" w:rsidRPr="00A14363" w:rsidRDefault="00FE08FF" w:rsidP="00FE08FF">
      <w:pPr>
        <w:pStyle w:val="Bezmezer"/>
        <w:jc w:val="both"/>
        <w:rPr>
          <w:szCs w:val="24"/>
        </w:rPr>
      </w:pPr>
    </w:p>
    <w:p w:rsidR="00FE08FF" w:rsidRPr="00A14363" w:rsidRDefault="00FE08FF" w:rsidP="00FE08FF">
      <w:pPr>
        <w:pStyle w:val="Bezmezer"/>
        <w:jc w:val="both"/>
        <w:rPr>
          <w:b/>
          <w:szCs w:val="24"/>
        </w:rPr>
      </w:pPr>
      <w:r w:rsidRPr="00A14363">
        <w:rPr>
          <w:b/>
          <w:szCs w:val="24"/>
        </w:rPr>
        <w:t xml:space="preserve">VP = ÚVN + PZ - VS - RP </w:t>
      </w:r>
    </w:p>
    <w:p w:rsidR="00FE08FF" w:rsidRPr="00A14363" w:rsidRDefault="00FE08FF" w:rsidP="00FE08FF">
      <w:pPr>
        <w:pStyle w:val="Bezmezer"/>
        <w:jc w:val="both"/>
        <w:rPr>
          <w:b/>
          <w:szCs w:val="24"/>
        </w:rPr>
      </w:pPr>
    </w:p>
    <w:p w:rsidR="00FE08FF" w:rsidRPr="00A14363" w:rsidRDefault="00FE08FF" w:rsidP="00FE08FF">
      <w:pPr>
        <w:pStyle w:val="Bezmezer"/>
        <w:jc w:val="both"/>
        <w:rPr>
          <w:szCs w:val="24"/>
        </w:rPr>
      </w:pPr>
      <w:r w:rsidRPr="00A14363">
        <w:rPr>
          <w:b/>
          <w:szCs w:val="24"/>
        </w:rPr>
        <w:t xml:space="preserve">VP – </w:t>
      </w:r>
      <w:r w:rsidRPr="00A14363">
        <w:rPr>
          <w:szCs w:val="24"/>
        </w:rPr>
        <w:t>Vyrovnávací platba pro příslušný kalendářní rok</w:t>
      </w:r>
    </w:p>
    <w:p w:rsidR="00FE08FF" w:rsidRPr="00A14363" w:rsidRDefault="00FE08FF" w:rsidP="00FE08FF">
      <w:pPr>
        <w:pStyle w:val="Bezmezer"/>
        <w:jc w:val="both"/>
        <w:rPr>
          <w:szCs w:val="24"/>
        </w:rPr>
      </w:pPr>
      <w:r w:rsidRPr="00A14363">
        <w:rPr>
          <w:b/>
          <w:szCs w:val="24"/>
        </w:rPr>
        <w:t xml:space="preserve">ÚVN </w:t>
      </w:r>
      <w:r w:rsidRPr="00A14363">
        <w:rPr>
          <w:szCs w:val="24"/>
        </w:rPr>
        <w:t>– úplné vlastní náklady za příslušný kalendářní rok</w:t>
      </w:r>
    </w:p>
    <w:p w:rsidR="00FE08FF" w:rsidRPr="00A14363" w:rsidRDefault="00FE08FF" w:rsidP="00FE08FF">
      <w:pPr>
        <w:pStyle w:val="Bezmezer"/>
        <w:jc w:val="both"/>
        <w:rPr>
          <w:szCs w:val="24"/>
        </w:rPr>
      </w:pPr>
      <w:r w:rsidRPr="00A14363">
        <w:rPr>
          <w:b/>
          <w:szCs w:val="24"/>
        </w:rPr>
        <w:t xml:space="preserve">PZ </w:t>
      </w:r>
      <w:r w:rsidRPr="00A14363">
        <w:rPr>
          <w:szCs w:val="24"/>
        </w:rPr>
        <w:t>– přiměřený zisk za příslušný kalendářní rok</w:t>
      </w:r>
    </w:p>
    <w:p w:rsidR="00FE08FF" w:rsidRPr="00A14363" w:rsidRDefault="00FE08FF" w:rsidP="00FE08FF">
      <w:pPr>
        <w:pStyle w:val="Bezmezer"/>
        <w:jc w:val="both"/>
        <w:rPr>
          <w:szCs w:val="24"/>
        </w:rPr>
      </w:pPr>
      <w:r w:rsidRPr="00A14363">
        <w:rPr>
          <w:b/>
          <w:szCs w:val="24"/>
        </w:rPr>
        <w:t>VS</w:t>
      </w:r>
      <w:r w:rsidRPr="00A14363">
        <w:rPr>
          <w:szCs w:val="24"/>
        </w:rPr>
        <w:t xml:space="preserve"> – výnosy ze Služeb za příslušný kalendářní rok</w:t>
      </w:r>
    </w:p>
    <w:p w:rsidR="00FE08FF" w:rsidRPr="00A14363" w:rsidRDefault="00FE08FF" w:rsidP="00FE08FF">
      <w:pPr>
        <w:pStyle w:val="Bezmezer"/>
        <w:jc w:val="both"/>
        <w:rPr>
          <w:szCs w:val="24"/>
        </w:rPr>
      </w:pPr>
      <w:r w:rsidRPr="00A14363">
        <w:rPr>
          <w:b/>
          <w:szCs w:val="24"/>
        </w:rPr>
        <w:t>RP</w:t>
      </w:r>
      <w:r w:rsidRPr="00A14363">
        <w:rPr>
          <w:szCs w:val="24"/>
        </w:rPr>
        <w:t xml:space="preserve"> – regulační poplatky</w:t>
      </w:r>
      <w:r>
        <w:rPr>
          <w:szCs w:val="24"/>
        </w:rPr>
        <w:t xml:space="preserve"> LPS</w:t>
      </w:r>
      <w:r w:rsidRPr="00A14363">
        <w:rPr>
          <w:szCs w:val="24"/>
        </w:rPr>
        <w:t xml:space="preserve"> vybrané v příslušném kalendářním roce</w:t>
      </w:r>
    </w:p>
    <w:p w:rsidR="00FE08FF" w:rsidRPr="00A14363" w:rsidRDefault="00FE08FF" w:rsidP="00FE08FF">
      <w:pPr>
        <w:pStyle w:val="Bezmezer"/>
        <w:jc w:val="both"/>
        <w:rPr>
          <w:szCs w:val="24"/>
        </w:rPr>
      </w:pPr>
    </w:p>
    <w:p w:rsidR="00FE08FF" w:rsidRPr="00A14363" w:rsidRDefault="00FE08FF" w:rsidP="00FE08FF">
      <w:pPr>
        <w:pStyle w:val="Bezmezer"/>
        <w:jc w:val="both"/>
        <w:rPr>
          <w:szCs w:val="24"/>
        </w:rPr>
      </w:pPr>
    </w:p>
    <w:p w:rsidR="00FE08FF" w:rsidRPr="00A14363" w:rsidRDefault="00FE08FF" w:rsidP="00FE08FF">
      <w:pPr>
        <w:pStyle w:val="Bezmezer"/>
        <w:numPr>
          <w:ilvl w:val="0"/>
          <w:numId w:val="24"/>
        </w:numPr>
        <w:jc w:val="both"/>
        <w:rPr>
          <w:b/>
          <w:sz w:val="28"/>
          <w:szCs w:val="28"/>
          <w:u w:val="single"/>
        </w:rPr>
      </w:pPr>
      <w:r w:rsidRPr="00A14363">
        <w:rPr>
          <w:b/>
          <w:sz w:val="28"/>
          <w:szCs w:val="28"/>
          <w:u w:val="single"/>
        </w:rPr>
        <w:t>Definice položek kalkulačního vzorce:</w:t>
      </w:r>
    </w:p>
    <w:p w:rsidR="00FE08FF" w:rsidRPr="00A14363" w:rsidRDefault="00FE08FF" w:rsidP="00FE08FF">
      <w:pPr>
        <w:pStyle w:val="Bezmezer"/>
        <w:jc w:val="both"/>
        <w:rPr>
          <w:szCs w:val="24"/>
        </w:rPr>
      </w:pPr>
    </w:p>
    <w:p w:rsidR="00FE08FF" w:rsidRPr="00A14363" w:rsidRDefault="00FE08FF" w:rsidP="00FE08FF">
      <w:pPr>
        <w:pStyle w:val="Bezmezer"/>
        <w:jc w:val="both"/>
        <w:rPr>
          <w:szCs w:val="24"/>
        </w:rPr>
      </w:pPr>
    </w:p>
    <w:p w:rsidR="00FE08FF" w:rsidRPr="00A14363" w:rsidRDefault="00FE08FF" w:rsidP="00FE08FF">
      <w:pPr>
        <w:pStyle w:val="Bezmezer"/>
        <w:jc w:val="both"/>
        <w:rPr>
          <w:b/>
          <w:sz w:val="28"/>
          <w:szCs w:val="28"/>
        </w:rPr>
      </w:pPr>
      <w:r w:rsidRPr="00A14363">
        <w:rPr>
          <w:b/>
          <w:sz w:val="28"/>
          <w:szCs w:val="28"/>
        </w:rPr>
        <w:t>Úplné vlastní náklady</w:t>
      </w:r>
    </w:p>
    <w:p w:rsidR="00FE08FF" w:rsidRPr="00A14363" w:rsidRDefault="00FE08FF" w:rsidP="00FE08FF">
      <w:pPr>
        <w:pStyle w:val="Bezmezer"/>
        <w:jc w:val="both"/>
        <w:rPr>
          <w:szCs w:val="24"/>
        </w:rPr>
      </w:pPr>
    </w:p>
    <w:p w:rsidR="00FE08FF" w:rsidRPr="0079591D" w:rsidRDefault="00FE08FF" w:rsidP="00FE08FF">
      <w:pPr>
        <w:spacing w:beforeLines="60" w:before="144" w:afterLines="60" w:after="144"/>
        <w:jc w:val="both"/>
        <w:rPr>
          <w:szCs w:val="24"/>
        </w:rPr>
      </w:pPr>
      <w:r w:rsidRPr="0079591D">
        <w:rPr>
          <w:szCs w:val="24"/>
        </w:rPr>
        <w:t>Úplné vlastní náklady jsou náklady, které lze při stanovení výše Vyrovnávací platby zohlednit ve smyslu článku V. odst. 3 smlouvy a které zahrnují tyto položky: spotřeba materiálu, osobní náklady, ostatní služby, spotřeba energie, opravy a udržování, cestovné, odpisy, prodaný majetek a ostatní náklady. V rámci kalkulace budou ke každé jednotlivé Službě přiřazeny veškeré náklady vynaložené výhradně v souvislosti s poskytováním této Služby a dále na tuto Službu připadající podíl z ostatních nákladů souvisejících s poskytováním zdravotních služeb, které se vztahují k dané Službě</w:t>
      </w:r>
      <w:r>
        <w:rPr>
          <w:szCs w:val="24"/>
        </w:rPr>
        <w:t xml:space="preserve"> (jsou předmětem SOHZ), ale</w:t>
      </w:r>
      <w:r w:rsidRPr="0079591D">
        <w:rPr>
          <w:szCs w:val="24"/>
        </w:rPr>
        <w:t xml:space="preserve"> u nichž není možné jednoznačně stanovit jejich výši připadající na tu kterou Službu. V případě těchto </w:t>
      </w:r>
      <w:r>
        <w:rPr>
          <w:szCs w:val="24"/>
        </w:rPr>
        <w:t xml:space="preserve">nákladů </w:t>
      </w:r>
      <w:r w:rsidRPr="0079591D">
        <w:rPr>
          <w:szCs w:val="24"/>
        </w:rPr>
        <w:t>musí mít nemocnice zpracován interní pokyn (metodiku) k rozúčtovávání (přiřazování) těchto nákladů, ze kterého jednoznačně vyplyne jak a na základě jakých parametrů</w:t>
      </w:r>
      <w:r>
        <w:rPr>
          <w:szCs w:val="24"/>
        </w:rPr>
        <w:t xml:space="preserve"> </w:t>
      </w:r>
      <w:r w:rsidRPr="0079591D">
        <w:rPr>
          <w:szCs w:val="24"/>
        </w:rPr>
        <w:t xml:space="preserve"> jsou tyto náklady </w:t>
      </w:r>
      <w:proofErr w:type="spellStart"/>
      <w:r>
        <w:rPr>
          <w:szCs w:val="24"/>
        </w:rPr>
        <w:t>rozúčtovávány</w:t>
      </w:r>
      <w:proofErr w:type="spellEnd"/>
      <w:r>
        <w:rPr>
          <w:szCs w:val="24"/>
        </w:rPr>
        <w:t xml:space="preserve">. </w:t>
      </w:r>
      <w:r w:rsidRPr="0079591D">
        <w:rPr>
          <w:szCs w:val="24"/>
        </w:rPr>
        <w:t xml:space="preserve">Nemocnice poskytne odboru zdravotnictví </w:t>
      </w:r>
      <w:r>
        <w:rPr>
          <w:szCs w:val="24"/>
        </w:rPr>
        <w:t>do 30 dnů</w:t>
      </w:r>
      <w:r w:rsidRPr="0079591D">
        <w:rPr>
          <w:szCs w:val="24"/>
        </w:rPr>
        <w:t xml:space="preserve"> po uzavření smlouvy na SOHZ tento interní pokyn a bude odbor zdravotnictví prokazatelně seznamovat s jeho aktualizacemi.  Stejný postup platí i pro výnosy. Detaily k uznatelnosti úplných vlastních nákladů jsou uvedeny v Metodickém pokynu Karlovarského kraje k výpočtu výše vyrovnávací platby za poskytování zdravotních služeb jako služeb obecného hospodářského zájmu, který je pro nemocnici </w:t>
      </w:r>
      <w:r>
        <w:rPr>
          <w:szCs w:val="24"/>
        </w:rPr>
        <w:t xml:space="preserve">Mariánské Lázně </w:t>
      </w:r>
      <w:r w:rsidRPr="0079591D">
        <w:rPr>
          <w:szCs w:val="24"/>
        </w:rPr>
        <w:t>závazný (dále jen metodika).</w:t>
      </w:r>
    </w:p>
    <w:p w:rsidR="00FE08FF" w:rsidRPr="00513303" w:rsidRDefault="00FE08FF" w:rsidP="00FE08FF">
      <w:pPr>
        <w:pStyle w:val="Normlnweb"/>
        <w:autoSpaceDE w:val="0"/>
        <w:autoSpaceDN w:val="0"/>
        <w:adjustRightInd w:val="0"/>
        <w:spacing w:before="120" w:beforeAutospacing="0" w:after="120" w:afterAutospacing="0" w:line="276" w:lineRule="auto"/>
        <w:jc w:val="both"/>
      </w:pPr>
    </w:p>
    <w:p w:rsidR="00FE08FF" w:rsidRDefault="00FE08FF" w:rsidP="00FE08FF">
      <w:pPr>
        <w:pStyle w:val="Bezmezer"/>
        <w:jc w:val="both"/>
        <w:rPr>
          <w:szCs w:val="24"/>
        </w:rPr>
      </w:pPr>
    </w:p>
    <w:p w:rsidR="00FE08FF" w:rsidRPr="00A14363" w:rsidRDefault="00FE08FF" w:rsidP="00FE08FF">
      <w:pPr>
        <w:pStyle w:val="Bezmezer"/>
        <w:jc w:val="both"/>
        <w:rPr>
          <w:szCs w:val="24"/>
        </w:rPr>
      </w:pPr>
      <w:r w:rsidRPr="00A14363">
        <w:rPr>
          <w:szCs w:val="24"/>
        </w:rPr>
        <w:t xml:space="preserve">Položka </w:t>
      </w:r>
      <w:r w:rsidRPr="00A14363">
        <w:rPr>
          <w:b/>
          <w:szCs w:val="24"/>
        </w:rPr>
        <w:t xml:space="preserve">spotřeba materiálu </w:t>
      </w:r>
      <w:r w:rsidRPr="00A14363">
        <w:rPr>
          <w:szCs w:val="24"/>
        </w:rPr>
        <w:t xml:space="preserve">zahrnuje zejména náklady na spotřebu biologického materiálu, spotřebu léčivých přípravků, spotřebu krve a krevních výrobků, speciální zdravotnický materiál (dále jen „SZM“), spotřebu pohonných hmot, potraviny, všeobecný materiál </w:t>
      </w:r>
      <w:r w:rsidRPr="00A14363">
        <w:rPr>
          <w:szCs w:val="24"/>
        </w:rPr>
        <w:br/>
        <w:t>a náhradní díly, drobný dlouhodobý hmotný majetek do 40.000,- Kč, prádlo a OOPP, knihy, učebnice, pomůcky pro výuku, hračky a palivo, a dále spotřebu ostatních neskladovatelných dodávek.</w:t>
      </w:r>
    </w:p>
    <w:p w:rsidR="00FE08FF" w:rsidRPr="00A14363" w:rsidRDefault="00FE08FF" w:rsidP="00FE08FF">
      <w:pPr>
        <w:pStyle w:val="Bezmezer"/>
        <w:jc w:val="both"/>
        <w:rPr>
          <w:szCs w:val="24"/>
        </w:rPr>
      </w:pPr>
    </w:p>
    <w:p w:rsidR="00FE08FF" w:rsidRPr="00A14363" w:rsidRDefault="00FE08FF" w:rsidP="00FE08FF">
      <w:pPr>
        <w:pStyle w:val="Bezmezer"/>
        <w:jc w:val="both"/>
        <w:rPr>
          <w:szCs w:val="24"/>
        </w:rPr>
      </w:pPr>
      <w:r w:rsidRPr="00A14363">
        <w:rPr>
          <w:szCs w:val="24"/>
        </w:rPr>
        <w:t>Položka</w:t>
      </w:r>
      <w:r w:rsidRPr="00A14363">
        <w:rPr>
          <w:b/>
          <w:szCs w:val="24"/>
        </w:rPr>
        <w:t xml:space="preserve"> osobní náklady</w:t>
      </w:r>
      <w:r w:rsidRPr="00A14363">
        <w:rPr>
          <w:szCs w:val="24"/>
        </w:rPr>
        <w:t xml:space="preserve"> zahrnuje mzdové náklady</w:t>
      </w:r>
      <w:r>
        <w:rPr>
          <w:szCs w:val="24"/>
        </w:rPr>
        <w:t>,</w:t>
      </w:r>
      <w:r w:rsidRPr="00A14363">
        <w:rPr>
          <w:szCs w:val="24"/>
        </w:rPr>
        <w:t xml:space="preserve"> zákonné sociální pojištění (tj. zákonné sociální pojištění placené Nemocnicí a zákonné zdravotní pojištění placené Nemocnicí), ostatní sociální pojištění, zákonné sociální náklady a ostatní sociální náklady</w:t>
      </w:r>
      <w:r>
        <w:rPr>
          <w:szCs w:val="24"/>
        </w:rPr>
        <w:t>, vyjma nákladů na mimořádné odměny členů představenstva a jednatelů a náklady na zákonné sociální a zdravotní pojištění spojené s těmito mimořádnými odměnami)</w:t>
      </w:r>
      <w:r w:rsidRPr="00A14363">
        <w:rPr>
          <w:szCs w:val="24"/>
        </w:rPr>
        <w:t xml:space="preserve">. </w:t>
      </w:r>
    </w:p>
    <w:p w:rsidR="00FE08FF" w:rsidRPr="00A14363" w:rsidRDefault="00FE08FF" w:rsidP="00FE08FF">
      <w:pPr>
        <w:pStyle w:val="Bezmezer"/>
        <w:jc w:val="both"/>
        <w:rPr>
          <w:szCs w:val="24"/>
        </w:rPr>
      </w:pPr>
    </w:p>
    <w:p w:rsidR="00FE08FF" w:rsidRPr="00A14363" w:rsidRDefault="00FE08FF" w:rsidP="00FE08FF">
      <w:pPr>
        <w:pStyle w:val="Bezmezer"/>
        <w:jc w:val="both"/>
        <w:rPr>
          <w:szCs w:val="24"/>
        </w:rPr>
      </w:pPr>
      <w:r w:rsidRPr="00A14363">
        <w:rPr>
          <w:szCs w:val="24"/>
        </w:rPr>
        <w:t>Položka</w:t>
      </w:r>
      <w:r w:rsidRPr="00A14363">
        <w:rPr>
          <w:b/>
          <w:szCs w:val="24"/>
        </w:rPr>
        <w:t xml:space="preserve"> ostatní služby </w:t>
      </w:r>
      <w:r w:rsidRPr="00A14363">
        <w:rPr>
          <w:szCs w:val="24"/>
        </w:rPr>
        <w:t xml:space="preserve">zahrnuje náklady na služby spojů, </w:t>
      </w:r>
      <w:r>
        <w:rPr>
          <w:szCs w:val="24"/>
        </w:rPr>
        <w:t xml:space="preserve">stočné, </w:t>
      </w:r>
      <w:r w:rsidRPr="00A14363">
        <w:rPr>
          <w:szCs w:val="24"/>
        </w:rPr>
        <w:t>dopravné (přeprava osob</w:t>
      </w:r>
      <w:r w:rsidRPr="00A14363">
        <w:rPr>
          <w:szCs w:val="24"/>
        </w:rPr>
        <w:br/>
        <w:t xml:space="preserve">i materiálu prováděná </w:t>
      </w:r>
      <w:proofErr w:type="spellStart"/>
      <w:r w:rsidRPr="00A14363">
        <w:rPr>
          <w:szCs w:val="24"/>
        </w:rPr>
        <w:t>dodavatelsky</w:t>
      </w:r>
      <w:proofErr w:type="spellEnd"/>
      <w:r w:rsidRPr="00A14363">
        <w:rPr>
          <w:szCs w:val="24"/>
        </w:rPr>
        <w:t>), nájemné</w:t>
      </w:r>
      <w:r>
        <w:rPr>
          <w:szCs w:val="24"/>
        </w:rPr>
        <w:t xml:space="preserve"> (vyjma nájemného za nemovitý majetek Karlovarského kraje)</w:t>
      </w:r>
      <w:r w:rsidRPr="00A14363">
        <w:rPr>
          <w:szCs w:val="24"/>
        </w:rPr>
        <w:t>, úklid (</w:t>
      </w:r>
      <w:proofErr w:type="spellStart"/>
      <w:r w:rsidRPr="00A14363">
        <w:rPr>
          <w:szCs w:val="24"/>
        </w:rPr>
        <w:t>dodavatelsky</w:t>
      </w:r>
      <w:proofErr w:type="spellEnd"/>
      <w:r w:rsidRPr="00A14363">
        <w:rPr>
          <w:szCs w:val="24"/>
        </w:rPr>
        <w:t>), praní prádla (</w:t>
      </w:r>
      <w:proofErr w:type="spellStart"/>
      <w:r w:rsidRPr="00A14363">
        <w:rPr>
          <w:szCs w:val="24"/>
        </w:rPr>
        <w:t>dodavatelsky</w:t>
      </w:r>
      <w:proofErr w:type="spellEnd"/>
      <w:r w:rsidRPr="00A14363">
        <w:rPr>
          <w:szCs w:val="24"/>
        </w:rPr>
        <w:t>), svoz a likvidaci odpadu, nehmotný majetek do 60.000,- Kč a</w:t>
      </w:r>
      <w:r>
        <w:rPr>
          <w:szCs w:val="24"/>
        </w:rPr>
        <w:t xml:space="preserve"> ostatní služby vyjma </w:t>
      </w:r>
      <w:r w:rsidRPr="004421A1">
        <w:rPr>
          <w:szCs w:val="24"/>
        </w:rPr>
        <w:t>nákladů za manažerské poradenství, nákladů za poradenské a obdobné služby, nákladů za právní služby, nákladů na reklamu a propagaci, nákladů na kulturní, sportovní akce, nákladů na  zaměstnanecké benefity</w:t>
      </w:r>
      <w:r>
        <w:rPr>
          <w:szCs w:val="24"/>
        </w:rPr>
        <w:t>.</w:t>
      </w:r>
    </w:p>
    <w:p w:rsidR="00FE08FF" w:rsidRPr="00A14363" w:rsidRDefault="00FE08FF" w:rsidP="00FE08FF">
      <w:pPr>
        <w:pStyle w:val="Bezmezer"/>
        <w:jc w:val="both"/>
        <w:rPr>
          <w:szCs w:val="24"/>
        </w:rPr>
      </w:pPr>
    </w:p>
    <w:p w:rsidR="00FE08FF" w:rsidRPr="00A14363" w:rsidRDefault="00FE08FF" w:rsidP="00FE08FF">
      <w:pPr>
        <w:pStyle w:val="Bezmezer"/>
        <w:jc w:val="both"/>
        <w:rPr>
          <w:szCs w:val="24"/>
        </w:rPr>
      </w:pPr>
      <w:r w:rsidRPr="00A14363">
        <w:rPr>
          <w:szCs w:val="24"/>
        </w:rPr>
        <w:t>Položka</w:t>
      </w:r>
      <w:r w:rsidRPr="00A14363">
        <w:rPr>
          <w:b/>
          <w:szCs w:val="24"/>
        </w:rPr>
        <w:t xml:space="preserve"> spotřeba energie </w:t>
      </w:r>
      <w:r w:rsidRPr="00A14363">
        <w:rPr>
          <w:szCs w:val="24"/>
        </w:rPr>
        <w:t>zahrnuje náklady na elektrickou energii, vodu, páru</w:t>
      </w:r>
      <w:r w:rsidRPr="00A14363">
        <w:rPr>
          <w:szCs w:val="24"/>
        </w:rPr>
        <w:br/>
        <w:t>a teplo a plyn.</w:t>
      </w:r>
    </w:p>
    <w:p w:rsidR="00FE08FF" w:rsidRPr="00A14363" w:rsidRDefault="00FE08FF" w:rsidP="00FE08FF">
      <w:pPr>
        <w:pStyle w:val="Bezmezer"/>
        <w:jc w:val="both"/>
        <w:rPr>
          <w:szCs w:val="24"/>
        </w:rPr>
      </w:pPr>
    </w:p>
    <w:p w:rsidR="00FE08FF" w:rsidRPr="00A14363" w:rsidRDefault="00FE08FF" w:rsidP="00FE08FF">
      <w:pPr>
        <w:pStyle w:val="Bezmezer"/>
        <w:jc w:val="both"/>
        <w:rPr>
          <w:i/>
          <w:szCs w:val="24"/>
        </w:rPr>
      </w:pPr>
      <w:r w:rsidRPr="00A14363">
        <w:rPr>
          <w:szCs w:val="24"/>
        </w:rPr>
        <w:t>Položka</w:t>
      </w:r>
      <w:r w:rsidRPr="00A14363">
        <w:rPr>
          <w:b/>
          <w:szCs w:val="24"/>
        </w:rPr>
        <w:t xml:space="preserve"> opravy a udržování </w:t>
      </w:r>
      <w:r w:rsidRPr="00A14363">
        <w:rPr>
          <w:szCs w:val="24"/>
        </w:rPr>
        <w:t>zahrnuje náklady na stavební údržbu a údržbu přístrojů</w:t>
      </w:r>
      <w:r w:rsidRPr="00A14363">
        <w:rPr>
          <w:szCs w:val="24"/>
        </w:rPr>
        <w:br/>
        <w:t xml:space="preserve">a zařízení a vozidel. </w:t>
      </w:r>
    </w:p>
    <w:p w:rsidR="00FE08FF" w:rsidRPr="00A14363" w:rsidRDefault="00FE08FF" w:rsidP="00FE08FF">
      <w:pPr>
        <w:pStyle w:val="Bezmezer"/>
        <w:jc w:val="both"/>
        <w:rPr>
          <w:szCs w:val="24"/>
        </w:rPr>
      </w:pPr>
    </w:p>
    <w:p w:rsidR="00FE08FF" w:rsidRPr="00A14363" w:rsidRDefault="00FE08FF" w:rsidP="00FE08FF">
      <w:pPr>
        <w:pStyle w:val="Bezmezer"/>
        <w:jc w:val="both"/>
        <w:rPr>
          <w:szCs w:val="24"/>
        </w:rPr>
      </w:pPr>
      <w:r w:rsidRPr="00A14363">
        <w:rPr>
          <w:szCs w:val="24"/>
        </w:rPr>
        <w:t>Položka</w:t>
      </w:r>
      <w:r w:rsidRPr="00A14363">
        <w:rPr>
          <w:b/>
          <w:szCs w:val="24"/>
        </w:rPr>
        <w:t xml:space="preserve"> cestovné </w:t>
      </w:r>
      <w:r w:rsidRPr="00A14363">
        <w:rPr>
          <w:szCs w:val="24"/>
        </w:rPr>
        <w:t>zahrnuje náklady na cestovné zaměstnanců</w:t>
      </w:r>
      <w:r w:rsidRPr="00A90A55">
        <w:rPr>
          <w:szCs w:val="24"/>
        </w:rPr>
        <w:t xml:space="preserve"> </w:t>
      </w:r>
      <w:r w:rsidRPr="00A14363">
        <w:rPr>
          <w:szCs w:val="24"/>
        </w:rPr>
        <w:t>a cestovné pacientů (např. dárci krve nebo jiné zákonn</w:t>
      </w:r>
      <w:r>
        <w:rPr>
          <w:szCs w:val="24"/>
        </w:rPr>
        <w:t xml:space="preserve">é náhrady cestovného pacientům), a to pouze </w:t>
      </w:r>
      <w:r w:rsidRPr="00A14363">
        <w:rPr>
          <w:szCs w:val="24"/>
        </w:rPr>
        <w:t>tuzemské</w:t>
      </w:r>
      <w:r>
        <w:rPr>
          <w:szCs w:val="24"/>
        </w:rPr>
        <w:t xml:space="preserve">. Nelze uplatňovat zahraniční cestovné. </w:t>
      </w:r>
    </w:p>
    <w:p w:rsidR="00FE08FF" w:rsidRPr="00A14363" w:rsidRDefault="00FE08FF" w:rsidP="00FE08FF">
      <w:pPr>
        <w:pStyle w:val="Bezmezer"/>
        <w:jc w:val="both"/>
        <w:rPr>
          <w:szCs w:val="24"/>
        </w:rPr>
      </w:pPr>
    </w:p>
    <w:p w:rsidR="00FE08FF" w:rsidRPr="00A14363" w:rsidRDefault="00FE08FF" w:rsidP="00FE08FF">
      <w:pPr>
        <w:pStyle w:val="Bezmezer"/>
        <w:jc w:val="both"/>
        <w:rPr>
          <w:szCs w:val="24"/>
        </w:rPr>
      </w:pPr>
      <w:r w:rsidRPr="00A14363">
        <w:rPr>
          <w:szCs w:val="24"/>
        </w:rPr>
        <w:t>Položka</w:t>
      </w:r>
      <w:r w:rsidRPr="00A14363">
        <w:rPr>
          <w:b/>
          <w:szCs w:val="24"/>
        </w:rPr>
        <w:t xml:space="preserve"> odpisy, prodaný majetek </w:t>
      </w:r>
      <w:r w:rsidRPr="00A14363">
        <w:rPr>
          <w:szCs w:val="24"/>
        </w:rPr>
        <w:t>zahrnuje odpisy dlouhodobého nehmotného majetku</w:t>
      </w:r>
      <w:r w:rsidRPr="00A14363">
        <w:rPr>
          <w:szCs w:val="24"/>
        </w:rPr>
        <w:br/>
        <w:t>a odpisy dlouhodobého hmotného majetku, zůstatkovou cenu prodaného dlouhodobéh</w:t>
      </w:r>
      <w:r>
        <w:rPr>
          <w:szCs w:val="24"/>
        </w:rPr>
        <w:t>o nehmotného a hmotného majetku a dále prodaný materiál.</w:t>
      </w:r>
    </w:p>
    <w:p w:rsidR="00FE08FF" w:rsidRPr="00A14363" w:rsidRDefault="00FE08FF" w:rsidP="00FE08FF">
      <w:pPr>
        <w:pStyle w:val="Bezmezer"/>
        <w:jc w:val="both"/>
        <w:rPr>
          <w:szCs w:val="24"/>
        </w:rPr>
      </w:pPr>
    </w:p>
    <w:p w:rsidR="00FE08FF" w:rsidRPr="00A14363" w:rsidRDefault="00FE08FF" w:rsidP="00FE08FF">
      <w:pPr>
        <w:pStyle w:val="Normlnweb"/>
        <w:autoSpaceDE w:val="0"/>
        <w:autoSpaceDN w:val="0"/>
        <w:adjustRightInd w:val="0"/>
        <w:spacing w:before="12" w:beforeAutospacing="0" w:after="12" w:afterAutospacing="0" w:line="276" w:lineRule="auto"/>
        <w:jc w:val="both"/>
      </w:pPr>
      <w:r w:rsidRPr="00A14363">
        <w:t>Položka</w:t>
      </w:r>
      <w:r w:rsidRPr="00A14363">
        <w:rPr>
          <w:b/>
        </w:rPr>
        <w:t xml:space="preserve"> ostatní náklady </w:t>
      </w:r>
      <w:r w:rsidRPr="00A14363">
        <w:t xml:space="preserve">zahrnuje </w:t>
      </w:r>
      <w:r>
        <w:t>pouze ostatní provozní náklady. N</w:t>
      </w:r>
      <w:r w:rsidRPr="00A14363">
        <w:t>áklady na smluvní pokuty a úroky z</w:t>
      </w:r>
      <w:r>
        <w:t> </w:t>
      </w:r>
      <w:r w:rsidRPr="00A14363">
        <w:t>prodlení</w:t>
      </w:r>
      <w:r>
        <w:t xml:space="preserve">, </w:t>
      </w:r>
      <w:r w:rsidRPr="00A14363">
        <w:t>ostatní pokuty a penále</w:t>
      </w:r>
      <w:r>
        <w:t xml:space="preserve">, </w:t>
      </w:r>
      <w:r w:rsidRPr="00A14363">
        <w:t>úroky, kursové ztráty, dary, manka</w:t>
      </w:r>
      <w:r>
        <w:br/>
      </w:r>
      <w:r w:rsidRPr="00A14363">
        <w:t xml:space="preserve">a škody </w:t>
      </w:r>
      <w:r>
        <w:t xml:space="preserve">nelze </w:t>
      </w:r>
      <w:r w:rsidRPr="00A14363">
        <w:t>v rámci kalkulace zohlednit</w:t>
      </w:r>
      <w:r>
        <w:t xml:space="preserve">. </w:t>
      </w:r>
      <w:r w:rsidRPr="002529B9">
        <w:t>Nepřiřaditelné náklady související s poskytováním zdravotních služeb je nutno rozpočítat dle pokynů uvedených v bodě  2b) metodiky, nelze je uvádět do ostatních nákladů.  Tyto náklady se uvádí ve sloupci Ostatní zdravotní – viz metodika.</w:t>
      </w:r>
    </w:p>
    <w:p w:rsidR="00FE08FF" w:rsidRPr="00A14363" w:rsidRDefault="00FE08FF" w:rsidP="00FE08FF">
      <w:pPr>
        <w:pStyle w:val="Bezmezer"/>
        <w:jc w:val="both"/>
        <w:rPr>
          <w:szCs w:val="24"/>
        </w:rPr>
      </w:pPr>
    </w:p>
    <w:p w:rsidR="00FE08FF" w:rsidRPr="004421A1" w:rsidRDefault="00FE08FF" w:rsidP="00FE08FF">
      <w:pPr>
        <w:pStyle w:val="Bezmezer"/>
        <w:jc w:val="both"/>
        <w:rPr>
          <w:szCs w:val="24"/>
        </w:rPr>
      </w:pPr>
      <w:r w:rsidRPr="004421A1">
        <w:rPr>
          <w:szCs w:val="24"/>
        </w:rPr>
        <w:t>Do nákladů nebudou zahrnuty takové náklady nemocnice, které  s poskytováním zdravotních služeb nesouvisejí. Stejný postup platí pro výnosy.</w:t>
      </w:r>
    </w:p>
    <w:p w:rsidR="00FE08FF" w:rsidRPr="00A14363" w:rsidRDefault="00FE08FF" w:rsidP="00FE08FF">
      <w:pPr>
        <w:pStyle w:val="Bezmezer"/>
        <w:jc w:val="both"/>
        <w:rPr>
          <w:szCs w:val="24"/>
        </w:rPr>
      </w:pPr>
    </w:p>
    <w:p w:rsidR="00FE08FF" w:rsidRDefault="00FE08FF" w:rsidP="00FE08FF">
      <w:pPr>
        <w:pStyle w:val="Bezmezer"/>
        <w:jc w:val="both"/>
        <w:rPr>
          <w:b/>
          <w:sz w:val="28"/>
          <w:szCs w:val="28"/>
        </w:rPr>
      </w:pPr>
    </w:p>
    <w:p w:rsidR="00FE08FF" w:rsidRDefault="00FE08FF" w:rsidP="00FE08FF">
      <w:pPr>
        <w:pStyle w:val="Bezmezer"/>
        <w:jc w:val="both"/>
        <w:rPr>
          <w:b/>
          <w:sz w:val="28"/>
          <w:szCs w:val="28"/>
        </w:rPr>
      </w:pPr>
    </w:p>
    <w:p w:rsidR="00FE08FF" w:rsidRDefault="00FE08FF" w:rsidP="00FE08FF">
      <w:pPr>
        <w:pStyle w:val="Bezmezer"/>
        <w:jc w:val="both"/>
        <w:rPr>
          <w:b/>
          <w:sz w:val="28"/>
          <w:szCs w:val="28"/>
        </w:rPr>
      </w:pPr>
    </w:p>
    <w:p w:rsidR="00FE08FF" w:rsidRDefault="00FE08FF" w:rsidP="00FE08FF">
      <w:pPr>
        <w:pStyle w:val="Bezmezer"/>
        <w:jc w:val="both"/>
        <w:rPr>
          <w:b/>
          <w:sz w:val="28"/>
          <w:szCs w:val="28"/>
        </w:rPr>
      </w:pPr>
    </w:p>
    <w:p w:rsidR="00FE08FF" w:rsidRPr="00A14363" w:rsidRDefault="00FE08FF" w:rsidP="00FE08FF">
      <w:pPr>
        <w:pStyle w:val="Bezmezer"/>
        <w:jc w:val="both"/>
        <w:rPr>
          <w:b/>
          <w:sz w:val="28"/>
          <w:szCs w:val="28"/>
        </w:rPr>
      </w:pPr>
      <w:r w:rsidRPr="00A14363">
        <w:rPr>
          <w:b/>
          <w:sz w:val="28"/>
          <w:szCs w:val="28"/>
        </w:rPr>
        <w:t>Přiměřený zisk</w:t>
      </w:r>
    </w:p>
    <w:p w:rsidR="00FE08FF" w:rsidRPr="00A14363" w:rsidRDefault="00FE08FF" w:rsidP="00FE08FF">
      <w:pPr>
        <w:pStyle w:val="Bezmezer"/>
        <w:jc w:val="center"/>
        <w:rPr>
          <w:b/>
          <w:sz w:val="28"/>
          <w:szCs w:val="28"/>
        </w:rPr>
      </w:pPr>
    </w:p>
    <w:p w:rsidR="00FE08FF" w:rsidRDefault="00FE08FF" w:rsidP="00FE08FF">
      <w:pPr>
        <w:pStyle w:val="Bezmezer"/>
        <w:jc w:val="both"/>
        <w:rPr>
          <w:szCs w:val="24"/>
        </w:rPr>
      </w:pPr>
      <w:r w:rsidRPr="00A14363">
        <w:rPr>
          <w:szCs w:val="24"/>
        </w:rPr>
        <w:t>Pro účely kalkulace výše Vyrovnávací platby odpovídá výše přiměřeného zisku ve smyslu článku V. odst. 5</w:t>
      </w:r>
      <w:r>
        <w:rPr>
          <w:szCs w:val="24"/>
        </w:rPr>
        <w:t xml:space="preserve"> S</w:t>
      </w:r>
      <w:r w:rsidRPr="00A14363">
        <w:rPr>
          <w:szCs w:val="24"/>
        </w:rPr>
        <w:t xml:space="preserve">mlouvy průměrné roční mezibankovní úrokové sazbě PRIBOR </w:t>
      </w:r>
      <w:r w:rsidRPr="002E0BD3">
        <w:rPr>
          <w:szCs w:val="24"/>
        </w:rPr>
        <w:t>za příslušný kalendářní rok</w:t>
      </w:r>
      <w:r w:rsidRPr="00A14363">
        <w:rPr>
          <w:szCs w:val="24"/>
        </w:rPr>
        <w:t xml:space="preserve"> navýšené o 100 bazických bodů.</w:t>
      </w:r>
    </w:p>
    <w:p w:rsidR="00FE08FF" w:rsidRPr="00A14363" w:rsidRDefault="00FE08FF" w:rsidP="00FE08FF">
      <w:pPr>
        <w:pStyle w:val="Bezmezer"/>
        <w:jc w:val="both"/>
        <w:rPr>
          <w:szCs w:val="24"/>
        </w:rPr>
      </w:pPr>
    </w:p>
    <w:p w:rsidR="00FE08FF" w:rsidRPr="00A14363" w:rsidRDefault="00FE08FF" w:rsidP="00FE08FF">
      <w:pPr>
        <w:pStyle w:val="Bezmezer"/>
        <w:jc w:val="both"/>
        <w:rPr>
          <w:szCs w:val="24"/>
        </w:rPr>
      </w:pPr>
    </w:p>
    <w:p w:rsidR="00FE08FF" w:rsidRPr="00A14363" w:rsidRDefault="00FE08FF" w:rsidP="00FE08FF">
      <w:pPr>
        <w:pStyle w:val="Bezmezer"/>
        <w:jc w:val="both"/>
        <w:rPr>
          <w:szCs w:val="24"/>
        </w:rPr>
      </w:pPr>
    </w:p>
    <w:p w:rsidR="00FE08FF" w:rsidRPr="00A14363" w:rsidRDefault="00FE08FF" w:rsidP="00FE08FF">
      <w:pPr>
        <w:pStyle w:val="Bezmezer"/>
        <w:jc w:val="both"/>
        <w:rPr>
          <w:b/>
          <w:sz w:val="28"/>
          <w:szCs w:val="28"/>
        </w:rPr>
      </w:pPr>
      <w:r w:rsidRPr="00A14363">
        <w:rPr>
          <w:b/>
          <w:sz w:val="28"/>
          <w:szCs w:val="28"/>
        </w:rPr>
        <w:t>Výnosy ze Služeb</w:t>
      </w:r>
    </w:p>
    <w:p w:rsidR="00FE08FF" w:rsidRPr="00A14363" w:rsidRDefault="00FE08FF" w:rsidP="00FE08FF">
      <w:pPr>
        <w:pStyle w:val="Bezmezer"/>
        <w:jc w:val="center"/>
        <w:rPr>
          <w:b/>
          <w:sz w:val="28"/>
          <w:szCs w:val="28"/>
        </w:rPr>
      </w:pPr>
    </w:p>
    <w:p w:rsidR="00FE08FF" w:rsidRPr="00537167" w:rsidRDefault="00FE08FF" w:rsidP="00FE08FF">
      <w:pPr>
        <w:pStyle w:val="Bezmezer"/>
        <w:jc w:val="both"/>
        <w:rPr>
          <w:szCs w:val="24"/>
        </w:rPr>
      </w:pPr>
      <w:r w:rsidRPr="00537167">
        <w:rPr>
          <w:szCs w:val="24"/>
        </w:rPr>
        <w:t>Výnosy ze Služeb jsou veškeré výnosy Nemocnice z poskytování Služeb, které musí být při stanovení výše Vyrovnávací platby zohledněny ve smyslu článku V. odst. 4 smlouvy,</w:t>
      </w:r>
      <w:r w:rsidRPr="00537167">
        <w:rPr>
          <w:szCs w:val="24"/>
        </w:rPr>
        <w:br/>
        <w:t>a zahrnují tržby za vlastní výkony a za zboží, aktivace, ostatní výnosy, tržby z prodeje majetku, rezervy a opravné položky a příspěvky a dotace na provoz (vyjma Vyrovnávací platby). V rámci kalkulace budou ke každé jednotlivé Službě přiřazeny veškeré výnosy plynoucí výhradně z poskytování této Služby a dále na tuto Službu připadající podíl z ostatních výnosů, které se vztahují k dané Službě</w:t>
      </w:r>
      <w:r>
        <w:rPr>
          <w:szCs w:val="24"/>
        </w:rPr>
        <w:t>, ale</w:t>
      </w:r>
      <w:r w:rsidRPr="00537167">
        <w:rPr>
          <w:szCs w:val="24"/>
        </w:rPr>
        <w:t xml:space="preserve"> u nichž není možné jednoznačně stanovit jejich výši připadající na tu kterou Službu. V případě výnosů, které se vztahují k poskytování zdravotních služeb, ale nelze je přímo přiřadit ke konkrétní službě musí mít nemocnice zpracován interní pokyn (metodiku) k rozúčtovávání (přiřazování) těchto výnosů, ze kterého jednoznačně vyplyne</w:t>
      </w:r>
      <w:r>
        <w:rPr>
          <w:szCs w:val="24"/>
        </w:rPr>
        <w:t>,</w:t>
      </w:r>
      <w:r w:rsidRPr="00537167">
        <w:rPr>
          <w:szCs w:val="24"/>
        </w:rPr>
        <w:t xml:space="preserve"> jak a na základě jakých parametrů jsou tyto výnosy </w:t>
      </w:r>
      <w:proofErr w:type="spellStart"/>
      <w:r>
        <w:rPr>
          <w:szCs w:val="24"/>
        </w:rPr>
        <w:t>rozúčtovávány</w:t>
      </w:r>
      <w:proofErr w:type="spellEnd"/>
      <w:r w:rsidRPr="00537167">
        <w:rPr>
          <w:szCs w:val="24"/>
        </w:rPr>
        <w:t>. Nemocnice poskytne odboru zdra</w:t>
      </w:r>
      <w:r>
        <w:rPr>
          <w:szCs w:val="24"/>
        </w:rPr>
        <w:t>votnictví do 30 dnů</w:t>
      </w:r>
      <w:r w:rsidRPr="00537167">
        <w:rPr>
          <w:szCs w:val="24"/>
        </w:rPr>
        <w:t xml:space="preserve"> uzavření smlouvy na SOHZ tento interní pokyn a bude odbor zdravotnictví prokazatelně seznamovat s jeho aktualizacemi.   Detaily jsou uvedeny v metodice.</w:t>
      </w:r>
    </w:p>
    <w:p w:rsidR="00FE08FF" w:rsidRDefault="00FE08FF" w:rsidP="00FE08FF">
      <w:pPr>
        <w:pStyle w:val="Bezmezer"/>
        <w:jc w:val="both"/>
        <w:rPr>
          <w:szCs w:val="24"/>
        </w:rPr>
      </w:pPr>
    </w:p>
    <w:p w:rsidR="00FE08FF" w:rsidRDefault="00FE08FF" w:rsidP="00FE08FF">
      <w:pPr>
        <w:pStyle w:val="Bezmezer"/>
        <w:jc w:val="both"/>
        <w:rPr>
          <w:szCs w:val="24"/>
        </w:rPr>
      </w:pPr>
    </w:p>
    <w:p w:rsidR="00FE08FF" w:rsidRPr="00A14363" w:rsidRDefault="00FE08FF" w:rsidP="00FE08FF">
      <w:pPr>
        <w:pStyle w:val="Bezmezer"/>
        <w:rPr>
          <w:b/>
          <w:sz w:val="28"/>
          <w:szCs w:val="28"/>
        </w:rPr>
      </w:pPr>
    </w:p>
    <w:p w:rsidR="00FE08FF" w:rsidRPr="00A14363" w:rsidRDefault="00FE08FF" w:rsidP="00FE08FF">
      <w:pPr>
        <w:pStyle w:val="Bezmezer"/>
        <w:jc w:val="both"/>
        <w:rPr>
          <w:b/>
          <w:sz w:val="28"/>
          <w:szCs w:val="28"/>
        </w:rPr>
      </w:pPr>
      <w:r w:rsidRPr="00A14363">
        <w:rPr>
          <w:b/>
          <w:sz w:val="28"/>
          <w:szCs w:val="28"/>
        </w:rPr>
        <w:t>Regulační poplatky</w:t>
      </w:r>
    </w:p>
    <w:p w:rsidR="00FE08FF" w:rsidRPr="00A14363" w:rsidRDefault="00FE08FF" w:rsidP="00FE08FF">
      <w:pPr>
        <w:pStyle w:val="Bezmezer"/>
        <w:jc w:val="both"/>
        <w:rPr>
          <w:szCs w:val="24"/>
        </w:rPr>
      </w:pPr>
    </w:p>
    <w:p w:rsidR="00FE08FF" w:rsidRPr="00A14363" w:rsidRDefault="00FE08FF" w:rsidP="00FE08FF">
      <w:pPr>
        <w:pStyle w:val="Bezmezer"/>
        <w:jc w:val="both"/>
        <w:rPr>
          <w:szCs w:val="24"/>
        </w:rPr>
      </w:pPr>
      <w:r w:rsidRPr="00A14363">
        <w:rPr>
          <w:szCs w:val="24"/>
        </w:rPr>
        <w:t xml:space="preserve">Regulační poplatky jsou poplatky povinně vybírané Nemocnicí v souvislosti s poskytováním </w:t>
      </w:r>
      <w:r>
        <w:rPr>
          <w:szCs w:val="24"/>
        </w:rPr>
        <w:t xml:space="preserve">lékařské pohotovostní služby nebo pohotovostní služby v oboru zubní lékařství, jak stanoví ustanovení§ 16a </w:t>
      </w:r>
      <w:r w:rsidRPr="00A14363">
        <w:rPr>
          <w:szCs w:val="24"/>
        </w:rPr>
        <w:t>zákona č. 48/1997 Sb., o veřejném zdravotním pojištění</w:t>
      </w:r>
      <w:r>
        <w:rPr>
          <w:szCs w:val="24"/>
        </w:rPr>
        <w:t xml:space="preserve"> </w:t>
      </w:r>
      <w:r w:rsidRPr="00A14363">
        <w:rPr>
          <w:szCs w:val="24"/>
        </w:rPr>
        <w:t>a o změně a doplnění některých souvisejících zákonů</w:t>
      </w:r>
      <w:r>
        <w:rPr>
          <w:szCs w:val="24"/>
        </w:rPr>
        <w:t>, ve znění pozdějších předpisů.</w:t>
      </w:r>
    </w:p>
    <w:p w:rsidR="00FE08FF" w:rsidRPr="00A14363" w:rsidRDefault="00FE08FF" w:rsidP="00FE08FF">
      <w:pPr>
        <w:pStyle w:val="Bezmezer"/>
        <w:jc w:val="both"/>
        <w:rPr>
          <w:szCs w:val="24"/>
        </w:rPr>
      </w:pPr>
    </w:p>
    <w:p w:rsidR="00FE08FF" w:rsidRPr="00A14363" w:rsidRDefault="00FE08FF" w:rsidP="00FE08FF">
      <w:pPr>
        <w:pStyle w:val="Normlnweb"/>
        <w:autoSpaceDE w:val="0"/>
        <w:autoSpaceDN w:val="0"/>
        <w:adjustRightInd w:val="0"/>
        <w:spacing w:before="12" w:beforeAutospacing="0" w:after="12" w:afterAutospacing="0"/>
        <w:jc w:val="both"/>
      </w:pPr>
    </w:p>
    <w:p w:rsidR="00FE08FF" w:rsidRPr="00A14363" w:rsidRDefault="00FE08FF" w:rsidP="00FE08FF">
      <w:pPr>
        <w:pStyle w:val="Bezmezer"/>
        <w:numPr>
          <w:ilvl w:val="0"/>
          <w:numId w:val="24"/>
        </w:numPr>
        <w:jc w:val="both"/>
        <w:rPr>
          <w:b/>
          <w:sz w:val="28"/>
          <w:szCs w:val="28"/>
          <w:u w:val="single"/>
        </w:rPr>
      </w:pPr>
      <w:r w:rsidRPr="00A14363">
        <w:rPr>
          <w:b/>
          <w:sz w:val="28"/>
          <w:szCs w:val="28"/>
          <w:u w:val="single"/>
        </w:rPr>
        <w:t xml:space="preserve">Metodika: </w:t>
      </w:r>
    </w:p>
    <w:p w:rsidR="00FE08FF" w:rsidRPr="00A14363" w:rsidRDefault="00FE08FF" w:rsidP="00FE08FF">
      <w:pPr>
        <w:pStyle w:val="Bezmezer"/>
        <w:ind w:left="360"/>
        <w:jc w:val="both"/>
        <w:rPr>
          <w:b/>
          <w:sz w:val="28"/>
          <w:szCs w:val="28"/>
          <w:u w:val="single"/>
        </w:rPr>
      </w:pPr>
    </w:p>
    <w:p w:rsidR="00FE08FF" w:rsidRPr="0079591D" w:rsidRDefault="00FE08FF" w:rsidP="00FE08FF">
      <w:pPr>
        <w:spacing w:beforeLines="60" w:before="144" w:afterLines="60" w:after="144"/>
        <w:jc w:val="both"/>
        <w:rPr>
          <w:szCs w:val="24"/>
        </w:rPr>
      </w:pPr>
      <w:r w:rsidRPr="0079591D">
        <w:rPr>
          <w:szCs w:val="24"/>
        </w:rPr>
        <w:t>Podrobný návod k výpočtu výše Vyrovnávací platby včetně vzorového znění kalkulací</w:t>
      </w:r>
      <w:r w:rsidRPr="0079591D">
        <w:rPr>
          <w:szCs w:val="24"/>
        </w:rPr>
        <w:br/>
        <w:t>obsahuje Metodický pokyn Karlovarského kraje k výpočtu výše vyrovnávací platby za poskytování zdravotních služeb jako služeb obecného hospodář</w:t>
      </w:r>
      <w:r>
        <w:rPr>
          <w:szCs w:val="24"/>
        </w:rPr>
        <w:t>ského zájmu určený pro nemocnici Mariánské lázně</w:t>
      </w:r>
      <w:r w:rsidRPr="0079591D">
        <w:rPr>
          <w:szCs w:val="24"/>
        </w:rPr>
        <w:t xml:space="preserve">,  který je pro </w:t>
      </w:r>
      <w:r>
        <w:rPr>
          <w:szCs w:val="24"/>
        </w:rPr>
        <w:t xml:space="preserve">tento subjekt </w:t>
      </w:r>
      <w:r w:rsidRPr="0079591D">
        <w:rPr>
          <w:szCs w:val="24"/>
        </w:rPr>
        <w:t xml:space="preserve">závazný. </w:t>
      </w:r>
    </w:p>
    <w:p w:rsidR="00FE08FF" w:rsidRPr="0079591D" w:rsidRDefault="00FE08FF" w:rsidP="00FE08FF">
      <w:pPr>
        <w:pStyle w:val="Bezmezer"/>
        <w:jc w:val="both"/>
        <w:rPr>
          <w:szCs w:val="24"/>
        </w:rPr>
      </w:pPr>
    </w:p>
    <w:p w:rsidR="00FE08FF" w:rsidRDefault="00FE08FF" w:rsidP="00FE08FF">
      <w:pPr>
        <w:ind w:left="4956" w:firstLine="708"/>
        <w:jc w:val="both"/>
        <w:rPr>
          <w:szCs w:val="24"/>
        </w:rPr>
        <w:sectPr w:rsidR="00FE08FF" w:rsidSect="008E0926">
          <w:headerReference w:type="default" r:id="rId10"/>
          <w:footerReference w:type="default" r:id="rId11"/>
          <w:pgSz w:w="11906" w:h="16838"/>
          <w:pgMar w:top="1417" w:right="1417" w:bottom="1417" w:left="1417" w:header="708" w:footer="708" w:gutter="0"/>
          <w:cols w:space="708"/>
          <w:docGrid w:linePitch="360"/>
        </w:sectPr>
      </w:pPr>
    </w:p>
    <w:p w:rsidR="00FE08FF" w:rsidRDefault="00FE08FF" w:rsidP="00FE08FF">
      <w:pPr>
        <w:spacing w:beforeLines="60" w:before="144" w:afterLines="60" w:after="144"/>
        <w:jc w:val="center"/>
        <w:rPr>
          <w:rFonts w:ascii="Arial" w:hAnsi="Arial" w:cs="Arial"/>
          <w:b/>
          <w:sz w:val="56"/>
          <w:szCs w:val="56"/>
        </w:rPr>
      </w:pPr>
    </w:p>
    <w:p w:rsidR="00FE08FF" w:rsidRPr="0047017C" w:rsidRDefault="00FE08FF" w:rsidP="00FE08FF">
      <w:pPr>
        <w:spacing w:beforeLines="60" w:before="144" w:afterLines="60" w:after="144"/>
        <w:jc w:val="center"/>
        <w:rPr>
          <w:rFonts w:ascii="Arial" w:hAnsi="Arial" w:cs="Arial"/>
          <w:b/>
          <w:sz w:val="28"/>
          <w:szCs w:val="28"/>
        </w:rPr>
      </w:pPr>
      <w:r w:rsidRPr="0047017C">
        <w:rPr>
          <w:rFonts w:ascii="Arial" w:hAnsi="Arial" w:cs="Arial"/>
          <w:b/>
          <w:sz w:val="28"/>
          <w:szCs w:val="28"/>
        </w:rPr>
        <w:t>Metodický pokyn Karlovarského kraje</w:t>
      </w:r>
    </w:p>
    <w:p w:rsidR="00FE08FF" w:rsidRPr="0047017C" w:rsidRDefault="00FE08FF" w:rsidP="00FE08FF">
      <w:pPr>
        <w:spacing w:beforeLines="60" w:before="144" w:afterLines="60" w:after="144"/>
        <w:jc w:val="center"/>
        <w:rPr>
          <w:rFonts w:ascii="Arial" w:hAnsi="Arial" w:cs="Arial"/>
          <w:b/>
          <w:sz w:val="28"/>
          <w:szCs w:val="28"/>
        </w:rPr>
      </w:pPr>
    </w:p>
    <w:p w:rsidR="00FE08FF" w:rsidRPr="0047017C" w:rsidRDefault="00FE08FF" w:rsidP="00FE08FF">
      <w:pPr>
        <w:spacing w:beforeLines="60" w:before="144" w:afterLines="60" w:after="144"/>
        <w:jc w:val="center"/>
        <w:rPr>
          <w:rFonts w:ascii="Arial" w:hAnsi="Arial" w:cs="Arial"/>
          <w:b/>
          <w:sz w:val="28"/>
          <w:szCs w:val="28"/>
        </w:rPr>
      </w:pPr>
      <w:r w:rsidRPr="0047017C">
        <w:rPr>
          <w:rFonts w:ascii="Arial" w:hAnsi="Arial" w:cs="Arial"/>
          <w:b/>
          <w:sz w:val="28"/>
          <w:szCs w:val="28"/>
        </w:rPr>
        <w:t>k výpočtu výše vyrovnávací platby za poskytování zdravotních služeb jako služeb obecného hospodářského zájmu</w:t>
      </w:r>
      <w:bookmarkStart w:id="4" w:name="_Toc355015291"/>
    </w:p>
    <w:p w:rsidR="00FE08FF" w:rsidRPr="0047017C" w:rsidRDefault="00FE08FF" w:rsidP="00FE08FF">
      <w:pPr>
        <w:spacing w:beforeLines="60" w:before="144" w:afterLines="60" w:after="144"/>
        <w:jc w:val="center"/>
        <w:rPr>
          <w:rFonts w:ascii="Arial" w:hAnsi="Arial" w:cs="Arial"/>
          <w:b/>
          <w:sz w:val="28"/>
          <w:szCs w:val="28"/>
        </w:rPr>
      </w:pPr>
      <w:r w:rsidRPr="0047017C">
        <w:rPr>
          <w:rFonts w:ascii="Arial" w:hAnsi="Arial" w:cs="Arial"/>
          <w:b/>
          <w:sz w:val="28"/>
          <w:szCs w:val="28"/>
        </w:rPr>
        <w:t>určený pro Nemocnici Mariánské Lázně se sídlem</w:t>
      </w:r>
      <w:r w:rsidRPr="0047017C">
        <w:rPr>
          <w:sz w:val="28"/>
          <w:szCs w:val="28"/>
        </w:rPr>
        <w:t xml:space="preserve"> </w:t>
      </w:r>
      <w:r w:rsidRPr="0047017C">
        <w:rPr>
          <w:rFonts w:ascii="Arial" w:hAnsi="Arial" w:cs="Arial"/>
          <w:b/>
          <w:sz w:val="28"/>
          <w:szCs w:val="28"/>
        </w:rPr>
        <w:t>U Nemocnice 91/3, Úšovice, 353 01 Mariánské Lázně</w:t>
      </w:r>
    </w:p>
    <w:p w:rsidR="00FE08FF" w:rsidRPr="0047017C" w:rsidRDefault="00FE08FF" w:rsidP="00FE08FF">
      <w:pPr>
        <w:spacing w:beforeLines="60" w:before="144" w:afterLines="60" w:after="144"/>
        <w:jc w:val="center"/>
        <w:rPr>
          <w:rFonts w:ascii="Arial" w:hAnsi="Arial" w:cs="Arial"/>
          <w:b/>
          <w:sz w:val="28"/>
          <w:szCs w:val="28"/>
        </w:rPr>
      </w:pPr>
      <w:r w:rsidRPr="0047017C">
        <w:rPr>
          <w:rFonts w:ascii="Arial" w:hAnsi="Arial" w:cs="Arial"/>
          <w:b/>
          <w:sz w:val="28"/>
          <w:szCs w:val="28"/>
        </w:rPr>
        <w:t>(dále jen metodika)</w:t>
      </w:r>
    </w:p>
    <w:p w:rsidR="00FE08FF" w:rsidRPr="0047017C" w:rsidRDefault="00FE08FF" w:rsidP="00FE08FF">
      <w:pPr>
        <w:jc w:val="center"/>
        <w:rPr>
          <w:rFonts w:ascii="Arial" w:hAnsi="Arial" w:cs="Arial"/>
          <w:b/>
          <w:sz w:val="28"/>
          <w:szCs w:val="28"/>
        </w:rPr>
      </w:pPr>
    </w:p>
    <w:p w:rsidR="00FE08FF" w:rsidRPr="00324B2D" w:rsidRDefault="00FE08FF" w:rsidP="00FE08FF">
      <w:pPr>
        <w:jc w:val="center"/>
        <w:rPr>
          <w:rFonts w:ascii="Arial" w:hAnsi="Arial" w:cs="Arial"/>
          <w:b/>
          <w:sz w:val="28"/>
          <w:szCs w:val="28"/>
        </w:rPr>
      </w:pPr>
    </w:p>
    <w:p w:rsidR="00FE08FF" w:rsidRPr="00324B2D" w:rsidRDefault="00FE08FF" w:rsidP="00FE08FF">
      <w:pPr>
        <w:jc w:val="center"/>
        <w:rPr>
          <w:rFonts w:ascii="Arial" w:hAnsi="Arial" w:cs="Arial"/>
          <w:b/>
          <w:sz w:val="28"/>
          <w:szCs w:val="28"/>
        </w:rPr>
      </w:pPr>
    </w:p>
    <w:p w:rsidR="00FE08FF" w:rsidRPr="00324B2D" w:rsidRDefault="00FE08FF" w:rsidP="00FE08FF">
      <w:pPr>
        <w:jc w:val="center"/>
        <w:rPr>
          <w:rFonts w:ascii="Arial" w:hAnsi="Arial" w:cs="Arial"/>
          <w:b/>
          <w:sz w:val="28"/>
          <w:szCs w:val="28"/>
        </w:rPr>
      </w:pPr>
    </w:p>
    <w:p w:rsidR="00FE08FF" w:rsidRPr="00324B2D" w:rsidRDefault="00FE08FF" w:rsidP="00FE08FF">
      <w:pPr>
        <w:jc w:val="center"/>
        <w:rPr>
          <w:rFonts w:ascii="Arial" w:hAnsi="Arial" w:cs="Arial"/>
          <w:b/>
          <w:sz w:val="28"/>
          <w:szCs w:val="28"/>
        </w:rPr>
      </w:pPr>
    </w:p>
    <w:p w:rsidR="00FE08FF" w:rsidRPr="00324B2D" w:rsidRDefault="00FE08FF" w:rsidP="00FE08FF">
      <w:pPr>
        <w:jc w:val="center"/>
        <w:rPr>
          <w:rFonts w:ascii="Arial" w:hAnsi="Arial" w:cs="Arial"/>
          <w:b/>
          <w:sz w:val="28"/>
          <w:szCs w:val="28"/>
        </w:rPr>
      </w:pPr>
    </w:p>
    <w:p w:rsidR="00FE08FF" w:rsidRDefault="00FE08FF" w:rsidP="00FE08FF">
      <w:pPr>
        <w:rPr>
          <w:rFonts w:ascii="Arial" w:hAnsi="Arial" w:cs="Arial"/>
          <w:b/>
          <w:sz w:val="28"/>
          <w:szCs w:val="28"/>
        </w:rPr>
      </w:pPr>
    </w:p>
    <w:p w:rsidR="00FE08FF" w:rsidRDefault="00FE08FF" w:rsidP="00FE08FF">
      <w:pPr>
        <w:rPr>
          <w:rFonts w:ascii="Arial" w:hAnsi="Arial" w:cs="Arial"/>
          <w:b/>
          <w:sz w:val="28"/>
          <w:szCs w:val="28"/>
        </w:rPr>
      </w:pPr>
    </w:p>
    <w:p w:rsidR="00FE08FF" w:rsidRDefault="00FE08FF" w:rsidP="00FE08FF">
      <w:pPr>
        <w:rPr>
          <w:rFonts w:ascii="Arial" w:hAnsi="Arial" w:cs="Arial"/>
          <w:b/>
          <w:sz w:val="28"/>
          <w:szCs w:val="28"/>
        </w:rPr>
      </w:pPr>
    </w:p>
    <w:p w:rsidR="00FE08FF" w:rsidRDefault="00FE08FF" w:rsidP="00FE08FF">
      <w:pPr>
        <w:rPr>
          <w:rFonts w:ascii="Arial" w:hAnsi="Arial" w:cs="Arial"/>
          <w:b/>
          <w:sz w:val="28"/>
          <w:szCs w:val="28"/>
        </w:rPr>
      </w:pPr>
    </w:p>
    <w:p w:rsidR="00FE08FF" w:rsidRDefault="00FE08FF" w:rsidP="00FE08FF">
      <w:pPr>
        <w:rPr>
          <w:rFonts w:ascii="Arial" w:hAnsi="Arial" w:cs="Arial"/>
          <w:sz w:val="28"/>
          <w:szCs w:val="28"/>
        </w:rPr>
      </w:pPr>
    </w:p>
    <w:p w:rsidR="00FE08FF" w:rsidRPr="00FC5DAD" w:rsidRDefault="00FE08FF" w:rsidP="00FE08FF">
      <w:r w:rsidRPr="00FC5DAD">
        <w:rPr>
          <w:rFonts w:ascii="Arial" w:hAnsi="Arial" w:cs="Arial"/>
          <w:sz w:val="28"/>
          <w:szCs w:val="28"/>
        </w:rPr>
        <w:t>Účinnost od 1.1.2019</w:t>
      </w:r>
      <w:r w:rsidRPr="00FC5DAD">
        <w:rPr>
          <w:rFonts w:ascii="Arial" w:hAnsi="Arial" w:cs="Arial"/>
          <w:sz w:val="28"/>
          <w:szCs w:val="28"/>
        </w:rPr>
        <w:tab/>
      </w:r>
    </w:p>
    <w:p w:rsidR="00FE08FF" w:rsidRPr="00324B2D" w:rsidRDefault="00FE08FF" w:rsidP="00FE08FF"/>
    <w:p w:rsidR="00FE08FF" w:rsidRPr="00324B2D" w:rsidRDefault="00FE08FF" w:rsidP="00FE08FF">
      <w:pPr>
        <w:pStyle w:val="Nadpisobsahu"/>
        <w:rPr>
          <w:rFonts w:ascii="Arial" w:hAnsi="Arial" w:cs="Arial"/>
          <w:color w:val="auto"/>
        </w:rPr>
      </w:pPr>
      <w:bookmarkStart w:id="5" w:name="_Toc393282031"/>
      <w:bookmarkStart w:id="6" w:name="_Toc97690568"/>
      <w:bookmarkEnd w:id="4"/>
      <w:r w:rsidRPr="00324B2D">
        <w:rPr>
          <w:rFonts w:ascii="Arial" w:hAnsi="Arial" w:cs="Arial"/>
          <w:color w:val="auto"/>
        </w:rPr>
        <w:t>Obsah</w:t>
      </w:r>
    </w:p>
    <w:p w:rsidR="00FE08FF" w:rsidRPr="0047017C" w:rsidRDefault="00FE08FF" w:rsidP="00FE08FF">
      <w:pPr>
        <w:pStyle w:val="Obsah1"/>
        <w:tabs>
          <w:tab w:val="left" w:pos="440"/>
          <w:tab w:val="right" w:leader="dot" w:pos="9062"/>
        </w:tabs>
        <w:ind w:left="340" w:hanging="340"/>
        <w:rPr>
          <w:rFonts w:ascii="Arial" w:hAnsi="Arial" w:cs="Arial"/>
          <w:noProof/>
          <w:sz w:val="22"/>
          <w:szCs w:val="22"/>
        </w:rPr>
      </w:pPr>
      <w:r w:rsidRPr="00324B2D">
        <w:rPr>
          <w:rFonts w:ascii="Arial" w:hAnsi="Arial" w:cs="Arial"/>
        </w:rPr>
        <w:fldChar w:fldCharType="begin"/>
      </w:r>
      <w:r w:rsidRPr="00324B2D">
        <w:rPr>
          <w:rFonts w:ascii="Arial" w:hAnsi="Arial" w:cs="Arial"/>
        </w:rPr>
        <w:instrText xml:space="preserve"> TOC \o "1-3" \h \z \u </w:instrText>
      </w:r>
      <w:r w:rsidRPr="00324B2D">
        <w:rPr>
          <w:rFonts w:ascii="Arial" w:hAnsi="Arial" w:cs="Arial"/>
        </w:rPr>
        <w:fldChar w:fldCharType="separate"/>
      </w:r>
      <w:hyperlink w:anchor="_Toc393869624" w:history="1">
        <w:r w:rsidRPr="00324B2D">
          <w:rPr>
            <w:rStyle w:val="Hypertextovodkaz"/>
            <w:rFonts w:ascii="Arial" w:hAnsi="Arial" w:cs="Arial"/>
            <w:noProof/>
          </w:rPr>
          <w:t>I.</w:t>
        </w:r>
        <w:r w:rsidRPr="0047017C">
          <w:rPr>
            <w:rFonts w:ascii="Arial" w:hAnsi="Arial" w:cs="Arial"/>
            <w:noProof/>
            <w:sz w:val="22"/>
            <w:szCs w:val="22"/>
          </w:rPr>
          <w:tab/>
        </w:r>
        <w:r w:rsidRPr="00324B2D">
          <w:rPr>
            <w:rStyle w:val="Hypertextovodkaz"/>
            <w:rFonts w:ascii="Arial" w:hAnsi="Arial" w:cs="Arial"/>
            <w:noProof/>
          </w:rPr>
          <w:t>Obecná ustanovení</w:t>
        </w:r>
        <w:r w:rsidRPr="00324B2D">
          <w:rPr>
            <w:rFonts w:ascii="Arial" w:hAnsi="Arial" w:cs="Arial"/>
            <w:noProof/>
            <w:webHidden/>
          </w:rPr>
          <w:tab/>
        </w:r>
        <w:r w:rsidRPr="00324B2D">
          <w:rPr>
            <w:rFonts w:ascii="Arial" w:hAnsi="Arial" w:cs="Arial"/>
            <w:noProof/>
            <w:webHidden/>
          </w:rPr>
          <w:fldChar w:fldCharType="begin"/>
        </w:r>
        <w:r w:rsidRPr="00324B2D">
          <w:rPr>
            <w:rFonts w:ascii="Arial" w:hAnsi="Arial" w:cs="Arial"/>
            <w:noProof/>
            <w:webHidden/>
          </w:rPr>
          <w:instrText xml:space="preserve"> PAGEREF _Toc393869624 \h </w:instrText>
        </w:r>
        <w:r w:rsidRPr="00324B2D">
          <w:rPr>
            <w:rFonts w:ascii="Arial" w:hAnsi="Arial" w:cs="Arial"/>
            <w:noProof/>
            <w:webHidden/>
          </w:rPr>
        </w:r>
        <w:r w:rsidRPr="00324B2D">
          <w:rPr>
            <w:rFonts w:ascii="Arial" w:hAnsi="Arial" w:cs="Arial"/>
            <w:noProof/>
            <w:webHidden/>
          </w:rPr>
          <w:fldChar w:fldCharType="separate"/>
        </w:r>
        <w:r>
          <w:rPr>
            <w:rFonts w:ascii="Arial" w:hAnsi="Arial" w:cs="Arial"/>
            <w:noProof/>
            <w:webHidden/>
          </w:rPr>
          <w:t>2</w:t>
        </w:r>
        <w:r w:rsidRPr="00324B2D">
          <w:rPr>
            <w:rFonts w:ascii="Arial" w:hAnsi="Arial" w:cs="Arial"/>
            <w:noProof/>
            <w:webHidden/>
          </w:rPr>
          <w:fldChar w:fldCharType="end"/>
        </w:r>
      </w:hyperlink>
    </w:p>
    <w:p w:rsidR="00FE08FF" w:rsidRPr="0047017C" w:rsidRDefault="008E0926" w:rsidP="00FE08FF">
      <w:pPr>
        <w:pStyle w:val="Obsah1"/>
        <w:tabs>
          <w:tab w:val="left" w:pos="660"/>
          <w:tab w:val="right" w:leader="dot" w:pos="9062"/>
        </w:tabs>
        <w:ind w:left="340" w:hanging="340"/>
        <w:rPr>
          <w:rFonts w:ascii="Arial" w:hAnsi="Arial" w:cs="Arial"/>
          <w:noProof/>
          <w:sz w:val="22"/>
          <w:szCs w:val="22"/>
        </w:rPr>
      </w:pPr>
      <w:hyperlink w:anchor="_Toc393869625" w:history="1">
        <w:r w:rsidR="00FE08FF" w:rsidRPr="00324B2D">
          <w:rPr>
            <w:rStyle w:val="Hypertextovodkaz"/>
            <w:rFonts w:ascii="Arial" w:hAnsi="Arial" w:cs="Arial"/>
            <w:noProof/>
          </w:rPr>
          <w:t>II.</w:t>
        </w:r>
        <w:r w:rsidR="00FE08FF" w:rsidRPr="0047017C">
          <w:rPr>
            <w:rFonts w:ascii="Arial" w:hAnsi="Arial" w:cs="Arial"/>
            <w:noProof/>
            <w:sz w:val="22"/>
            <w:szCs w:val="22"/>
          </w:rPr>
          <w:tab/>
        </w:r>
        <w:r w:rsidR="00FE08FF" w:rsidRPr="00324B2D">
          <w:rPr>
            <w:rStyle w:val="Hypertextovodkaz"/>
            <w:rFonts w:ascii="Arial" w:hAnsi="Arial" w:cs="Arial"/>
            <w:noProof/>
          </w:rPr>
          <w:t>Postup výpočtu</w:t>
        </w:r>
        <w:r w:rsidR="00FE08FF" w:rsidRPr="00324B2D">
          <w:rPr>
            <w:rFonts w:ascii="Arial" w:hAnsi="Arial" w:cs="Arial"/>
            <w:noProof/>
            <w:webHidden/>
          </w:rPr>
          <w:tab/>
        </w:r>
        <w:r w:rsidR="00FE08FF" w:rsidRPr="00324B2D">
          <w:rPr>
            <w:rFonts w:ascii="Arial" w:hAnsi="Arial" w:cs="Arial"/>
            <w:noProof/>
            <w:webHidden/>
          </w:rPr>
          <w:fldChar w:fldCharType="begin"/>
        </w:r>
        <w:r w:rsidR="00FE08FF" w:rsidRPr="00324B2D">
          <w:rPr>
            <w:rFonts w:ascii="Arial" w:hAnsi="Arial" w:cs="Arial"/>
            <w:noProof/>
            <w:webHidden/>
          </w:rPr>
          <w:instrText xml:space="preserve"> PAGEREF _Toc393869625 \h </w:instrText>
        </w:r>
        <w:r w:rsidR="00FE08FF" w:rsidRPr="00324B2D">
          <w:rPr>
            <w:rFonts w:ascii="Arial" w:hAnsi="Arial" w:cs="Arial"/>
            <w:noProof/>
            <w:webHidden/>
          </w:rPr>
        </w:r>
        <w:r w:rsidR="00FE08FF" w:rsidRPr="00324B2D">
          <w:rPr>
            <w:rFonts w:ascii="Arial" w:hAnsi="Arial" w:cs="Arial"/>
            <w:noProof/>
            <w:webHidden/>
          </w:rPr>
          <w:fldChar w:fldCharType="separate"/>
        </w:r>
        <w:r w:rsidR="00FE08FF">
          <w:rPr>
            <w:rFonts w:ascii="Arial" w:hAnsi="Arial" w:cs="Arial"/>
            <w:noProof/>
            <w:webHidden/>
          </w:rPr>
          <w:t>3</w:t>
        </w:r>
        <w:r w:rsidR="00FE08FF" w:rsidRPr="00324B2D">
          <w:rPr>
            <w:rFonts w:ascii="Arial" w:hAnsi="Arial" w:cs="Arial"/>
            <w:noProof/>
            <w:webHidden/>
          </w:rPr>
          <w:fldChar w:fldCharType="end"/>
        </w:r>
      </w:hyperlink>
    </w:p>
    <w:p w:rsidR="00FE08FF" w:rsidRPr="0047017C" w:rsidRDefault="008E0926" w:rsidP="00FE08FF">
      <w:pPr>
        <w:pStyle w:val="Obsah1"/>
        <w:tabs>
          <w:tab w:val="left" w:pos="660"/>
          <w:tab w:val="right" w:leader="dot" w:pos="9062"/>
        </w:tabs>
        <w:ind w:left="340" w:hanging="340"/>
        <w:rPr>
          <w:rFonts w:ascii="Arial" w:hAnsi="Arial" w:cs="Arial"/>
          <w:noProof/>
          <w:sz w:val="22"/>
          <w:szCs w:val="22"/>
        </w:rPr>
      </w:pPr>
      <w:hyperlink w:anchor="_Toc393869626" w:history="1">
        <w:r w:rsidR="00FE08FF" w:rsidRPr="00324B2D">
          <w:rPr>
            <w:rStyle w:val="Hypertextovodkaz"/>
            <w:rFonts w:ascii="Arial" w:hAnsi="Arial" w:cs="Arial"/>
            <w:noProof/>
          </w:rPr>
          <w:t>III.</w:t>
        </w:r>
        <w:r w:rsidR="00FE08FF" w:rsidRPr="0047017C">
          <w:rPr>
            <w:rFonts w:ascii="Arial" w:hAnsi="Arial" w:cs="Arial"/>
            <w:noProof/>
            <w:sz w:val="22"/>
            <w:szCs w:val="22"/>
          </w:rPr>
          <w:tab/>
        </w:r>
        <w:r w:rsidR="00FE08FF" w:rsidRPr="00324B2D">
          <w:rPr>
            <w:rStyle w:val="Hypertextovodkaz"/>
            <w:rFonts w:ascii="Arial" w:hAnsi="Arial" w:cs="Arial"/>
            <w:noProof/>
          </w:rPr>
          <w:t>Závěrečná ustanovení</w:t>
        </w:r>
        <w:r w:rsidR="00FE08FF" w:rsidRPr="00324B2D">
          <w:rPr>
            <w:rFonts w:ascii="Arial" w:hAnsi="Arial" w:cs="Arial"/>
            <w:noProof/>
            <w:webHidden/>
          </w:rPr>
          <w:tab/>
        </w:r>
        <w:r w:rsidR="00FE08FF" w:rsidRPr="00324B2D">
          <w:rPr>
            <w:rFonts w:ascii="Arial" w:hAnsi="Arial" w:cs="Arial"/>
            <w:noProof/>
            <w:webHidden/>
          </w:rPr>
          <w:fldChar w:fldCharType="begin"/>
        </w:r>
        <w:r w:rsidR="00FE08FF" w:rsidRPr="00324B2D">
          <w:rPr>
            <w:rFonts w:ascii="Arial" w:hAnsi="Arial" w:cs="Arial"/>
            <w:noProof/>
            <w:webHidden/>
          </w:rPr>
          <w:instrText xml:space="preserve"> PAGEREF _Toc393869626 \h </w:instrText>
        </w:r>
        <w:r w:rsidR="00FE08FF" w:rsidRPr="00324B2D">
          <w:rPr>
            <w:rFonts w:ascii="Arial" w:hAnsi="Arial" w:cs="Arial"/>
            <w:noProof/>
            <w:webHidden/>
          </w:rPr>
        </w:r>
        <w:r w:rsidR="00FE08FF" w:rsidRPr="00324B2D">
          <w:rPr>
            <w:rFonts w:ascii="Arial" w:hAnsi="Arial" w:cs="Arial"/>
            <w:noProof/>
            <w:webHidden/>
          </w:rPr>
          <w:fldChar w:fldCharType="separate"/>
        </w:r>
        <w:r w:rsidR="00FE08FF">
          <w:rPr>
            <w:rFonts w:ascii="Arial" w:hAnsi="Arial" w:cs="Arial"/>
            <w:noProof/>
            <w:webHidden/>
          </w:rPr>
          <w:t>8</w:t>
        </w:r>
        <w:r w:rsidR="00FE08FF" w:rsidRPr="00324B2D">
          <w:rPr>
            <w:rFonts w:ascii="Arial" w:hAnsi="Arial" w:cs="Arial"/>
            <w:noProof/>
            <w:webHidden/>
          </w:rPr>
          <w:fldChar w:fldCharType="end"/>
        </w:r>
      </w:hyperlink>
    </w:p>
    <w:p w:rsidR="00FE08FF" w:rsidRPr="00324B2D" w:rsidRDefault="00FE08FF" w:rsidP="00FE08FF">
      <w:pPr>
        <w:spacing w:after="100"/>
        <w:ind w:left="340" w:hanging="340"/>
        <w:rPr>
          <w:rFonts w:ascii="Arial" w:hAnsi="Arial" w:cs="Arial"/>
        </w:rPr>
      </w:pPr>
      <w:r w:rsidRPr="00324B2D">
        <w:rPr>
          <w:rFonts w:ascii="Arial" w:hAnsi="Arial" w:cs="Arial"/>
        </w:rPr>
        <w:fldChar w:fldCharType="end"/>
      </w:r>
    </w:p>
    <w:p w:rsidR="00FE08FF" w:rsidRPr="00324B2D" w:rsidRDefault="00FE08FF" w:rsidP="00FE08FF">
      <w:pPr>
        <w:rPr>
          <w:rFonts w:ascii="Arial" w:hAnsi="Arial" w:cs="Arial"/>
        </w:rPr>
      </w:pPr>
    </w:p>
    <w:p w:rsidR="00FE08FF" w:rsidRPr="00324B2D" w:rsidRDefault="00FE08FF" w:rsidP="00FE08FF"/>
    <w:p w:rsidR="00FE08FF" w:rsidRPr="00324B2D" w:rsidRDefault="00FE08FF" w:rsidP="00FE08FF">
      <w:pPr>
        <w:pStyle w:val="Nadpis1"/>
        <w:keepLines w:val="0"/>
        <w:numPr>
          <w:ilvl w:val="0"/>
          <w:numId w:val="34"/>
        </w:numPr>
        <w:spacing w:before="12" w:after="12" w:line="276" w:lineRule="auto"/>
      </w:pPr>
      <w:bookmarkStart w:id="7" w:name="_Toc393869624"/>
      <w:r w:rsidRPr="00324B2D">
        <w:t>Obecná ustanovení</w:t>
      </w:r>
      <w:bookmarkEnd w:id="5"/>
      <w:bookmarkEnd w:id="7"/>
    </w:p>
    <w:p w:rsidR="00FE08FF" w:rsidRPr="00324B2D" w:rsidRDefault="00FE08FF" w:rsidP="00FE08FF">
      <w:pPr>
        <w:pStyle w:val="Normlnweb"/>
        <w:numPr>
          <w:ilvl w:val="0"/>
          <w:numId w:val="25"/>
        </w:numPr>
        <w:tabs>
          <w:tab w:val="clear" w:pos="720"/>
          <w:tab w:val="num" w:pos="426"/>
        </w:tabs>
        <w:autoSpaceDE w:val="0"/>
        <w:autoSpaceDN w:val="0"/>
        <w:adjustRightInd w:val="0"/>
        <w:spacing w:before="120" w:beforeAutospacing="0" w:after="120" w:afterAutospacing="0" w:line="276" w:lineRule="auto"/>
        <w:ind w:left="425" w:hanging="425"/>
        <w:jc w:val="both"/>
        <w:rPr>
          <w:rFonts w:ascii="Arial" w:hAnsi="Arial" w:cs="Arial"/>
        </w:rPr>
      </w:pPr>
      <w:r w:rsidRPr="00324B2D">
        <w:rPr>
          <w:rFonts w:ascii="Arial" w:hAnsi="Arial" w:cs="Arial"/>
        </w:rPr>
        <w:t>Tento metodický pokyn upravuje způsob výpočtu výše vyrovnávací platby za poskytování zdravotních služeb jako služeb obecného hospodářského zájmu (dále také jen „SOHZ“) a obsahuje podrobný návod k sestavování kalkulací výše vyrovnávací platby.</w:t>
      </w:r>
    </w:p>
    <w:p w:rsidR="00FE08FF" w:rsidRPr="00324B2D" w:rsidRDefault="00FE08FF" w:rsidP="00FE08FF">
      <w:pPr>
        <w:pStyle w:val="Normlnweb"/>
        <w:numPr>
          <w:ilvl w:val="0"/>
          <w:numId w:val="25"/>
        </w:numPr>
        <w:tabs>
          <w:tab w:val="clear" w:pos="720"/>
          <w:tab w:val="num" w:pos="426"/>
        </w:tabs>
        <w:autoSpaceDE w:val="0"/>
        <w:autoSpaceDN w:val="0"/>
        <w:adjustRightInd w:val="0"/>
        <w:spacing w:before="120" w:beforeAutospacing="0" w:after="120" w:afterAutospacing="0" w:line="276" w:lineRule="auto"/>
        <w:ind w:left="425" w:hanging="425"/>
        <w:jc w:val="both"/>
        <w:rPr>
          <w:rFonts w:ascii="Arial" w:hAnsi="Arial" w:cs="Arial"/>
        </w:rPr>
      </w:pPr>
      <w:r w:rsidRPr="00324B2D">
        <w:rPr>
          <w:rFonts w:ascii="Arial" w:hAnsi="Arial" w:cs="Arial"/>
        </w:rPr>
        <w:t>Z pohledu relevantních předpisů Evropské unie, předpisů právního řádu České republiky</w:t>
      </w:r>
      <w:r>
        <w:rPr>
          <w:rFonts w:ascii="Arial" w:hAnsi="Arial" w:cs="Arial"/>
        </w:rPr>
        <w:t xml:space="preserve"> </w:t>
      </w:r>
      <w:r w:rsidRPr="00324B2D">
        <w:rPr>
          <w:rFonts w:ascii="Arial" w:hAnsi="Arial" w:cs="Arial"/>
        </w:rPr>
        <w:t xml:space="preserve">se poskytování vyrovnávacích plateb za závazek veřejné služby jeví jako nejvhodnější způsob kompenzování ztrát </w:t>
      </w:r>
      <w:r>
        <w:rPr>
          <w:rFonts w:ascii="Arial" w:hAnsi="Arial" w:cs="Arial"/>
        </w:rPr>
        <w:t>nemocnic</w:t>
      </w:r>
      <w:r w:rsidRPr="00324B2D">
        <w:rPr>
          <w:rFonts w:ascii="Arial" w:hAnsi="Arial" w:cs="Arial"/>
        </w:rPr>
        <w:t>, a to postupem podle rozhodnutí Komise ze dne</w:t>
      </w:r>
      <w:r>
        <w:rPr>
          <w:rFonts w:ascii="Arial" w:hAnsi="Arial" w:cs="Arial"/>
        </w:rPr>
        <w:t xml:space="preserve"> </w:t>
      </w:r>
      <w:r w:rsidRPr="00324B2D">
        <w:rPr>
          <w:rFonts w:ascii="Arial" w:hAnsi="Arial" w:cs="Arial"/>
        </w:rPr>
        <w:t>20. prosince 2011 o použití článku 106 odst. 2 Smlouvy</w:t>
      </w:r>
      <w:r>
        <w:rPr>
          <w:rFonts w:ascii="Arial" w:hAnsi="Arial" w:cs="Arial"/>
        </w:rPr>
        <w:t xml:space="preserve"> </w:t>
      </w:r>
      <w:r w:rsidRPr="00324B2D">
        <w:rPr>
          <w:rFonts w:ascii="Arial" w:hAnsi="Arial" w:cs="Arial"/>
        </w:rPr>
        <w:t>o fungování Evropské unie na státní podporu ve formě vyrovnávací platby za závazek veřejné služby udělené určitým podnikům pověřeným poskytováním služeb obecného hospodářského zájmu, 2012/21/EU (dále jen „Rozhodnutí Komise“), neboť při poskytování vyrovnávací platby dle Rozhodnutí Komise je tato platba považována za podporu slučitelnou se společným trhem a je proto vyloučena z oznamovací povinnosti zakotvené v článku 108 odst. 3 Smlouvy o fungování Evropské unie. Ve smyslu Rozhodnutí Komise mají přitom členské státy rozsáhlou míru volnosti při vymezení služeb, které mohou být považovány za služby obecného hospodářského zájmu, nevyjímaje služby poskytované ve zdravotnických zařízeních, jež tedy také mohou jako takové být vymezeny. Česká republika způsobem standardním v členských státech Evropské unie kvalifikuje zdravotní služby jako služby obecného hospodářského zájmu a poskytování zdravotní péče jako veřejnou službu.</w:t>
      </w:r>
    </w:p>
    <w:p w:rsidR="00FE08FF" w:rsidRPr="00FA17A0" w:rsidRDefault="00FE08FF" w:rsidP="00FE08FF">
      <w:pPr>
        <w:pStyle w:val="Normlnweb"/>
        <w:numPr>
          <w:ilvl w:val="0"/>
          <w:numId w:val="25"/>
        </w:numPr>
        <w:tabs>
          <w:tab w:val="clear" w:pos="720"/>
          <w:tab w:val="num" w:pos="426"/>
        </w:tabs>
        <w:autoSpaceDE w:val="0"/>
        <w:autoSpaceDN w:val="0"/>
        <w:adjustRightInd w:val="0"/>
        <w:spacing w:before="120" w:beforeAutospacing="0" w:after="120" w:afterAutospacing="0" w:line="276" w:lineRule="auto"/>
        <w:ind w:left="425" w:hanging="425"/>
        <w:jc w:val="both"/>
      </w:pPr>
      <w:r w:rsidRPr="00324B2D">
        <w:rPr>
          <w:rFonts w:ascii="Arial" w:hAnsi="Arial" w:cs="Arial"/>
        </w:rPr>
        <w:t>S </w:t>
      </w:r>
      <w:r>
        <w:rPr>
          <w:rFonts w:ascii="Arial" w:hAnsi="Arial" w:cs="Arial"/>
        </w:rPr>
        <w:t>ohledem na výše uvedené pověří</w:t>
      </w:r>
      <w:r w:rsidRPr="00324B2D">
        <w:rPr>
          <w:rFonts w:ascii="Arial" w:hAnsi="Arial" w:cs="Arial"/>
        </w:rPr>
        <w:t xml:space="preserve"> Zastupitelstvo </w:t>
      </w:r>
      <w:r>
        <w:rPr>
          <w:rFonts w:ascii="Arial" w:hAnsi="Arial" w:cs="Arial"/>
        </w:rPr>
        <w:t>Karlovarského</w:t>
      </w:r>
      <w:r w:rsidRPr="00324B2D">
        <w:rPr>
          <w:rFonts w:ascii="Arial" w:hAnsi="Arial" w:cs="Arial"/>
        </w:rPr>
        <w:t xml:space="preserve"> kraje </w:t>
      </w:r>
      <w:r>
        <w:rPr>
          <w:rFonts w:ascii="Arial" w:hAnsi="Arial" w:cs="Arial"/>
        </w:rPr>
        <w:t>Nemocnici Mariánské Lázně se sídlem</w:t>
      </w:r>
      <w:r w:rsidRPr="00AF06C2">
        <w:rPr>
          <w:sz w:val="22"/>
          <w:szCs w:val="22"/>
        </w:rPr>
        <w:t xml:space="preserve"> </w:t>
      </w:r>
      <w:r w:rsidRPr="00AF06C2">
        <w:rPr>
          <w:rFonts w:ascii="Arial" w:hAnsi="Arial" w:cs="Arial"/>
        </w:rPr>
        <w:t>U Nemocnice 91/3, Úšovice, 353 01 Mariánské Lázně</w:t>
      </w:r>
      <w:r w:rsidRPr="00362CD6">
        <w:rPr>
          <w:sz w:val="22"/>
          <w:szCs w:val="22"/>
        </w:rPr>
        <w:t xml:space="preserve">, </w:t>
      </w:r>
      <w:r>
        <w:rPr>
          <w:rFonts w:ascii="Arial" w:hAnsi="Arial" w:cs="Arial"/>
        </w:rPr>
        <w:t>jako poskytovatele zdravotních služeb s působností na území Karlovarského kraje</w:t>
      </w:r>
      <w:r w:rsidRPr="00324B2D">
        <w:rPr>
          <w:rFonts w:ascii="Arial" w:hAnsi="Arial" w:cs="Arial"/>
        </w:rPr>
        <w:t> </w:t>
      </w:r>
      <w:r>
        <w:rPr>
          <w:rFonts w:ascii="Arial" w:hAnsi="Arial" w:cs="Arial"/>
        </w:rPr>
        <w:t xml:space="preserve"> (dále jen „poskytovatel nebo „poskytovatel zdravotních služeb</w:t>
      </w:r>
      <w:r w:rsidRPr="00324B2D">
        <w:rPr>
          <w:rFonts w:ascii="Arial" w:hAnsi="Arial" w:cs="Arial"/>
        </w:rPr>
        <w:t>“), poskytováním zdravotních služeb jako služeb obecného hospodářského zájmu</w:t>
      </w:r>
      <w:r>
        <w:rPr>
          <w:rFonts w:ascii="Arial" w:hAnsi="Arial" w:cs="Arial"/>
        </w:rPr>
        <w:t xml:space="preserve"> (dále také „Služba) a zároveň schválí</w:t>
      </w:r>
      <w:r w:rsidRPr="00324B2D">
        <w:rPr>
          <w:rFonts w:ascii="Arial" w:hAnsi="Arial" w:cs="Arial"/>
        </w:rPr>
        <w:t xml:space="preserve"> uzavření smluv o poskytování zdravotních služeb jako služeb obecného hospodářského zájmu</w:t>
      </w:r>
      <w:r>
        <w:rPr>
          <w:rFonts w:ascii="Arial" w:hAnsi="Arial" w:cs="Arial"/>
        </w:rPr>
        <w:t xml:space="preserve"> - SOHZ</w:t>
      </w:r>
      <w:r w:rsidRPr="00324B2D">
        <w:rPr>
          <w:rFonts w:ascii="Arial" w:hAnsi="Arial" w:cs="Arial"/>
        </w:rPr>
        <w:t xml:space="preserve"> (dále jen „s</w:t>
      </w:r>
      <w:r>
        <w:rPr>
          <w:rFonts w:ascii="Arial" w:hAnsi="Arial" w:cs="Arial"/>
        </w:rPr>
        <w:t>mlouva“) s tímto poskytovatelem</w:t>
      </w:r>
      <w:r w:rsidRPr="00324B2D">
        <w:rPr>
          <w:rFonts w:ascii="Arial" w:hAnsi="Arial" w:cs="Arial"/>
        </w:rPr>
        <w:t>. Tento metodický pokyn vychází z kalkulačního vzorce obsaženého v příloze č. 2 smlouvy.</w:t>
      </w:r>
      <w:bookmarkStart w:id="8" w:name="_Toc393282032"/>
    </w:p>
    <w:p w:rsidR="00FE08FF" w:rsidRPr="001F3D8D" w:rsidRDefault="00FE08FF" w:rsidP="00FE08FF">
      <w:pPr>
        <w:pStyle w:val="Odstavecseseznamem"/>
        <w:numPr>
          <w:ilvl w:val="0"/>
          <w:numId w:val="25"/>
        </w:numPr>
        <w:tabs>
          <w:tab w:val="clear" w:pos="720"/>
          <w:tab w:val="num" w:pos="426"/>
        </w:tabs>
        <w:autoSpaceDE w:val="0"/>
        <w:autoSpaceDN w:val="0"/>
        <w:adjustRightInd w:val="0"/>
        <w:spacing w:before="120" w:after="120" w:line="276" w:lineRule="auto"/>
        <w:ind w:left="425" w:hanging="425"/>
        <w:jc w:val="both"/>
        <w:rPr>
          <w:rFonts w:ascii="Arial" w:hAnsi="Arial" w:cs="Arial"/>
        </w:rPr>
      </w:pPr>
      <w:r w:rsidRPr="001F3D8D">
        <w:rPr>
          <w:rFonts w:ascii="Arial" w:hAnsi="Arial" w:cs="Arial"/>
        </w:rPr>
        <w:t>Pokud je mezi vymezenými zdravotními službami, kter</w:t>
      </w:r>
      <w:r>
        <w:rPr>
          <w:rFonts w:ascii="Arial" w:hAnsi="Arial" w:cs="Arial"/>
        </w:rPr>
        <w:t>ými kraj pověřil poskytovatele zdravotních služeb</w:t>
      </w:r>
      <w:r w:rsidRPr="001F3D8D">
        <w:rPr>
          <w:rFonts w:ascii="Arial" w:hAnsi="Arial" w:cs="Arial"/>
        </w:rPr>
        <w:t xml:space="preserve"> </w:t>
      </w:r>
      <w:r>
        <w:rPr>
          <w:rFonts w:ascii="Arial" w:hAnsi="Arial" w:cs="Arial"/>
        </w:rPr>
        <w:t>službou</w:t>
      </w:r>
      <w:r w:rsidRPr="001F3D8D">
        <w:rPr>
          <w:rFonts w:ascii="Arial" w:hAnsi="Arial" w:cs="Arial"/>
        </w:rPr>
        <w:t xml:space="preserve"> obecného hospodářského zájmu i lékařská, zubní či lékárenská pohotovostní služba je </w:t>
      </w:r>
      <w:r>
        <w:rPr>
          <w:rFonts w:ascii="Arial" w:hAnsi="Arial" w:cs="Arial"/>
        </w:rPr>
        <w:t>poskytovatel</w:t>
      </w:r>
      <w:r w:rsidRPr="001F3D8D">
        <w:rPr>
          <w:rFonts w:ascii="Arial" w:hAnsi="Arial" w:cs="Arial"/>
        </w:rPr>
        <w:t xml:space="preserve"> obdrženou vyrovnávací platbu povinen prioritně použít na zabezpečení těchto služeb dle místní a časové dostupnosti, tak jak je uvedeno v příloze č. 1 smlouvy o poskytnutí finančních prostředků formou SOHZ. </w:t>
      </w:r>
    </w:p>
    <w:p w:rsidR="00FE08FF" w:rsidRPr="00324B2D" w:rsidRDefault="00FE08FF" w:rsidP="00FE08FF">
      <w:pPr>
        <w:pStyle w:val="Normlnweb"/>
        <w:autoSpaceDE w:val="0"/>
        <w:autoSpaceDN w:val="0"/>
        <w:adjustRightInd w:val="0"/>
        <w:spacing w:before="120" w:beforeAutospacing="0" w:after="120" w:afterAutospacing="0" w:line="276" w:lineRule="auto"/>
        <w:ind w:left="425"/>
        <w:jc w:val="both"/>
      </w:pPr>
    </w:p>
    <w:p w:rsidR="00FE08FF" w:rsidRPr="00324B2D" w:rsidRDefault="00FE08FF" w:rsidP="00FE08FF">
      <w:pPr>
        <w:pStyle w:val="Nadpis1"/>
        <w:keepLines w:val="0"/>
        <w:numPr>
          <w:ilvl w:val="0"/>
          <w:numId w:val="34"/>
        </w:numPr>
        <w:spacing w:before="12" w:after="12" w:line="276" w:lineRule="auto"/>
      </w:pPr>
      <w:bookmarkStart w:id="9" w:name="_Toc393869625"/>
      <w:r w:rsidRPr="00324B2D">
        <w:t>Postup výpočtu</w:t>
      </w:r>
      <w:bookmarkEnd w:id="8"/>
      <w:bookmarkEnd w:id="9"/>
    </w:p>
    <w:bookmarkEnd w:id="6"/>
    <w:p w:rsidR="00FE08FF" w:rsidRPr="00324B2D" w:rsidRDefault="00FE08FF" w:rsidP="00FE08FF">
      <w:pPr>
        <w:pStyle w:val="Normlnweb"/>
        <w:numPr>
          <w:ilvl w:val="0"/>
          <w:numId w:val="26"/>
        </w:numPr>
        <w:autoSpaceDE w:val="0"/>
        <w:autoSpaceDN w:val="0"/>
        <w:adjustRightInd w:val="0"/>
        <w:spacing w:before="120" w:beforeAutospacing="0" w:after="120" w:afterAutospacing="0" w:line="276" w:lineRule="auto"/>
        <w:ind w:left="425" w:hanging="425"/>
        <w:jc w:val="both"/>
        <w:rPr>
          <w:rFonts w:ascii="Arial" w:hAnsi="Arial" w:cs="Arial"/>
        </w:rPr>
      </w:pPr>
      <w:r w:rsidRPr="00324B2D">
        <w:rPr>
          <w:rFonts w:ascii="Arial" w:hAnsi="Arial" w:cs="Arial"/>
        </w:rPr>
        <w:t>Příloha č. 2 smlouvy obsahuje způsob výpočtu výše vyrovnávací platby (kalkulační vzorec a definici položek kalkulačního vzorce). Vzorové znění předběžné, výsledné i mimořádné kalkulace je přílohou č. 1 tohoto metodického pokynu.</w:t>
      </w:r>
    </w:p>
    <w:p w:rsidR="00FE08FF" w:rsidRDefault="00FE08FF" w:rsidP="00FE08FF">
      <w:pPr>
        <w:pStyle w:val="Normlnweb"/>
        <w:numPr>
          <w:ilvl w:val="0"/>
          <w:numId w:val="26"/>
        </w:numPr>
        <w:autoSpaceDE w:val="0"/>
        <w:autoSpaceDN w:val="0"/>
        <w:adjustRightInd w:val="0"/>
        <w:spacing w:before="120" w:beforeAutospacing="0" w:after="120" w:afterAutospacing="0" w:line="276" w:lineRule="auto"/>
        <w:ind w:left="425" w:hanging="425"/>
        <w:jc w:val="both"/>
        <w:rPr>
          <w:rFonts w:ascii="Arial" w:hAnsi="Arial" w:cs="Arial"/>
        </w:rPr>
      </w:pPr>
      <w:r>
        <w:rPr>
          <w:rFonts w:ascii="Arial" w:hAnsi="Arial" w:cs="Arial"/>
        </w:rPr>
        <w:t>Náklady:</w:t>
      </w:r>
    </w:p>
    <w:p w:rsidR="00FE08FF" w:rsidRDefault="00FE08FF" w:rsidP="00FE08FF">
      <w:pPr>
        <w:pStyle w:val="Normlnweb"/>
        <w:autoSpaceDE w:val="0"/>
        <w:autoSpaceDN w:val="0"/>
        <w:adjustRightInd w:val="0"/>
        <w:spacing w:before="120" w:beforeAutospacing="0" w:after="120" w:afterAutospacing="0" w:line="276" w:lineRule="auto"/>
        <w:ind w:left="425"/>
        <w:jc w:val="both"/>
        <w:rPr>
          <w:rFonts w:ascii="Arial" w:hAnsi="Arial" w:cs="Arial"/>
        </w:rPr>
      </w:pPr>
      <w:r w:rsidRPr="00324B2D">
        <w:rPr>
          <w:rFonts w:ascii="Arial" w:hAnsi="Arial" w:cs="Arial"/>
        </w:rPr>
        <w:t>V </w:t>
      </w:r>
      <w:r>
        <w:rPr>
          <w:rFonts w:ascii="Arial" w:hAnsi="Arial" w:cs="Arial"/>
        </w:rPr>
        <w:t xml:space="preserve"> rámci SOHZ lze poskytovatelem zdravotních služeb uplatnit pouze </w:t>
      </w:r>
      <w:r w:rsidRPr="00324B2D">
        <w:rPr>
          <w:rFonts w:ascii="Arial" w:hAnsi="Arial" w:cs="Arial"/>
        </w:rPr>
        <w:t xml:space="preserve"> </w:t>
      </w:r>
      <w:r>
        <w:rPr>
          <w:rFonts w:ascii="Arial" w:hAnsi="Arial" w:cs="Arial"/>
        </w:rPr>
        <w:t>náklady vynaložené výhradně v souvislosti s poskytováním zdravotních služeb, které jsou předmětem SOHZ.</w:t>
      </w:r>
    </w:p>
    <w:p w:rsidR="00FE08FF" w:rsidRDefault="00FE08FF" w:rsidP="00FE08FF">
      <w:pPr>
        <w:pStyle w:val="Normlnweb"/>
        <w:autoSpaceDE w:val="0"/>
        <w:autoSpaceDN w:val="0"/>
        <w:adjustRightInd w:val="0"/>
        <w:spacing w:before="120" w:beforeAutospacing="0" w:after="120" w:afterAutospacing="0" w:line="276" w:lineRule="auto"/>
        <w:ind w:left="425"/>
        <w:jc w:val="both"/>
        <w:rPr>
          <w:rFonts w:ascii="Arial" w:hAnsi="Arial" w:cs="Arial"/>
        </w:rPr>
      </w:pPr>
      <w:r>
        <w:rPr>
          <w:rFonts w:ascii="Arial" w:hAnsi="Arial" w:cs="Arial"/>
        </w:rPr>
        <w:t>V rámci sestavení kalkulace (příloha č. 1) budou:</w:t>
      </w:r>
    </w:p>
    <w:p w:rsidR="00FE08FF" w:rsidRDefault="00FE08FF" w:rsidP="00FE08FF">
      <w:pPr>
        <w:pStyle w:val="Normlnweb"/>
        <w:numPr>
          <w:ilvl w:val="0"/>
          <w:numId w:val="29"/>
        </w:numPr>
        <w:autoSpaceDE w:val="0"/>
        <w:autoSpaceDN w:val="0"/>
        <w:adjustRightInd w:val="0"/>
        <w:spacing w:before="120" w:beforeAutospacing="0" w:after="120" w:afterAutospacing="0" w:line="276" w:lineRule="auto"/>
        <w:jc w:val="both"/>
        <w:rPr>
          <w:rFonts w:ascii="Arial" w:hAnsi="Arial" w:cs="Arial"/>
        </w:rPr>
      </w:pPr>
      <w:r>
        <w:rPr>
          <w:rFonts w:ascii="Arial" w:hAnsi="Arial" w:cs="Arial"/>
        </w:rPr>
        <w:t>k jednotlivé Službě (oddělení, pohotovostní službě) p</w:t>
      </w:r>
      <w:r w:rsidRPr="00324B2D">
        <w:rPr>
          <w:rFonts w:ascii="Arial" w:hAnsi="Arial" w:cs="Arial"/>
        </w:rPr>
        <w:t>řiřazeny veškeré náklady vynaložené výhradně v s</w:t>
      </w:r>
      <w:r>
        <w:rPr>
          <w:rFonts w:ascii="Arial" w:hAnsi="Arial" w:cs="Arial"/>
        </w:rPr>
        <w:t>ouvislosti s poskytováním této S</w:t>
      </w:r>
      <w:r w:rsidRPr="00324B2D">
        <w:rPr>
          <w:rFonts w:ascii="Arial" w:hAnsi="Arial" w:cs="Arial"/>
        </w:rPr>
        <w:t>lužby</w:t>
      </w:r>
      <w:r>
        <w:rPr>
          <w:rFonts w:ascii="Arial" w:hAnsi="Arial" w:cs="Arial"/>
        </w:rPr>
        <w:t xml:space="preserve"> za respektování bodu 5  metodiky.</w:t>
      </w:r>
    </w:p>
    <w:p w:rsidR="00FE08FF" w:rsidRPr="004E2C28" w:rsidRDefault="00FE08FF" w:rsidP="00FE08FF">
      <w:pPr>
        <w:pStyle w:val="Normlnweb"/>
        <w:numPr>
          <w:ilvl w:val="0"/>
          <w:numId w:val="29"/>
        </w:numPr>
        <w:autoSpaceDE w:val="0"/>
        <w:autoSpaceDN w:val="0"/>
        <w:adjustRightInd w:val="0"/>
        <w:spacing w:before="120" w:beforeAutospacing="0" w:after="120" w:afterAutospacing="0" w:line="276" w:lineRule="auto"/>
        <w:jc w:val="both"/>
        <w:rPr>
          <w:rFonts w:ascii="Arial" w:hAnsi="Arial" w:cs="Arial"/>
        </w:rPr>
      </w:pPr>
      <w:r>
        <w:rPr>
          <w:rFonts w:ascii="Arial" w:hAnsi="Arial" w:cs="Arial"/>
        </w:rPr>
        <w:t>ostatní náklady, které souvisí s poskytováním zdravotních služeb, které jsou předmětem SOHZ, ale nelze je přímo přiřadit ke Službě (oddělení, pohotovosti). V případě těchto nákladů, které se vztahují k poskytování zdravotních služeb SOHZ, ale nelze je přímo přiřadit ke konkrétní službě (oddělení, pohotovosti) musí mít poskytovatel zdravotních služeb zpracován interní pokyn (metodiku)</w:t>
      </w:r>
      <w:r w:rsidRPr="004E2C28">
        <w:rPr>
          <w:rFonts w:ascii="Arial" w:hAnsi="Arial" w:cs="Arial"/>
        </w:rPr>
        <w:t xml:space="preserve"> k rozúčtovávání (přiřazování) těchto nákladů</w:t>
      </w:r>
      <w:r>
        <w:rPr>
          <w:rFonts w:ascii="Arial" w:hAnsi="Arial" w:cs="Arial"/>
        </w:rPr>
        <w:t xml:space="preserve"> na jednotlivá oddělení</w:t>
      </w:r>
      <w:r w:rsidRPr="004E2C28">
        <w:rPr>
          <w:rFonts w:ascii="Arial" w:hAnsi="Arial" w:cs="Arial"/>
        </w:rPr>
        <w:t>, ze kterého jednoznačně vyplyne</w:t>
      </w:r>
      <w:r>
        <w:rPr>
          <w:rFonts w:ascii="Arial" w:hAnsi="Arial" w:cs="Arial"/>
        </w:rPr>
        <w:t>,</w:t>
      </w:r>
      <w:r w:rsidRPr="004E2C28">
        <w:rPr>
          <w:rFonts w:ascii="Arial" w:hAnsi="Arial" w:cs="Arial"/>
        </w:rPr>
        <w:t xml:space="preserve"> jak a na </w:t>
      </w:r>
      <w:r>
        <w:rPr>
          <w:rFonts w:ascii="Arial" w:hAnsi="Arial" w:cs="Arial"/>
        </w:rPr>
        <w:t xml:space="preserve">základě </w:t>
      </w:r>
      <w:r w:rsidRPr="004E2C28">
        <w:rPr>
          <w:rFonts w:ascii="Arial" w:hAnsi="Arial" w:cs="Arial"/>
        </w:rPr>
        <w:t xml:space="preserve">jakých parametrů jsou tyto náklady přiřazovány k jednotlivým oddělením. </w:t>
      </w:r>
      <w:r>
        <w:rPr>
          <w:rFonts w:ascii="Arial" w:hAnsi="Arial" w:cs="Arial"/>
        </w:rPr>
        <w:t>Poskytovatel zdravotních služeb</w:t>
      </w:r>
      <w:r w:rsidRPr="004E2C28">
        <w:rPr>
          <w:rFonts w:ascii="Arial" w:hAnsi="Arial" w:cs="Arial"/>
        </w:rPr>
        <w:t xml:space="preserve"> poskytne odboru zdravotnictví neprodleně </w:t>
      </w:r>
      <w:r>
        <w:rPr>
          <w:rFonts w:ascii="Arial" w:hAnsi="Arial" w:cs="Arial"/>
        </w:rPr>
        <w:t xml:space="preserve">do 30 dnů </w:t>
      </w:r>
      <w:r w:rsidRPr="004E2C28">
        <w:rPr>
          <w:rFonts w:ascii="Arial" w:hAnsi="Arial" w:cs="Arial"/>
        </w:rPr>
        <w:t>po uzavření smlouvy</w:t>
      </w:r>
      <w:r>
        <w:rPr>
          <w:rFonts w:ascii="Arial" w:hAnsi="Arial" w:cs="Arial"/>
        </w:rPr>
        <w:t xml:space="preserve"> na SOHZ</w:t>
      </w:r>
      <w:r w:rsidRPr="004E2C28">
        <w:rPr>
          <w:rFonts w:ascii="Arial" w:hAnsi="Arial" w:cs="Arial"/>
        </w:rPr>
        <w:t xml:space="preserve"> tento interní pokyn a bude odbor zdravotnictví prokazatelně seznamovat s jeho aktualizacemi.  S</w:t>
      </w:r>
      <w:r>
        <w:rPr>
          <w:rFonts w:ascii="Arial" w:hAnsi="Arial" w:cs="Arial"/>
        </w:rPr>
        <w:t>tejný postup</w:t>
      </w:r>
      <w:r w:rsidRPr="004E2C28">
        <w:rPr>
          <w:rFonts w:ascii="Arial" w:hAnsi="Arial" w:cs="Arial"/>
        </w:rPr>
        <w:t xml:space="preserve"> platí i pro výnosy.</w:t>
      </w:r>
    </w:p>
    <w:p w:rsidR="00FE08FF" w:rsidRPr="00324B2D" w:rsidRDefault="00FE08FF" w:rsidP="00FE08FF">
      <w:pPr>
        <w:pStyle w:val="Normlnweb"/>
        <w:numPr>
          <w:ilvl w:val="0"/>
          <w:numId w:val="26"/>
        </w:numPr>
        <w:autoSpaceDE w:val="0"/>
        <w:autoSpaceDN w:val="0"/>
        <w:adjustRightInd w:val="0"/>
        <w:spacing w:before="120" w:beforeAutospacing="0" w:after="120" w:afterAutospacing="0" w:line="276" w:lineRule="auto"/>
        <w:ind w:left="425" w:hanging="425"/>
        <w:jc w:val="both"/>
        <w:rPr>
          <w:rFonts w:ascii="Arial" w:hAnsi="Arial" w:cs="Arial"/>
          <w:bCs/>
          <w:color w:val="000000"/>
        </w:rPr>
      </w:pPr>
      <w:r w:rsidRPr="00324B2D">
        <w:rPr>
          <w:rFonts w:ascii="Arial" w:hAnsi="Arial" w:cs="Arial"/>
        </w:rPr>
        <w:t>Úplné vlastní náklady zahrnují položky: s</w:t>
      </w:r>
      <w:r w:rsidRPr="00324B2D">
        <w:rPr>
          <w:rFonts w:ascii="Arial" w:hAnsi="Arial" w:cs="Arial"/>
          <w:bCs/>
          <w:color w:val="000000"/>
        </w:rPr>
        <w:t>potřeba materiálu (účet 501 a 503); osobní náklady (účtová skupina 52. s výjimkou účtů 522, 523; ostatní služby (účet 518); spotřeba energie (účet 502); opravy a udržování (účet 511); cestovné (účet 512); odpisy, prodaný majetek (účet 541</w:t>
      </w:r>
      <w:r>
        <w:rPr>
          <w:rFonts w:ascii="Arial" w:hAnsi="Arial" w:cs="Arial"/>
          <w:bCs/>
          <w:color w:val="000000"/>
        </w:rPr>
        <w:t xml:space="preserve">, </w:t>
      </w:r>
      <w:r w:rsidRPr="00324B2D">
        <w:rPr>
          <w:rFonts w:ascii="Arial" w:hAnsi="Arial" w:cs="Arial"/>
          <w:bCs/>
          <w:color w:val="000000"/>
        </w:rPr>
        <w:t>542</w:t>
      </w:r>
      <w:r>
        <w:rPr>
          <w:rFonts w:ascii="Arial" w:hAnsi="Arial" w:cs="Arial"/>
          <w:bCs/>
          <w:color w:val="000000"/>
        </w:rPr>
        <w:t xml:space="preserve"> a 551</w:t>
      </w:r>
      <w:r w:rsidRPr="00324B2D">
        <w:rPr>
          <w:rFonts w:ascii="Arial" w:hAnsi="Arial" w:cs="Arial"/>
          <w:bCs/>
          <w:color w:val="000000"/>
        </w:rPr>
        <w:t>); ostatní náklady (účet 548</w:t>
      </w:r>
      <w:r>
        <w:rPr>
          <w:rFonts w:ascii="Arial" w:hAnsi="Arial" w:cs="Arial"/>
          <w:bCs/>
          <w:color w:val="000000"/>
        </w:rPr>
        <w:t xml:space="preserve"> s výjimkou účtu, na který se účtují náklady na změnu metody, a účtová skupina 58.) s respektováním bodu 5 metodiky.</w:t>
      </w:r>
    </w:p>
    <w:p w:rsidR="00FE08FF" w:rsidRDefault="00FE08FF" w:rsidP="00FE08FF">
      <w:pPr>
        <w:pStyle w:val="Normlnweb"/>
        <w:autoSpaceDE w:val="0"/>
        <w:autoSpaceDN w:val="0"/>
        <w:adjustRightInd w:val="0"/>
        <w:spacing w:before="120" w:beforeAutospacing="0" w:after="120" w:afterAutospacing="0" w:line="276" w:lineRule="auto"/>
        <w:ind w:left="425"/>
        <w:jc w:val="both"/>
        <w:rPr>
          <w:rFonts w:ascii="Arial" w:hAnsi="Arial" w:cs="Arial"/>
          <w:bCs/>
          <w:color w:val="FF0000"/>
        </w:rPr>
      </w:pPr>
      <w:r w:rsidRPr="00324B2D">
        <w:rPr>
          <w:rFonts w:ascii="Arial" w:hAnsi="Arial" w:cs="Arial"/>
          <w:bCs/>
          <w:color w:val="000000"/>
        </w:rPr>
        <w:t>Úplné vlastní náklady se tedy rovnají celkovým nákladům společnosti s vyloučením účtů: 504, 513,  522</w:t>
      </w:r>
      <w:r>
        <w:rPr>
          <w:rFonts w:ascii="Arial" w:hAnsi="Arial" w:cs="Arial"/>
          <w:bCs/>
          <w:color w:val="000000"/>
        </w:rPr>
        <w:t xml:space="preserve"> a</w:t>
      </w:r>
      <w:r w:rsidRPr="00324B2D">
        <w:rPr>
          <w:rFonts w:ascii="Arial" w:hAnsi="Arial" w:cs="Arial"/>
          <w:bCs/>
          <w:color w:val="000000"/>
        </w:rPr>
        <w:t xml:space="preserve"> 523, 53., 543, 544, 545, 546, </w:t>
      </w:r>
      <w:r>
        <w:rPr>
          <w:rFonts w:ascii="Arial" w:hAnsi="Arial" w:cs="Arial"/>
          <w:bCs/>
          <w:color w:val="000000"/>
        </w:rPr>
        <w:t xml:space="preserve">náklady na změnu metody na účtu 548, </w:t>
      </w:r>
      <w:r w:rsidRPr="00324B2D">
        <w:rPr>
          <w:rFonts w:ascii="Arial" w:hAnsi="Arial" w:cs="Arial"/>
          <w:bCs/>
          <w:color w:val="000000"/>
        </w:rPr>
        <w:t>549, 55. (zahrne se pouze 551)</w:t>
      </w:r>
      <w:r>
        <w:rPr>
          <w:rFonts w:ascii="Arial" w:hAnsi="Arial" w:cs="Arial"/>
          <w:bCs/>
          <w:color w:val="000000"/>
        </w:rPr>
        <w:t>, 56., 57., 59  s vyloučením nákladů uvedených v bodě 5 metodiky.</w:t>
      </w:r>
    </w:p>
    <w:p w:rsidR="00FE08FF" w:rsidRPr="000F0F3A" w:rsidRDefault="00FE08FF" w:rsidP="00FE08FF">
      <w:pPr>
        <w:pStyle w:val="Normlnweb"/>
        <w:numPr>
          <w:ilvl w:val="0"/>
          <w:numId w:val="26"/>
        </w:numPr>
        <w:autoSpaceDE w:val="0"/>
        <w:autoSpaceDN w:val="0"/>
        <w:adjustRightInd w:val="0"/>
        <w:spacing w:before="120" w:beforeAutospacing="0" w:after="120" w:afterAutospacing="0" w:line="276" w:lineRule="auto"/>
        <w:ind w:left="425" w:hanging="425"/>
        <w:jc w:val="both"/>
        <w:rPr>
          <w:rFonts w:ascii="Arial" w:hAnsi="Arial" w:cs="Arial"/>
          <w:bCs/>
          <w:color w:val="000000"/>
        </w:rPr>
      </w:pPr>
      <w:r w:rsidRPr="0047017C">
        <w:rPr>
          <w:rFonts w:ascii="Arial" w:hAnsi="Arial" w:cs="Arial"/>
          <w:color w:val="000000"/>
        </w:rPr>
        <w:t xml:space="preserve">Do nákladů nebudou zahrnuty takové náklady poskytovatele zdravotních služeb, které </w:t>
      </w:r>
      <w:r w:rsidRPr="00A92219">
        <w:rPr>
          <w:rFonts w:ascii="Arial" w:hAnsi="Arial" w:cs="Arial"/>
        </w:rPr>
        <w:t xml:space="preserve"> s poskytováním zdravotních služeb</w:t>
      </w:r>
      <w:r>
        <w:rPr>
          <w:rFonts w:ascii="Arial" w:hAnsi="Arial" w:cs="Arial"/>
        </w:rPr>
        <w:t>, které nejsou předmětem SOHZ</w:t>
      </w:r>
      <w:r w:rsidRPr="00A92219">
        <w:rPr>
          <w:rFonts w:ascii="Arial" w:hAnsi="Arial" w:cs="Arial"/>
        </w:rPr>
        <w:t xml:space="preserve"> nesouvisejí</w:t>
      </w:r>
      <w:r>
        <w:rPr>
          <w:rFonts w:ascii="Arial" w:hAnsi="Arial" w:cs="Arial"/>
        </w:rPr>
        <w:t>.  Stejný postup platí pro výnosy.</w:t>
      </w:r>
    </w:p>
    <w:p w:rsidR="00FE08FF" w:rsidRPr="00A92219" w:rsidRDefault="00FE08FF" w:rsidP="00FE08FF">
      <w:pPr>
        <w:pStyle w:val="Normlnweb"/>
        <w:numPr>
          <w:ilvl w:val="0"/>
          <w:numId w:val="26"/>
        </w:numPr>
        <w:autoSpaceDE w:val="0"/>
        <w:autoSpaceDN w:val="0"/>
        <w:adjustRightInd w:val="0"/>
        <w:spacing w:before="120" w:beforeAutospacing="0" w:after="120" w:afterAutospacing="0" w:line="276" w:lineRule="auto"/>
        <w:ind w:left="425" w:hanging="425"/>
        <w:jc w:val="both"/>
        <w:rPr>
          <w:sz w:val="22"/>
          <w:szCs w:val="22"/>
        </w:rPr>
      </w:pPr>
      <w:r w:rsidRPr="0047017C">
        <w:rPr>
          <w:rFonts w:ascii="Arial" w:hAnsi="Arial" w:cs="Arial"/>
          <w:color w:val="000000"/>
        </w:rPr>
        <w:t>Do nákladů dále nelze v</w:t>
      </w:r>
      <w:r>
        <w:rPr>
          <w:rFonts w:ascii="Arial" w:hAnsi="Arial" w:cs="Arial"/>
        </w:rPr>
        <w:t xml:space="preserve">ýslovně zahrnout tyto náklady, i když by byla prokázána jejich souvislost s poskytováním zdravotních služeb, které jsou předmětem SOHZ: </w:t>
      </w:r>
    </w:p>
    <w:p w:rsidR="00FE08FF" w:rsidRPr="0047017C" w:rsidRDefault="00FE08FF" w:rsidP="00FE08FF">
      <w:pPr>
        <w:pStyle w:val="Odstavecseseznamem"/>
        <w:numPr>
          <w:ilvl w:val="0"/>
          <w:numId w:val="30"/>
        </w:numPr>
        <w:contextualSpacing w:val="0"/>
        <w:rPr>
          <w:rFonts w:ascii="Arial" w:hAnsi="Arial" w:cs="Arial"/>
          <w:color w:val="000000"/>
        </w:rPr>
      </w:pPr>
      <w:r w:rsidRPr="0047017C">
        <w:rPr>
          <w:rFonts w:ascii="Arial" w:hAnsi="Arial" w:cs="Arial"/>
          <w:color w:val="000000"/>
        </w:rPr>
        <w:t>Náklady na reprezentaci</w:t>
      </w:r>
    </w:p>
    <w:p w:rsidR="00FE08FF" w:rsidRPr="0047017C" w:rsidRDefault="00FE08FF" w:rsidP="00FE08FF">
      <w:pPr>
        <w:pStyle w:val="Odstavecseseznamem"/>
        <w:numPr>
          <w:ilvl w:val="0"/>
          <w:numId w:val="30"/>
        </w:numPr>
        <w:contextualSpacing w:val="0"/>
        <w:rPr>
          <w:rFonts w:ascii="Arial" w:hAnsi="Arial" w:cs="Arial"/>
          <w:color w:val="000000"/>
        </w:rPr>
      </w:pPr>
      <w:r w:rsidRPr="0047017C">
        <w:rPr>
          <w:rFonts w:ascii="Arial" w:hAnsi="Arial" w:cs="Arial"/>
          <w:color w:val="000000"/>
        </w:rPr>
        <w:t>Náklady na právní služby</w:t>
      </w:r>
    </w:p>
    <w:p w:rsidR="00FE08FF" w:rsidRPr="0047017C" w:rsidRDefault="00FE08FF" w:rsidP="00FE08FF">
      <w:pPr>
        <w:pStyle w:val="Odstavecseseznamem"/>
        <w:numPr>
          <w:ilvl w:val="0"/>
          <w:numId w:val="30"/>
        </w:numPr>
        <w:contextualSpacing w:val="0"/>
        <w:rPr>
          <w:rFonts w:ascii="Arial" w:hAnsi="Arial" w:cs="Arial"/>
          <w:color w:val="000000"/>
        </w:rPr>
      </w:pPr>
      <w:r w:rsidRPr="0047017C">
        <w:rPr>
          <w:rFonts w:ascii="Arial" w:hAnsi="Arial" w:cs="Arial"/>
          <w:color w:val="000000"/>
        </w:rPr>
        <w:t>Náklady na manažerské  poradenství</w:t>
      </w:r>
    </w:p>
    <w:p w:rsidR="00FE08FF" w:rsidRPr="0047017C" w:rsidRDefault="00FE08FF" w:rsidP="00FE08FF">
      <w:pPr>
        <w:pStyle w:val="Odstavecseseznamem"/>
        <w:numPr>
          <w:ilvl w:val="0"/>
          <w:numId w:val="30"/>
        </w:numPr>
        <w:contextualSpacing w:val="0"/>
        <w:rPr>
          <w:rFonts w:ascii="Arial" w:hAnsi="Arial" w:cs="Arial"/>
          <w:color w:val="000000"/>
        </w:rPr>
      </w:pPr>
      <w:r w:rsidRPr="0047017C">
        <w:rPr>
          <w:rFonts w:ascii="Arial" w:hAnsi="Arial" w:cs="Arial"/>
          <w:color w:val="000000"/>
        </w:rPr>
        <w:t>Náklady na poradenské služby</w:t>
      </w:r>
    </w:p>
    <w:p w:rsidR="00FE08FF" w:rsidRPr="0047017C" w:rsidRDefault="00FE08FF" w:rsidP="00FE08FF">
      <w:pPr>
        <w:pStyle w:val="Odstavecseseznamem"/>
        <w:numPr>
          <w:ilvl w:val="0"/>
          <w:numId w:val="30"/>
        </w:numPr>
        <w:contextualSpacing w:val="0"/>
        <w:rPr>
          <w:rFonts w:ascii="Arial" w:hAnsi="Arial" w:cs="Arial"/>
          <w:color w:val="000000"/>
        </w:rPr>
      </w:pPr>
      <w:r w:rsidRPr="0047017C">
        <w:rPr>
          <w:rFonts w:ascii="Arial" w:hAnsi="Arial" w:cs="Arial"/>
          <w:color w:val="000000"/>
        </w:rPr>
        <w:t>Náklady na propagaci a reklamu</w:t>
      </w:r>
    </w:p>
    <w:p w:rsidR="00FE08FF" w:rsidRPr="0047017C" w:rsidRDefault="00FE08FF" w:rsidP="00FE08FF">
      <w:pPr>
        <w:pStyle w:val="Odstavecseseznamem"/>
        <w:numPr>
          <w:ilvl w:val="0"/>
          <w:numId w:val="30"/>
        </w:numPr>
        <w:contextualSpacing w:val="0"/>
        <w:rPr>
          <w:rFonts w:ascii="Arial" w:hAnsi="Arial" w:cs="Arial"/>
          <w:color w:val="000000"/>
        </w:rPr>
      </w:pPr>
      <w:r w:rsidRPr="0047017C">
        <w:rPr>
          <w:rFonts w:ascii="Arial" w:hAnsi="Arial" w:cs="Arial"/>
          <w:color w:val="000000"/>
        </w:rPr>
        <w:t>Náklady na kulturní a sportovní akce</w:t>
      </w:r>
    </w:p>
    <w:p w:rsidR="00FE08FF" w:rsidRPr="0047017C" w:rsidRDefault="00FE08FF" w:rsidP="00FE08FF">
      <w:pPr>
        <w:pStyle w:val="Odstavecseseznamem"/>
        <w:numPr>
          <w:ilvl w:val="0"/>
          <w:numId w:val="30"/>
        </w:numPr>
        <w:contextualSpacing w:val="0"/>
        <w:rPr>
          <w:rFonts w:ascii="Arial" w:hAnsi="Arial" w:cs="Arial"/>
          <w:color w:val="000000"/>
        </w:rPr>
      </w:pPr>
      <w:r w:rsidRPr="0047017C">
        <w:rPr>
          <w:rFonts w:ascii="Arial" w:hAnsi="Arial" w:cs="Arial"/>
          <w:color w:val="000000"/>
        </w:rPr>
        <w:t>Náklady na zaměstnanecké benefity</w:t>
      </w:r>
    </w:p>
    <w:p w:rsidR="00FE08FF" w:rsidRPr="0047017C" w:rsidRDefault="00FE08FF" w:rsidP="00FE08FF">
      <w:pPr>
        <w:pStyle w:val="Odstavecseseznamem"/>
        <w:numPr>
          <w:ilvl w:val="0"/>
          <w:numId w:val="30"/>
        </w:numPr>
        <w:contextualSpacing w:val="0"/>
        <w:rPr>
          <w:rFonts w:ascii="Arial" w:hAnsi="Arial" w:cs="Arial"/>
          <w:color w:val="000000"/>
        </w:rPr>
      </w:pPr>
      <w:r w:rsidRPr="0047017C">
        <w:rPr>
          <w:rFonts w:ascii="Arial" w:hAnsi="Arial" w:cs="Arial"/>
          <w:color w:val="000000"/>
        </w:rPr>
        <w:t>Sponzorství</w:t>
      </w:r>
    </w:p>
    <w:p w:rsidR="00FE08FF" w:rsidRPr="0047017C" w:rsidRDefault="00FE08FF" w:rsidP="00FE08FF">
      <w:pPr>
        <w:pStyle w:val="Odstavecseseznamem"/>
        <w:numPr>
          <w:ilvl w:val="0"/>
          <w:numId w:val="30"/>
        </w:numPr>
        <w:contextualSpacing w:val="0"/>
        <w:rPr>
          <w:rFonts w:ascii="Arial" w:hAnsi="Arial" w:cs="Arial"/>
          <w:color w:val="000000"/>
        </w:rPr>
      </w:pPr>
      <w:r w:rsidRPr="0047017C">
        <w:rPr>
          <w:rFonts w:ascii="Arial" w:hAnsi="Arial" w:cs="Arial"/>
          <w:color w:val="000000"/>
        </w:rPr>
        <w:t>Mimořádné odměny členů představenstva a.s. a jednatelů s.r.o. a jejich povinné odvody</w:t>
      </w:r>
    </w:p>
    <w:p w:rsidR="00FE08FF" w:rsidRDefault="00FE08FF" w:rsidP="00FE08FF">
      <w:pPr>
        <w:pStyle w:val="Normlnweb"/>
        <w:autoSpaceDE w:val="0"/>
        <w:autoSpaceDN w:val="0"/>
        <w:adjustRightInd w:val="0"/>
        <w:spacing w:before="120" w:beforeAutospacing="0" w:after="120" w:afterAutospacing="0" w:line="276" w:lineRule="auto"/>
        <w:ind w:left="425"/>
        <w:jc w:val="both"/>
        <w:rPr>
          <w:rFonts w:ascii="Arial" w:hAnsi="Arial" w:cs="Arial"/>
          <w:bCs/>
          <w:color w:val="000000"/>
        </w:rPr>
      </w:pPr>
    </w:p>
    <w:p w:rsidR="00FE08FF" w:rsidRPr="00324B2D" w:rsidRDefault="00FE08FF" w:rsidP="00FE08FF">
      <w:pPr>
        <w:pStyle w:val="Normlnweb"/>
        <w:autoSpaceDE w:val="0"/>
        <w:autoSpaceDN w:val="0"/>
        <w:adjustRightInd w:val="0"/>
        <w:spacing w:before="120" w:beforeAutospacing="0" w:after="120" w:afterAutospacing="0" w:line="276" w:lineRule="auto"/>
        <w:ind w:left="425"/>
        <w:jc w:val="both"/>
        <w:rPr>
          <w:rFonts w:ascii="Arial" w:hAnsi="Arial" w:cs="Arial"/>
          <w:bCs/>
          <w:color w:val="000000"/>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1638"/>
        <w:gridCol w:w="2988"/>
        <w:gridCol w:w="3072"/>
      </w:tblGrid>
      <w:tr w:rsidR="00FE08FF" w:rsidRPr="00324B2D" w:rsidTr="008E0926">
        <w:tc>
          <w:tcPr>
            <w:tcW w:w="2084" w:type="dxa"/>
            <w:tcBorders>
              <w:top w:val="single" w:sz="4" w:space="0" w:color="auto"/>
              <w:left w:val="single" w:sz="4" w:space="0" w:color="auto"/>
              <w:bottom w:val="single" w:sz="4" w:space="0" w:color="auto"/>
              <w:right w:val="single" w:sz="4" w:space="0" w:color="auto"/>
            </w:tcBorders>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Cs/>
                <w:color w:val="000000"/>
                <w:sz w:val="22"/>
              </w:rPr>
            </w:pPr>
            <w:r w:rsidRPr="00F77DD1">
              <w:rPr>
                <w:rFonts w:ascii="Arial" w:hAnsi="Arial" w:cs="Arial"/>
                <w:bCs/>
                <w:color w:val="000000"/>
                <w:sz w:val="22"/>
              </w:rPr>
              <w:t>Účet, účtová skupina</w:t>
            </w: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Cs/>
                <w:color w:val="000000"/>
                <w:sz w:val="22"/>
              </w:rPr>
            </w:pPr>
            <w:r w:rsidRPr="00F77DD1">
              <w:rPr>
                <w:rFonts w:ascii="Arial" w:hAnsi="Arial" w:cs="Arial"/>
                <w:bCs/>
                <w:color w:val="000000"/>
                <w:sz w:val="22"/>
              </w:rPr>
              <w:t>Započítá se</w:t>
            </w:r>
          </w:p>
        </w:tc>
        <w:tc>
          <w:tcPr>
            <w:tcW w:w="2988" w:type="dxa"/>
            <w:tcBorders>
              <w:top w:val="single" w:sz="4" w:space="0" w:color="auto"/>
              <w:left w:val="single" w:sz="4" w:space="0" w:color="auto"/>
              <w:bottom w:val="single" w:sz="4" w:space="0" w:color="auto"/>
              <w:right w:val="single" w:sz="4" w:space="0" w:color="auto"/>
            </w:tcBorders>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both"/>
              <w:rPr>
                <w:rFonts w:ascii="Arial" w:hAnsi="Arial" w:cs="Arial"/>
                <w:bCs/>
                <w:color w:val="000000"/>
                <w:sz w:val="22"/>
              </w:rPr>
            </w:pPr>
            <w:r w:rsidRPr="00F77DD1">
              <w:rPr>
                <w:rFonts w:ascii="Arial" w:hAnsi="Arial" w:cs="Arial"/>
                <w:bCs/>
                <w:color w:val="000000"/>
                <w:sz w:val="22"/>
              </w:rPr>
              <w:t>Započteno</w:t>
            </w:r>
          </w:p>
        </w:tc>
        <w:tc>
          <w:tcPr>
            <w:tcW w:w="3072" w:type="dxa"/>
            <w:tcBorders>
              <w:top w:val="single" w:sz="4" w:space="0" w:color="auto"/>
              <w:left w:val="single" w:sz="4" w:space="0" w:color="auto"/>
              <w:bottom w:val="single" w:sz="4" w:space="0" w:color="auto"/>
              <w:right w:val="single" w:sz="4" w:space="0" w:color="auto"/>
            </w:tcBorders>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Cs/>
                <w:color w:val="000000"/>
                <w:sz w:val="22"/>
              </w:rPr>
            </w:pPr>
            <w:r w:rsidRPr="00F77DD1">
              <w:rPr>
                <w:rFonts w:ascii="Arial" w:hAnsi="Arial" w:cs="Arial"/>
                <w:bCs/>
                <w:color w:val="000000"/>
                <w:sz w:val="22"/>
              </w:rPr>
              <w:t>Vyloučeno</w:t>
            </w:r>
          </w:p>
        </w:tc>
      </w:tr>
      <w:tr w:rsidR="00FE08FF" w:rsidRPr="00324B2D" w:rsidTr="008E0926">
        <w:tc>
          <w:tcPr>
            <w:tcW w:w="2084" w:type="dxa"/>
            <w:tcBorders>
              <w:top w:val="single" w:sz="4" w:space="0" w:color="auto"/>
            </w:tcBorders>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
                <w:bCs/>
                <w:color w:val="000000"/>
                <w:sz w:val="22"/>
              </w:rPr>
            </w:pPr>
            <w:r w:rsidRPr="00F77DD1">
              <w:rPr>
                <w:rFonts w:ascii="Arial" w:hAnsi="Arial" w:cs="Arial"/>
                <w:b/>
                <w:bCs/>
                <w:color w:val="000000"/>
                <w:sz w:val="22"/>
              </w:rPr>
              <w:t>501</w:t>
            </w:r>
          </w:p>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
                <w:bCs/>
                <w:color w:val="000000"/>
                <w:sz w:val="16"/>
                <w:szCs w:val="16"/>
              </w:rPr>
            </w:pPr>
            <w:r w:rsidRPr="00F77DD1">
              <w:rPr>
                <w:rFonts w:ascii="Arial" w:hAnsi="Arial" w:cs="Arial"/>
                <w:b/>
                <w:bCs/>
                <w:color w:val="000000"/>
                <w:sz w:val="16"/>
                <w:szCs w:val="16"/>
              </w:rPr>
              <w:t>Spotřeba materiálu</w:t>
            </w:r>
          </w:p>
        </w:tc>
        <w:tc>
          <w:tcPr>
            <w:tcW w:w="1638" w:type="dxa"/>
            <w:tcBorders>
              <w:top w:val="single" w:sz="4" w:space="0" w:color="auto"/>
            </w:tcBorders>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ano</w:t>
            </w:r>
          </w:p>
        </w:tc>
        <w:tc>
          <w:tcPr>
            <w:tcW w:w="2988" w:type="dxa"/>
            <w:tcBorders>
              <w:top w:val="single" w:sz="4" w:space="0" w:color="auto"/>
            </w:tcBorders>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vše</w:t>
            </w:r>
          </w:p>
        </w:tc>
        <w:tc>
          <w:tcPr>
            <w:tcW w:w="3072" w:type="dxa"/>
            <w:tcBorders>
              <w:top w:val="single" w:sz="4" w:space="0" w:color="auto"/>
            </w:tcBorders>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w:t>
            </w:r>
          </w:p>
        </w:tc>
      </w:tr>
      <w:tr w:rsidR="00FE08FF" w:rsidRPr="00324B2D" w:rsidTr="008E0926">
        <w:tc>
          <w:tcPr>
            <w:tcW w:w="2084"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
                <w:bCs/>
                <w:color w:val="000000"/>
                <w:sz w:val="22"/>
              </w:rPr>
            </w:pPr>
            <w:r w:rsidRPr="00F77DD1">
              <w:rPr>
                <w:rFonts w:ascii="Arial" w:hAnsi="Arial" w:cs="Arial"/>
                <w:b/>
                <w:bCs/>
                <w:color w:val="000000"/>
                <w:sz w:val="22"/>
              </w:rPr>
              <w:t>502</w:t>
            </w:r>
          </w:p>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
                <w:bCs/>
                <w:color w:val="000000"/>
                <w:sz w:val="16"/>
                <w:szCs w:val="16"/>
              </w:rPr>
            </w:pPr>
            <w:r w:rsidRPr="00F77DD1">
              <w:rPr>
                <w:rFonts w:ascii="Arial" w:hAnsi="Arial" w:cs="Arial"/>
                <w:b/>
                <w:bCs/>
                <w:color w:val="000000"/>
                <w:sz w:val="16"/>
                <w:szCs w:val="16"/>
              </w:rPr>
              <w:t>Spotřeba energie</w:t>
            </w:r>
          </w:p>
        </w:tc>
        <w:tc>
          <w:tcPr>
            <w:tcW w:w="163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ano</w:t>
            </w:r>
          </w:p>
        </w:tc>
        <w:tc>
          <w:tcPr>
            <w:tcW w:w="298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vše</w:t>
            </w:r>
          </w:p>
        </w:tc>
        <w:tc>
          <w:tcPr>
            <w:tcW w:w="3072"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w:t>
            </w:r>
          </w:p>
        </w:tc>
      </w:tr>
      <w:tr w:rsidR="00FE08FF" w:rsidRPr="00324B2D" w:rsidTr="008E0926">
        <w:tc>
          <w:tcPr>
            <w:tcW w:w="2084"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
                <w:bCs/>
                <w:color w:val="000000"/>
                <w:sz w:val="22"/>
              </w:rPr>
            </w:pPr>
            <w:r w:rsidRPr="00F77DD1">
              <w:rPr>
                <w:rFonts w:ascii="Arial" w:hAnsi="Arial" w:cs="Arial"/>
                <w:b/>
                <w:bCs/>
                <w:color w:val="000000"/>
                <w:sz w:val="22"/>
              </w:rPr>
              <w:t>503</w:t>
            </w:r>
          </w:p>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
                <w:bCs/>
                <w:color w:val="000000"/>
                <w:sz w:val="16"/>
                <w:szCs w:val="16"/>
              </w:rPr>
            </w:pPr>
            <w:r w:rsidRPr="00F77DD1">
              <w:rPr>
                <w:rFonts w:ascii="Arial" w:hAnsi="Arial" w:cs="Arial"/>
                <w:b/>
                <w:bCs/>
                <w:color w:val="000000"/>
                <w:sz w:val="16"/>
                <w:szCs w:val="16"/>
              </w:rPr>
              <w:t xml:space="preserve">Spotřeba </w:t>
            </w:r>
            <w:proofErr w:type="spellStart"/>
            <w:r w:rsidRPr="00F77DD1">
              <w:rPr>
                <w:rFonts w:ascii="Arial" w:hAnsi="Arial" w:cs="Arial"/>
                <w:b/>
                <w:bCs/>
                <w:color w:val="000000"/>
                <w:sz w:val="16"/>
                <w:szCs w:val="16"/>
              </w:rPr>
              <w:t>ost</w:t>
            </w:r>
            <w:proofErr w:type="spellEnd"/>
            <w:r w:rsidRPr="00F77DD1">
              <w:rPr>
                <w:rFonts w:ascii="Arial" w:hAnsi="Arial" w:cs="Arial"/>
                <w:b/>
                <w:bCs/>
                <w:color w:val="000000"/>
                <w:sz w:val="16"/>
                <w:szCs w:val="16"/>
              </w:rPr>
              <w:t>. neskladovatelných dodávek</w:t>
            </w:r>
          </w:p>
        </w:tc>
        <w:tc>
          <w:tcPr>
            <w:tcW w:w="163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Cs/>
                <w:color w:val="000000"/>
                <w:sz w:val="22"/>
              </w:rPr>
            </w:pPr>
            <w:r w:rsidRPr="00F77DD1">
              <w:rPr>
                <w:rFonts w:ascii="Arial" w:hAnsi="Arial" w:cs="Arial"/>
                <w:b/>
                <w:bCs/>
                <w:color w:val="000000"/>
                <w:sz w:val="22"/>
              </w:rPr>
              <w:t>ano</w:t>
            </w:r>
          </w:p>
        </w:tc>
        <w:tc>
          <w:tcPr>
            <w:tcW w:w="298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vše</w:t>
            </w:r>
          </w:p>
        </w:tc>
        <w:tc>
          <w:tcPr>
            <w:tcW w:w="3072"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Cs/>
                <w:color w:val="000000"/>
                <w:sz w:val="22"/>
              </w:rPr>
            </w:pPr>
            <w:r w:rsidRPr="00F77DD1">
              <w:rPr>
                <w:rFonts w:ascii="Arial" w:hAnsi="Arial" w:cs="Arial"/>
                <w:bCs/>
                <w:color w:val="000000"/>
                <w:sz w:val="22"/>
              </w:rPr>
              <w:t>-</w:t>
            </w:r>
          </w:p>
        </w:tc>
      </w:tr>
      <w:tr w:rsidR="00FE08FF" w:rsidRPr="00324B2D" w:rsidTr="008E0926">
        <w:tc>
          <w:tcPr>
            <w:tcW w:w="2084"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Cs/>
                <w:color w:val="000000"/>
                <w:sz w:val="22"/>
              </w:rPr>
            </w:pPr>
            <w:r w:rsidRPr="00F77DD1">
              <w:rPr>
                <w:rFonts w:ascii="Arial" w:hAnsi="Arial" w:cs="Arial"/>
                <w:bCs/>
                <w:color w:val="000000"/>
                <w:sz w:val="22"/>
              </w:rPr>
              <w:t>504</w:t>
            </w:r>
          </w:p>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Cs/>
                <w:color w:val="000000"/>
                <w:sz w:val="16"/>
                <w:szCs w:val="16"/>
              </w:rPr>
            </w:pPr>
            <w:r w:rsidRPr="00F77DD1">
              <w:rPr>
                <w:rFonts w:ascii="Arial" w:hAnsi="Arial" w:cs="Arial"/>
                <w:bCs/>
                <w:color w:val="000000"/>
                <w:sz w:val="16"/>
                <w:szCs w:val="16"/>
              </w:rPr>
              <w:t>Prodané zboží</w:t>
            </w:r>
          </w:p>
        </w:tc>
        <w:tc>
          <w:tcPr>
            <w:tcW w:w="163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Cs/>
                <w:color w:val="000000"/>
                <w:sz w:val="22"/>
              </w:rPr>
            </w:pPr>
            <w:r w:rsidRPr="00F77DD1">
              <w:rPr>
                <w:rFonts w:ascii="Arial" w:hAnsi="Arial" w:cs="Arial"/>
                <w:bCs/>
                <w:color w:val="000000"/>
                <w:sz w:val="22"/>
              </w:rPr>
              <w:t>ne</w:t>
            </w:r>
          </w:p>
        </w:tc>
        <w:tc>
          <w:tcPr>
            <w:tcW w:w="298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Cs/>
                <w:color w:val="000000"/>
                <w:sz w:val="22"/>
              </w:rPr>
            </w:pPr>
            <w:r w:rsidRPr="00F77DD1">
              <w:rPr>
                <w:rFonts w:ascii="Arial" w:hAnsi="Arial" w:cs="Arial"/>
                <w:bCs/>
                <w:color w:val="000000"/>
                <w:sz w:val="22"/>
              </w:rPr>
              <w:t>-</w:t>
            </w:r>
          </w:p>
        </w:tc>
        <w:tc>
          <w:tcPr>
            <w:tcW w:w="3072"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Cs/>
                <w:color w:val="000000"/>
                <w:sz w:val="22"/>
              </w:rPr>
            </w:pPr>
            <w:r w:rsidRPr="00F77DD1">
              <w:rPr>
                <w:rFonts w:ascii="Arial" w:hAnsi="Arial" w:cs="Arial"/>
                <w:bCs/>
                <w:color w:val="000000"/>
                <w:sz w:val="22"/>
              </w:rPr>
              <w:t>-</w:t>
            </w:r>
          </w:p>
        </w:tc>
      </w:tr>
      <w:tr w:rsidR="00FE08FF" w:rsidRPr="00324B2D" w:rsidTr="008E0926">
        <w:tc>
          <w:tcPr>
            <w:tcW w:w="2084"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
                <w:bCs/>
                <w:color w:val="000000"/>
                <w:sz w:val="22"/>
              </w:rPr>
            </w:pPr>
            <w:r w:rsidRPr="00F77DD1">
              <w:rPr>
                <w:rFonts w:ascii="Arial" w:hAnsi="Arial" w:cs="Arial"/>
                <w:b/>
                <w:bCs/>
                <w:color w:val="000000"/>
                <w:sz w:val="22"/>
              </w:rPr>
              <w:t>511</w:t>
            </w:r>
          </w:p>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
                <w:bCs/>
                <w:color w:val="000000"/>
                <w:sz w:val="16"/>
                <w:szCs w:val="16"/>
              </w:rPr>
            </w:pPr>
            <w:r w:rsidRPr="00F77DD1">
              <w:rPr>
                <w:rFonts w:ascii="Arial" w:hAnsi="Arial" w:cs="Arial"/>
                <w:b/>
                <w:bCs/>
                <w:color w:val="000000"/>
                <w:sz w:val="16"/>
                <w:szCs w:val="16"/>
              </w:rPr>
              <w:t>Opravy a udržování</w:t>
            </w:r>
          </w:p>
        </w:tc>
        <w:tc>
          <w:tcPr>
            <w:tcW w:w="163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ano</w:t>
            </w:r>
          </w:p>
        </w:tc>
        <w:tc>
          <w:tcPr>
            <w:tcW w:w="298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vše</w:t>
            </w:r>
          </w:p>
        </w:tc>
        <w:tc>
          <w:tcPr>
            <w:tcW w:w="3072"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w:t>
            </w:r>
          </w:p>
        </w:tc>
      </w:tr>
      <w:tr w:rsidR="00FE08FF" w:rsidRPr="00324B2D" w:rsidTr="008E0926">
        <w:tc>
          <w:tcPr>
            <w:tcW w:w="2084"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
                <w:bCs/>
                <w:color w:val="000000"/>
                <w:sz w:val="22"/>
              </w:rPr>
            </w:pPr>
            <w:r w:rsidRPr="00F77DD1">
              <w:rPr>
                <w:rFonts w:ascii="Arial" w:hAnsi="Arial" w:cs="Arial"/>
                <w:b/>
                <w:bCs/>
                <w:color w:val="000000"/>
                <w:sz w:val="22"/>
              </w:rPr>
              <w:t>512</w:t>
            </w:r>
          </w:p>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
                <w:bCs/>
                <w:color w:val="000000"/>
                <w:sz w:val="16"/>
                <w:szCs w:val="16"/>
              </w:rPr>
            </w:pPr>
            <w:r w:rsidRPr="00F77DD1">
              <w:rPr>
                <w:rFonts w:ascii="Arial" w:hAnsi="Arial" w:cs="Arial"/>
                <w:b/>
                <w:bCs/>
                <w:color w:val="000000"/>
                <w:sz w:val="16"/>
                <w:szCs w:val="16"/>
              </w:rPr>
              <w:t>Cestovné</w:t>
            </w:r>
          </w:p>
        </w:tc>
        <w:tc>
          <w:tcPr>
            <w:tcW w:w="163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ano</w:t>
            </w:r>
          </w:p>
        </w:tc>
        <w:tc>
          <w:tcPr>
            <w:tcW w:w="298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vše</w:t>
            </w:r>
          </w:p>
        </w:tc>
        <w:tc>
          <w:tcPr>
            <w:tcW w:w="3072"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w:t>
            </w:r>
          </w:p>
        </w:tc>
      </w:tr>
      <w:tr w:rsidR="00FE08FF" w:rsidRPr="00324B2D" w:rsidTr="008E0926">
        <w:tc>
          <w:tcPr>
            <w:tcW w:w="2084"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Cs/>
                <w:color w:val="000000"/>
                <w:sz w:val="22"/>
              </w:rPr>
            </w:pPr>
            <w:r w:rsidRPr="00F77DD1">
              <w:rPr>
                <w:rFonts w:ascii="Arial" w:hAnsi="Arial" w:cs="Arial"/>
                <w:bCs/>
                <w:color w:val="000000"/>
                <w:sz w:val="22"/>
              </w:rPr>
              <w:t>513</w:t>
            </w:r>
          </w:p>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Cs/>
                <w:color w:val="000000"/>
                <w:sz w:val="16"/>
                <w:szCs w:val="16"/>
              </w:rPr>
            </w:pPr>
            <w:r w:rsidRPr="00F77DD1">
              <w:rPr>
                <w:rFonts w:ascii="Arial" w:hAnsi="Arial" w:cs="Arial"/>
                <w:bCs/>
                <w:color w:val="000000"/>
                <w:sz w:val="16"/>
                <w:szCs w:val="16"/>
              </w:rPr>
              <w:t>Náklady na reprezentaci</w:t>
            </w:r>
          </w:p>
        </w:tc>
        <w:tc>
          <w:tcPr>
            <w:tcW w:w="163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Cs/>
                <w:color w:val="000000"/>
                <w:sz w:val="22"/>
              </w:rPr>
            </w:pPr>
            <w:r w:rsidRPr="00F77DD1">
              <w:rPr>
                <w:rFonts w:ascii="Arial" w:hAnsi="Arial" w:cs="Arial"/>
                <w:bCs/>
                <w:color w:val="000000"/>
                <w:sz w:val="22"/>
              </w:rPr>
              <w:t>ne</w:t>
            </w:r>
          </w:p>
        </w:tc>
        <w:tc>
          <w:tcPr>
            <w:tcW w:w="298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Cs/>
                <w:color w:val="000000"/>
                <w:sz w:val="22"/>
              </w:rPr>
            </w:pPr>
            <w:r w:rsidRPr="00F77DD1">
              <w:rPr>
                <w:rFonts w:ascii="Arial" w:hAnsi="Arial" w:cs="Arial"/>
                <w:bCs/>
                <w:color w:val="000000"/>
                <w:sz w:val="22"/>
              </w:rPr>
              <w:t>-</w:t>
            </w:r>
          </w:p>
        </w:tc>
        <w:tc>
          <w:tcPr>
            <w:tcW w:w="3072"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Cs/>
                <w:color w:val="000000"/>
                <w:sz w:val="22"/>
              </w:rPr>
            </w:pPr>
            <w:r w:rsidRPr="00F77DD1">
              <w:rPr>
                <w:rFonts w:ascii="Arial" w:hAnsi="Arial" w:cs="Arial"/>
                <w:bCs/>
                <w:color w:val="000000"/>
                <w:sz w:val="22"/>
              </w:rPr>
              <w:t>-</w:t>
            </w:r>
          </w:p>
        </w:tc>
      </w:tr>
      <w:tr w:rsidR="00FE08FF" w:rsidRPr="00324B2D" w:rsidTr="008E0926">
        <w:tc>
          <w:tcPr>
            <w:tcW w:w="2084"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
                <w:bCs/>
                <w:color w:val="000000"/>
                <w:sz w:val="22"/>
              </w:rPr>
            </w:pPr>
            <w:r w:rsidRPr="00F77DD1">
              <w:rPr>
                <w:rFonts w:ascii="Arial" w:hAnsi="Arial" w:cs="Arial"/>
                <w:b/>
                <w:bCs/>
                <w:color w:val="000000"/>
                <w:sz w:val="22"/>
              </w:rPr>
              <w:t>518</w:t>
            </w:r>
          </w:p>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
                <w:bCs/>
                <w:color w:val="000000"/>
                <w:sz w:val="16"/>
                <w:szCs w:val="16"/>
              </w:rPr>
            </w:pPr>
            <w:r w:rsidRPr="00F77DD1">
              <w:rPr>
                <w:rFonts w:ascii="Arial" w:hAnsi="Arial" w:cs="Arial"/>
                <w:b/>
                <w:bCs/>
                <w:color w:val="000000"/>
                <w:sz w:val="16"/>
                <w:szCs w:val="16"/>
              </w:rPr>
              <w:t>Ostatní služby</w:t>
            </w:r>
          </w:p>
        </w:tc>
        <w:tc>
          <w:tcPr>
            <w:tcW w:w="163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ano</w:t>
            </w:r>
          </w:p>
        </w:tc>
        <w:tc>
          <w:tcPr>
            <w:tcW w:w="298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 xml:space="preserve">vše kromě nákladů za manažerské poradenství, nákladů za poradenské a obdobné služby, nákladů za právní služby, reklama a propagace, nákladů na kulturní, sportovní akce, nákladů na  zaměstnanecké benefity, </w:t>
            </w:r>
          </w:p>
        </w:tc>
        <w:tc>
          <w:tcPr>
            <w:tcW w:w="3072"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 xml:space="preserve">náklady za manažerské poradenství, náklady za poradenské a obdobné služby, náklady za právní služby, reklama a propagace, náklady na kulturní, sportovní akce, nákladů na zaměstnanecké benefity, </w:t>
            </w:r>
          </w:p>
        </w:tc>
      </w:tr>
      <w:tr w:rsidR="00FE08FF" w:rsidRPr="00324B2D" w:rsidTr="008E0926">
        <w:tc>
          <w:tcPr>
            <w:tcW w:w="2084"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
                <w:bCs/>
                <w:color w:val="000000"/>
                <w:sz w:val="22"/>
              </w:rPr>
            </w:pPr>
            <w:r w:rsidRPr="00F77DD1">
              <w:rPr>
                <w:rFonts w:ascii="Arial" w:hAnsi="Arial" w:cs="Arial"/>
                <w:b/>
                <w:bCs/>
                <w:color w:val="000000"/>
                <w:sz w:val="22"/>
              </w:rPr>
              <w:t>521</w:t>
            </w:r>
          </w:p>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
                <w:bCs/>
                <w:color w:val="000000"/>
                <w:sz w:val="16"/>
                <w:szCs w:val="16"/>
              </w:rPr>
            </w:pPr>
            <w:r w:rsidRPr="00F77DD1">
              <w:rPr>
                <w:rFonts w:ascii="Arial" w:hAnsi="Arial" w:cs="Arial"/>
                <w:b/>
                <w:bCs/>
                <w:color w:val="000000"/>
                <w:sz w:val="16"/>
                <w:szCs w:val="16"/>
              </w:rPr>
              <w:t>Mzdové náklady</w:t>
            </w:r>
          </w:p>
        </w:tc>
        <w:tc>
          <w:tcPr>
            <w:tcW w:w="163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ano</w:t>
            </w:r>
          </w:p>
        </w:tc>
        <w:tc>
          <w:tcPr>
            <w:tcW w:w="298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p>
        </w:tc>
        <w:tc>
          <w:tcPr>
            <w:tcW w:w="3072"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w:t>
            </w:r>
          </w:p>
        </w:tc>
      </w:tr>
      <w:tr w:rsidR="00FE08FF" w:rsidRPr="00324B2D" w:rsidTr="008E0926">
        <w:tc>
          <w:tcPr>
            <w:tcW w:w="2084"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
                <w:bCs/>
                <w:color w:val="000000"/>
                <w:sz w:val="22"/>
              </w:rPr>
            </w:pPr>
            <w:r w:rsidRPr="00F77DD1">
              <w:rPr>
                <w:rFonts w:ascii="Arial" w:hAnsi="Arial" w:cs="Arial"/>
                <w:b/>
                <w:bCs/>
                <w:color w:val="000000"/>
                <w:sz w:val="22"/>
              </w:rPr>
              <w:t>522, 523</w:t>
            </w:r>
          </w:p>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
                <w:bCs/>
                <w:color w:val="000000"/>
                <w:sz w:val="16"/>
                <w:szCs w:val="16"/>
              </w:rPr>
            </w:pPr>
            <w:r w:rsidRPr="00F77DD1">
              <w:rPr>
                <w:rFonts w:ascii="Arial" w:hAnsi="Arial" w:cs="Arial"/>
                <w:b/>
                <w:bCs/>
                <w:color w:val="000000"/>
                <w:sz w:val="16"/>
                <w:szCs w:val="16"/>
              </w:rPr>
              <w:t>Příjmy společníků obchodní korporace ze závislé činnosti, Odměny členům orgánů obchodních korporací</w:t>
            </w:r>
          </w:p>
        </w:tc>
        <w:tc>
          <w:tcPr>
            <w:tcW w:w="163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ano</w:t>
            </w:r>
          </w:p>
        </w:tc>
        <w:tc>
          <w:tcPr>
            <w:tcW w:w="298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Vše kromě odměn jednatelů s.r.o. či odměn členů představenstva a.s.</w:t>
            </w:r>
          </w:p>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(odměnou myšlena mimořádná odměna nikoliv mzda)</w:t>
            </w:r>
          </w:p>
        </w:tc>
        <w:tc>
          <w:tcPr>
            <w:tcW w:w="3072"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odměny jednatelů s.r.o. či odměny členů představenstva a.s.</w:t>
            </w:r>
          </w:p>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(odměnou myšlena mimořádná odměna nikoliv mzda)</w:t>
            </w:r>
          </w:p>
        </w:tc>
      </w:tr>
      <w:tr w:rsidR="00FE08FF" w:rsidRPr="00324B2D" w:rsidTr="008E0926">
        <w:tc>
          <w:tcPr>
            <w:tcW w:w="2084"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
                <w:bCs/>
                <w:color w:val="000000"/>
                <w:sz w:val="22"/>
              </w:rPr>
            </w:pPr>
            <w:r w:rsidRPr="00F77DD1">
              <w:rPr>
                <w:rFonts w:ascii="Arial" w:hAnsi="Arial" w:cs="Arial"/>
                <w:b/>
                <w:bCs/>
                <w:color w:val="000000"/>
                <w:sz w:val="22"/>
              </w:rPr>
              <w:t>524</w:t>
            </w:r>
          </w:p>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
                <w:bCs/>
                <w:color w:val="000000"/>
                <w:sz w:val="16"/>
                <w:szCs w:val="16"/>
              </w:rPr>
            </w:pPr>
            <w:r w:rsidRPr="00F77DD1">
              <w:rPr>
                <w:rFonts w:ascii="Arial" w:hAnsi="Arial" w:cs="Arial"/>
                <w:b/>
                <w:bCs/>
                <w:color w:val="000000"/>
                <w:sz w:val="16"/>
                <w:szCs w:val="16"/>
              </w:rPr>
              <w:t>Zákonné sociální a zdravotní pojištění</w:t>
            </w:r>
          </w:p>
        </w:tc>
        <w:tc>
          <w:tcPr>
            <w:tcW w:w="163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ano</w:t>
            </w:r>
          </w:p>
        </w:tc>
        <w:tc>
          <w:tcPr>
            <w:tcW w:w="298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Vše kromě zákonného soc. a zdravotního pojištění z odměn jednatelů s.r.o. či odměn členů představenstva a.s.</w:t>
            </w:r>
          </w:p>
        </w:tc>
        <w:tc>
          <w:tcPr>
            <w:tcW w:w="3072"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zákonné soc. a zdravotní pojištění z odměn jednatelů s.r.o. či odměn členů představenstva a.s.</w:t>
            </w:r>
          </w:p>
        </w:tc>
      </w:tr>
      <w:tr w:rsidR="00FE08FF" w:rsidRPr="00324B2D" w:rsidTr="008E0926">
        <w:tc>
          <w:tcPr>
            <w:tcW w:w="2084"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
                <w:bCs/>
                <w:color w:val="000000"/>
                <w:sz w:val="22"/>
              </w:rPr>
            </w:pPr>
            <w:r w:rsidRPr="00F77DD1">
              <w:rPr>
                <w:rFonts w:ascii="Arial" w:hAnsi="Arial" w:cs="Arial"/>
                <w:b/>
                <w:bCs/>
                <w:color w:val="000000"/>
                <w:sz w:val="22"/>
              </w:rPr>
              <w:t>525</w:t>
            </w:r>
          </w:p>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
                <w:bCs/>
                <w:color w:val="000000"/>
                <w:sz w:val="16"/>
                <w:szCs w:val="16"/>
              </w:rPr>
            </w:pPr>
            <w:r w:rsidRPr="00F77DD1">
              <w:rPr>
                <w:rFonts w:ascii="Arial" w:hAnsi="Arial" w:cs="Arial"/>
                <w:b/>
                <w:bCs/>
                <w:color w:val="000000"/>
                <w:sz w:val="16"/>
                <w:szCs w:val="16"/>
              </w:rPr>
              <w:t>Ostatní sociální pojištění</w:t>
            </w:r>
          </w:p>
        </w:tc>
        <w:tc>
          <w:tcPr>
            <w:tcW w:w="163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ano</w:t>
            </w:r>
          </w:p>
        </w:tc>
        <w:tc>
          <w:tcPr>
            <w:tcW w:w="298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vše</w:t>
            </w:r>
          </w:p>
        </w:tc>
        <w:tc>
          <w:tcPr>
            <w:tcW w:w="3072"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w:t>
            </w:r>
          </w:p>
        </w:tc>
      </w:tr>
      <w:tr w:rsidR="00FE08FF" w:rsidRPr="00324B2D" w:rsidTr="008E0926">
        <w:tc>
          <w:tcPr>
            <w:tcW w:w="2084"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
                <w:bCs/>
                <w:color w:val="000000"/>
                <w:sz w:val="22"/>
              </w:rPr>
            </w:pPr>
            <w:r w:rsidRPr="00F77DD1">
              <w:rPr>
                <w:rFonts w:ascii="Arial" w:hAnsi="Arial" w:cs="Arial"/>
                <w:b/>
                <w:bCs/>
                <w:color w:val="000000"/>
                <w:sz w:val="22"/>
              </w:rPr>
              <w:t>527</w:t>
            </w:r>
          </w:p>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
                <w:bCs/>
                <w:color w:val="000000"/>
                <w:sz w:val="16"/>
                <w:szCs w:val="16"/>
              </w:rPr>
            </w:pPr>
            <w:r w:rsidRPr="00F77DD1">
              <w:rPr>
                <w:rFonts w:ascii="Arial" w:hAnsi="Arial" w:cs="Arial"/>
                <w:b/>
                <w:bCs/>
                <w:color w:val="000000"/>
                <w:sz w:val="16"/>
                <w:szCs w:val="16"/>
              </w:rPr>
              <w:t>Zákonné sociální náklady</w:t>
            </w:r>
          </w:p>
        </w:tc>
        <w:tc>
          <w:tcPr>
            <w:tcW w:w="163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ano</w:t>
            </w:r>
          </w:p>
        </w:tc>
        <w:tc>
          <w:tcPr>
            <w:tcW w:w="298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vše</w:t>
            </w:r>
          </w:p>
        </w:tc>
        <w:tc>
          <w:tcPr>
            <w:tcW w:w="3072"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w:t>
            </w:r>
          </w:p>
        </w:tc>
      </w:tr>
      <w:tr w:rsidR="00FE08FF" w:rsidRPr="00324B2D" w:rsidTr="008E0926">
        <w:tc>
          <w:tcPr>
            <w:tcW w:w="2084"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
                <w:bCs/>
                <w:color w:val="000000"/>
                <w:sz w:val="22"/>
              </w:rPr>
            </w:pPr>
            <w:r w:rsidRPr="00F77DD1">
              <w:rPr>
                <w:rFonts w:ascii="Arial" w:hAnsi="Arial" w:cs="Arial"/>
                <w:b/>
                <w:bCs/>
                <w:color w:val="000000"/>
                <w:sz w:val="22"/>
              </w:rPr>
              <w:t>528</w:t>
            </w:r>
          </w:p>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
                <w:bCs/>
                <w:color w:val="000000"/>
                <w:sz w:val="22"/>
              </w:rPr>
            </w:pPr>
            <w:r w:rsidRPr="00F77DD1">
              <w:rPr>
                <w:rFonts w:ascii="Arial" w:hAnsi="Arial" w:cs="Arial"/>
                <w:b/>
                <w:bCs/>
                <w:color w:val="000000"/>
                <w:sz w:val="16"/>
                <w:szCs w:val="16"/>
              </w:rPr>
              <w:t>Ostatní sociální náklady</w:t>
            </w:r>
          </w:p>
        </w:tc>
        <w:tc>
          <w:tcPr>
            <w:tcW w:w="163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ano</w:t>
            </w:r>
          </w:p>
        </w:tc>
        <w:tc>
          <w:tcPr>
            <w:tcW w:w="298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vše</w:t>
            </w:r>
          </w:p>
        </w:tc>
        <w:tc>
          <w:tcPr>
            <w:tcW w:w="3072"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w:t>
            </w:r>
          </w:p>
        </w:tc>
      </w:tr>
      <w:tr w:rsidR="00FE08FF" w:rsidRPr="00324B2D" w:rsidTr="008E0926">
        <w:tc>
          <w:tcPr>
            <w:tcW w:w="2084"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Cs/>
                <w:color w:val="000000"/>
                <w:sz w:val="22"/>
              </w:rPr>
            </w:pPr>
            <w:r w:rsidRPr="00F77DD1">
              <w:rPr>
                <w:rFonts w:ascii="Arial" w:hAnsi="Arial" w:cs="Arial"/>
                <w:bCs/>
                <w:color w:val="000000"/>
                <w:sz w:val="22"/>
              </w:rPr>
              <w:t>53.</w:t>
            </w:r>
          </w:p>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Cs/>
                <w:color w:val="000000"/>
                <w:sz w:val="16"/>
                <w:szCs w:val="16"/>
              </w:rPr>
            </w:pPr>
            <w:r w:rsidRPr="00F77DD1">
              <w:rPr>
                <w:rFonts w:ascii="Arial" w:hAnsi="Arial" w:cs="Arial"/>
                <w:bCs/>
                <w:color w:val="000000"/>
                <w:sz w:val="16"/>
                <w:szCs w:val="16"/>
              </w:rPr>
              <w:t>Daně a poplatky</w:t>
            </w:r>
          </w:p>
        </w:tc>
        <w:tc>
          <w:tcPr>
            <w:tcW w:w="163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Cs/>
                <w:color w:val="000000"/>
                <w:sz w:val="22"/>
              </w:rPr>
            </w:pPr>
            <w:r w:rsidRPr="00F77DD1">
              <w:rPr>
                <w:rFonts w:ascii="Arial" w:hAnsi="Arial" w:cs="Arial"/>
                <w:bCs/>
                <w:color w:val="000000"/>
                <w:sz w:val="22"/>
              </w:rPr>
              <w:t>ne</w:t>
            </w:r>
          </w:p>
        </w:tc>
        <w:tc>
          <w:tcPr>
            <w:tcW w:w="298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Cs/>
                <w:color w:val="000000"/>
                <w:sz w:val="22"/>
              </w:rPr>
            </w:pPr>
            <w:r w:rsidRPr="00F77DD1">
              <w:rPr>
                <w:rFonts w:ascii="Arial" w:hAnsi="Arial" w:cs="Arial"/>
                <w:bCs/>
                <w:color w:val="000000"/>
                <w:sz w:val="22"/>
              </w:rPr>
              <w:t>-</w:t>
            </w:r>
          </w:p>
        </w:tc>
        <w:tc>
          <w:tcPr>
            <w:tcW w:w="3072"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Cs/>
                <w:color w:val="000000"/>
                <w:sz w:val="22"/>
              </w:rPr>
            </w:pPr>
            <w:r w:rsidRPr="00F77DD1">
              <w:rPr>
                <w:rFonts w:ascii="Arial" w:hAnsi="Arial" w:cs="Arial"/>
                <w:bCs/>
                <w:color w:val="000000"/>
                <w:sz w:val="22"/>
              </w:rPr>
              <w:t>-</w:t>
            </w:r>
          </w:p>
        </w:tc>
      </w:tr>
      <w:tr w:rsidR="00FE08FF" w:rsidRPr="00324B2D" w:rsidTr="008E0926">
        <w:tc>
          <w:tcPr>
            <w:tcW w:w="2084"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
                <w:bCs/>
                <w:color w:val="000000"/>
                <w:sz w:val="22"/>
              </w:rPr>
            </w:pPr>
            <w:r w:rsidRPr="00F77DD1">
              <w:rPr>
                <w:rFonts w:ascii="Arial" w:hAnsi="Arial" w:cs="Arial"/>
                <w:b/>
                <w:bCs/>
                <w:color w:val="000000"/>
                <w:sz w:val="22"/>
              </w:rPr>
              <w:t>541</w:t>
            </w:r>
          </w:p>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
                <w:bCs/>
                <w:color w:val="000000"/>
                <w:sz w:val="16"/>
                <w:szCs w:val="16"/>
              </w:rPr>
            </w:pPr>
            <w:r w:rsidRPr="00F77DD1">
              <w:rPr>
                <w:rFonts w:ascii="Arial" w:hAnsi="Arial" w:cs="Arial"/>
                <w:b/>
                <w:bCs/>
                <w:color w:val="000000"/>
                <w:sz w:val="16"/>
                <w:szCs w:val="16"/>
              </w:rPr>
              <w:t>Zůstatková cena prodaného dlouhodobého majetku</w:t>
            </w:r>
          </w:p>
        </w:tc>
        <w:tc>
          <w:tcPr>
            <w:tcW w:w="163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ano</w:t>
            </w:r>
          </w:p>
        </w:tc>
        <w:tc>
          <w:tcPr>
            <w:tcW w:w="298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vše</w:t>
            </w:r>
          </w:p>
        </w:tc>
        <w:tc>
          <w:tcPr>
            <w:tcW w:w="3072"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w:t>
            </w:r>
          </w:p>
        </w:tc>
      </w:tr>
      <w:tr w:rsidR="00FE08FF" w:rsidRPr="00324B2D" w:rsidTr="008E0926">
        <w:tc>
          <w:tcPr>
            <w:tcW w:w="2084"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
                <w:bCs/>
                <w:color w:val="000000"/>
                <w:sz w:val="22"/>
              </w:rPr>
            </w:pPr>
            <w:r w:rsidRPr="00F77DD1">
              <w:rPr>
                <w:rFonts w:ascii="Arial" w:hAnsi="Arial" w:cs="Arial"/>
                <w:b/>
                <w:bCs/>
                <w:color w:val="000000"/>
                <w:sz w:val="22"/>
              </w:rPr>
              <w:t>542</w:t>
            </w:r>
          </w:p>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
                <w:bCs/>
                <w:color w:val="000000"/>
                <w:sz w:val="16"/>
                <w:szCs w:val="16"/>
              </w:rPr>
            </w:pPr>
            <w:r w:rsidRPr="00F77DD1">
              <w:rPr>
                <w:rFonts w:ascii="Arial" w:hAnsi="Arial" w:cs="Arial"/>
                <w:b/>
                <w:bCs/>
                <w:color w:val="000000"/>
                <w:sz w:val="16"/>
                <w:szCs w:val="16"/>
              </w:rPr>
              <w:t>Prodaný materiál</w:t>
            </w:r>
          </w:p>
        </w:tc>
        <w:tc>
          <w:tcPr>
            <w:tcW w:w="163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ano</w:t>
            </w:r>
          </w:p>
        </w:tc>
        <w:tc>
          <w:tcPr>
            <w:tcW w:w="298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vše</w:t>
            </w:r>
          </w:p>
        </w:tc>
        <w:tc>
          <w:tcPr>
            <w:tcW w:w="3072"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w:t>
            </w:r>
          </w:p>
        </w:tc>
      </w:tr>
      <w:tr w:rsidR="00FE08FF" w:rsidRPr="00324B2D" w:rsidTr="008E0926">
        <w:tc>
          <w:tcPr>
            <w:tcW w:w="2084"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Cs/>
                <w:color w:val="000000"/>
                <w:sz w:val="22"/>
              </w:rPr>
            </w:pPr>
            <w:r w:rsidRPr="00F77DD1">
              <w:rPr>
                <w:rFonts w:ascii="Arial" w:hAnsi="Arial" w:cs="Arial"/>
                <w:bCs/>
                <w:color w:val="000000"/>
                <w:sz w:val="22"/>
              </w:rPr>
              <w:t>543</w:t>
            </w:r>
          </w:p>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Cs/>
                <w:color w:val="000000"/>
                <w:sz w:val="16"/>
                <w:szCs w:val="16"/>
              </w:rPr>
            </w:pPr>
            <w:r w:rsidRPr="00F77DD1">
              <w:rPr>
                <w:rFonts w:ascii="Arial" w:hAnsi="Arial" w:cs="Arial"/>
                <w:bCs/>
                <w:color w:val="000000"/>
                <w:sz w:val="16"/>
                <w:szCs w:val="16"/>
              </w:rPr>
              <w:t>Dary</w:t>
            </w:r>
          </w:p>
        </w:tc>
        <w:tc>
          <w:tcPr>
            <w:tcW w:w="163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Cs/>
                <w:color w:val="000000"/>
                <w:sz w:val="22"/>
              </w:rPr>
            </w:pPr>
            <w:r w:rsidRPr="00F77DD1">
              <w:rPr>
                <w:rFonts w:ascii="Arial" w:hAnsi="Arial" w:cs="Arial"/>
                <w:bCs/>
                <w:color w:val="000000"/>
                <w:sz w:val="22"/>
              </w:rPr>
              <w:t>ne</w:t>
            </w:r>
          </w:p>
        </w:tc>
        <w:tc>
          <w:tcPr>
            <w:tcW w:w="298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Cs/>
                <w:color w:val="000000"/>
                <w:sz w:val="22"/>
              </w:rPr>
            </w:pPr>
            <w:r w:rsidRPr="00F77DD1">
              <w:rPr>
                <w:rFonts w:ascii="Arial" w:hAnsi="Arial" w:cs="Arial"/>
                <w:bCs/>
                <w:color w:val="000000"/>
                <w:sz w:val="22"/>
              </w:rPr>
              <w:t>-</w:t>
            </w:r>
          </w:p>
        </w:tc>
        <w:tc>
          <w:tcPr>
            <w:tcW w:w="3072"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Cs/>
                <w:color w:val="000000"/>
                <w:sz w:val="22"/>
              </w:rPr>
            </w:pPr>
            <w:r w:rsidRPr="00F77DD1">
              <w:rPr>
                <w:rFonts w:ascii="Arial" w:hAnsi="Arial" w:cs="Arial"/>
                <w:bCs/>
                <w:color w:val="000000"/>
                <w:sz w:val="22"/>
              </w:rPr>
              <w:t>-</w:t>
            </w:r>
          </w:p>
        </w:tc>
      </w:tr>
      <w:tr w:rsidR="00FE08FF" w:rsidRPr="00324B2D" w:rsidTr="008E0926">
        <w:tc>
          <w:tcPr>
            <w:tcW w:w="2084"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Cs/>
                <w:color w:val="000000"/>
                <w:sz w:val="22"/>
              </w:rPr>
            </w:pPr>
            <w:r w:rsidRPr="00F77DD1">
              <w:rPr>
                <w:rFonts w:ascii="Arial" w:hAnsi="Arial" w:cs="Arial"/>
                <w:bCs/>
                <w:color w:val="000000"/>
                <w:sz w:val="22"/>
              </w:rPr>
              <w:t>544</w:t>
            </w:r>
          </w:p>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Cs/>
                <w:color w:val="000000"/>
                <w:sz w:val="16"/>
                <w:szCs w:val="16"/>
              </w:rPr>
            </w:pPr>
            <w:r w:rsidRPr="00F77DD1">
              <w:rPr>
                <w:rFonts w:ascii="Arial" w:hAnsi="Arial" w:cs="Arial"/>
                <w:bCs/>
                <w:color w:val="000000"/>
                <w:sz w:val="16"/>
                <w:szCs w:val="16"/>
              </w:rPr>
              <w:t>Smluvní pokuty a úroky z prodlení</w:t>
            </w:r>
          </w:p>
        </w:tc>
        <w:tc>
          <w:tcPr>
            <w:tcW w:w="163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Cs/>
                <w:color w:val="000000"/>
                <w:sz w:val="22"/>
              </w:rPr>
            </w:pPr>
            <w:r w:rsidRPr="00F77DD1">
              <w:rPr>
                <w:rFonts w:ascii="Arial" w:hAnsi="Arial" w:cs="Arial"/>
                <w:bCs/>
                <w:color w:val="000000"/>
                <w:sz w:val="22"/>
              </w:rPr>
              <w:t>ne</w:t>
            </w:r>
          </w:p>
        </w:tc>
        <w:tc>
          <w:tcPr>
            <w:tcW w:w="298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Cs/>
                <w:color w:val="000000"/>
                <w:sz w:val="22"/>
              </w:rPr>
            </w:pPr>
            <w:r w:rsidRPr="00F77DD1">
              <w:rPr>
                <w:rFonts w:ascii="Arial" w:hAnsi="Arial" w:cs="Arial"/>
                <w:bCs/>
                <w:color w:val="000000"/>
                <w:sz w:val="22"/>
              </w:rPr>
              <w:t>-</w:t>
            </w:r>
          </w:p>
        </w:tc>
        <w:tc>
          <w:tcPr>
            <w:tcW w:w="3072"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Cs/>
                <w:color w:val="000000"/>
                <w:sz w:val="22"/>
              </w:rPr>
            </w:pPr>
            <w:r w:rsidRPr="00F77DD1">
              <w:rPr>
                <w:rFonts w:ascii="Arial" w:hAnsi="Arial" w:cs="Arial"/>
                <w:bCs/>
                <w:color w:val="000000"/>
                <w:sz w:val="22"/>
              </w:rPr>
              <w:t>-</w:t>
            </w:r>
          </w:p>
        </w:tc>
      </w:tr>
      <w:tr w:rsidR="00FE08FF" w:rsidRPr="00324B2D" w:rsidTr="008E0926">
        <w:tc>
          <w:tcPr>
            <w:tcW w:w="2084"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Cs/>
                <w:color w:val="000000"/>
                <w:sz w:val="16"/>
                <w:szCs w:val="16"/>
              </w:rPr>
            </w:pPr>
            <w:r w:rsidRPr="00F77DD1">
              <w:rPr>
                <w:rFonts w:ascii="Arial" w:hAnsi="Arial" w:cs="Arial"/>
                <w:bCs/>
                <w:color w:val="000000"/>
                <w:sz w:val="22"/>
              </w:rPr>
              <w:t>545</w:t>
            </w:r>
          </w:p>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Cs/>
                <w:color w:val="000000"/>
                <w:sz w:val="22"/>
              </w:rPr>
            </w:pPr>
            <w:r w:rsidRPr="00F77DD1">
              <w:rPr>
                <w:rFonts w:ascii="Arial" w:hAnsi="Arial" w:cs="Arial"/>
                <w:bCs/>
                <w:color w:val="000000"/>
                <w:sz w:val="16"/>
                <w:szCs w:val="16"/>
              </w:rPr>
              <w:t>Ostatní pokuty a penále</w:t>
            </w:r>
          </w:p>
        </w:tc>
        <w:tc>
          <w:tcPr>
            <w:tcW w:w="163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Cs/>
                <w:color w:val="000000"/>
                <w:sz w:val="22"/>
              </w:rPr>
            </w:pPr>
            <w:r w:rsidRPr="00F77DD1">
              <w:rPr>
                <w:rFonts w:ascii="Arial" w:hAnsi="Arial" w:cs="Arial"/>
                <w:bCs/>
                <w:color w:val="000000"/>
                <w:sz w:val="22"/>
              </w:rPr>
              <w:t>ne</w:t>
            </w:r>
          </w:p>
        </w:tc>
        <w:tc>
          <w:tcPr>
            <w:tcW w:w="298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Cs/>
                <w:color w:val="000000"/>
                <w:sz w:val="22"/>
              </w:rPr>
            </w:pPr>
            <w:r w:rsidRPr="00F77DD1">
              <w:rPr>
                <w:rFonts w:ascii="Arial" w:hAnsi="Arial" w:cs="Arial"/>
                <w:bCs/>
                <w:color w:val="000000"/>
                <w:sz w:val="22"/>
              </w:rPr>
              <w:t>-</w:t>
            </w:r>
          </w:p>
        </w:tc>
        <w:tc>
          <w:tcPr>
            <w:tcW w:w="3072"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Cs/>
                <w:color w:val="000000"/>
                <w:sz w:val="22"/>
              </w:rPr>
            </w:pPr>
            <w:r w:rsidRPr="00F77DD1">
              <w:rPr>
                <w:rFonts w:ascii="Arial" w:hAnsi="Arial" w:cs="Arial"/>
                <w:bCs/>
                <w:color w:val="000000"/>
                <w:sz w:val="22"/>
              </w:rPr>
              <w:t>-</w:t>
            </w:r>
          </w:p>
        </w:tc>
      </w:tr>
      <w:tr w:rsidR="00FE08FF" w:rsidRPr="00324B2D" w:rsidTr="008E0926">
        <w:tc>
          <w:tcPr>
            <w:tcW w:w="2084"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Cs/>
                <w:color w:val="000000"/>
                <w:sz w:val="22"/>
              </w:rPr>
            </w:pPr>
            <w:r w:rsidRPr="00F77DD1">
              <w:rPr>
                <w:rFonts w:ascii="Arial" w:hAnsi="Arial" w:cs="Arial"/>
                <w:bCs/>
                <w:color w:val="000000"/>
                <w:sz w:val="22"/>
              </w:rPr>
              <w:t>546</w:t>
            </w:r>
          </w:p>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Cs/>
                <w:color w:val="000000"/>
                <w:sz w:val="16"/>
                <w:szCs w:val="16"/>
              </w:rPr>
            </w:pPr>
            <w:r w:rsidRPr="00F77DD1">
              <w:rPr>
                <w:rFonts w:ascii="Arial" w:hAnsi="Arial" w:cs="Arial"/>
                <w:bCs/>
                <w:color w:val="000000"/>
                <w:sz w:val="16"/>
                <w:szCs w:val="16"/>
              </w:rPr>
              <w:t>Odpis pohledávek</w:t>
            </w:r>
          </w:p>
        </w:tc>
        <w:tc>
          <w:tcPr>
            <w:tcW w:w="163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Cs/>
                <w:color w:val="000000"/>
                <w:sz w:val="22"/>
              </w:rPr>
            </w:pPr>
            <w:r w:rsidRPr="00F77DD1">
              <w:rPr>
                <w:rFonts w:ascii="Arial" w:hAnsi="Arial" w:cs="Arial"/>
                <w:bCs/>
                <w:color w:val="000000"/>
                <w:sz w:val="22"/>
              </w:rPr>
              <w:t>ne</w:t>
            </w:r>
          </w:p>
        </w:tc>
        <w:tc>
          <w:tcPr>
            <w:tcW w:w="298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Cs/>
                <w:color w:val="000000"/>
                <w:sz w:val="22"/>
              </w:rPr>
            </w:pPr>
            <w:r w:rsidRPr="00F77DD1">
              <w:rPr>
                <w:rFonts w:ascii="Arial" w:hAnsi="Arial" w:cs="Arial"/>
                <w:bCs/>
                <w:color w:val="000000"/>
                <w:sz w:val="22"/>
              </w:rPr>
              <w:t>-</w:t>
            </w:r>
          </w:p>
        </w:tc>
        <w:tc>
          <w:tcPr>
            <w:tcW w:w="3072"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Cs/>
                <w:color w:val="000000"/>
                <w:sz w:val="22"/>
              </w:rPr>
            </w:pPr>
            <w:r w:rsidRPr="00F77DD1">
              <w:rPr>
                <w:rFonts w:ascii="Arial" w:hAnsi="Arial" w:cs="Arial"/>
                <w:bCs/>
                <w:color w:val="000000"/>
                <w:sz w:val="22"/>
              </w:rPr>
              <w:t>-</w:t>
            </w:r>
          </w:p>
        </w:tc>
      </w:tr>
      <w:tr w:rsidR="00FE08FF" w:rsidRPr="00324B2D" w:rsidTr="008E0926">
        <w:tc>
          <w:tcPr>
            <w:tcW w:w="2084"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
                <w:bCs/>
                <w:color w:val="000000"/>
                <w:sz w:val="22"/>
              </w:rPr>
            </w:pPr>
            <w:r w:rsidRPr="00F77DD1">
              <w:rPr>
                <w:rFonts w:ascii="Arial" w:hAnsi="Arial" w:cs="Arial"/>
                <w:b/>
                <w:bCs/>
                <w:color w:val="000000"/>
                <w:sz w:val="22"/>
              </w:rPr>
              <w:t>548</w:t>
            </w:r>
          </w:p>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
                <w:bCs/>
                <w:color w:val="000000"/>
                <w:sz w:val="16"/>
                <w:szCs w:val="16"/>
              </w:rPr>
            </w:pPr>
            <w:r w:rsidRPr="00F77DD1">
              <w:rPr>
                <w:rFonts w:ascii="Arial" w:hAnsi="Arial" w:cs="Arial"/>
                <w:b/>
                <w:bCs/>
                <w:color w:val="000000"/>
                <w:sz w:val="16"/>
                <w:szCs w:val="16"/>
              </w:rPr>
              <w:t>Ostatní provozní náklady</w:t>
            </w:r>
          </w:p>
        </w:tc>
        <w:tc>
          <w:tcPr>
            <w:tcW w:w="163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ano</w:t>
            </w:r>
          </w:p>
        </w:tc>
        <w:tc>
          <w:tcPr>
            <w:tcW w:w="298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vše kromě účtu nákladů na změnu metody</w:t>
            </w:r>
          </w:p>
        </w:tc>
        <w:tc>
          <w:tcPr>
            <w:tcW w:w="3072"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náklady na změnu metody</w:t>
            </w:r>
          </w:p>
        </w:tc>
      </w:tr>
      <w:tr w:rsidR="00FE08FF" w:rsidRPr="00324B2D" w:rsidTr="008E0926">
        <w:tc>
          <w:tcPr>
            <w:tcW w:w="2084"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Cs/>
                <w:color w:val="000000"/>
                <w:sz w:val="22"/>
              </w:rPr>
            </w:pPr>
            <w:r w:rsidRPr="00F77DD1">
              <w:rPr>
                <w:rFonts w:ascii="Arial" w:hAnsi="Arial" w:cs="Arial"/>
                <w:bCs/>
                <w:color w:val="000000"/>
                <w:sz w:val="22"/>
              </w:rPr>
              <w:t>549</w:t>
            </w:r>
          </w:p>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Cs/>
                <w:color w:val="000000"/>
                <w:sz w:val="16"/>
                <w:szCs w:val="16"/>
              </w:rPr>
            </w:pPr>
            <w:r w:rsidRPr="00F77DD1">
              <w:rPr>
                <w:rFonts w:ascii="Arial" w:hAnsi="Arial" w:cs="Arial"/>
                <w:bCs/>
                <w:color w:val="000000"/>
                <w:sz w:val="16"/>
                <w:szCs w:val="16"/>
              </w:rPr>
              <w:t>Manka a škody z provozní činnosti</w:t>
            </w:r>
          </w:p>
        </w:tc>
        <w:tc>
          <w:tcPr>
            <w:tcW w:w="163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Cs/>
                <w:color w:val="000000"/>
                <w:sz w:val="22"/>
              </w:rPr>
            </w:pPr>
            <w:r w:rsidRPr="00F77DD1">
              <w:rPr>
                <w:rFonts w:ascii="Arial" w:hAnsi="Arial" w:cs="Arial"/>
                <w:bCs/>
                <w:color w:val="000000"/>
                <w:sz w:val="22"/>
              </w:rPr>
              <w:t>ne</w:t>
            </w:r>
          </w:p>
        </w:tc>
        <w:tc>
          <w:tcPr>
            <w:tcW w:w="298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Cs/>
                <w:color w:val="000000"/>
                <w:sz w:val="22"/>
              </w:rPr>
            </w:pPr>
            <w:r w:rsidRPr="00F77DD1">
              <w:rPr>
                <w:rFonts w:ascii="Arial" w:hAnsi="Arial" w:cs="Arial"/>
                <w:bCs/>
                <w:color w:val="000000"/>
                <w:sz w:val="22"/>
              </w:rPr>
              <w:t>-</w:t>
            </w:r>
          </w:p>
        </w:tc>
        <w:tc>
          <w:tcPr>
            <w:tcW w:w="3072"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Cs/>
                <w:color w:val="000000"/>
                <w:sz w:val="22"/>
              </w:rPr>
            </w:pPr>
            <w:r w:rsidRPr="00F77DD1">
              <w:rPr>
                <w:rFonts w:ascii="Arial" w:hAnsi="Arial" w:cs="Arial"/>
                <w:bCs/>
                <w:color w:val="000000"/>
                <w:sz w:val="22"/>
              </w:rPr>
              <w:t>-</w:t>
            </w:r>
          </w:p>
        </w:tc>
      </w:tr>
      <w:tr w:rsidR="00FE08FF" w:rsidRPr="00324B2D" w:rsidTr="008E0926">
        <w:tc>
          <w:tcPr>
            <w:tcW w:w="2084"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
                <w:bCs/>
                <w:color w:val="000000"/>
                <w:sz w:val="22"/>
              </w:rPr>
            </w:pPr>
            <w:r w:rsidRPr="00F77DD1">
              <w:rPr>
                <w:rFonts w:ascii="Arial" w:hAnsi="Arial" w:cs="Arial"/>
                <w:b/>
                <w:bCs/>
                <w:color w:val="000000"/>
                <w:sz w:val="22"/>
              </w:rPr>
              <w:t>551</w:t>
            </w:r>
          </w:p>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
                <w:bCs/>
                <w:color w:val="000000"/>
                <w:sz w:val="16"/>
                <w:szCs w:val="16"/>
              </w:rPr>
            </w:pPr>
            <w:r w:rsidRPr="00F77DD1">
              <w:rPr>
                <w:rFonts w:ascii="Arial" w:hAnsi="Arial" w:cs="Arial"/>
                <w:b/>
                <w:bCs/>
                <w:color w:val="000000"/>
                <w:sz w:val="16"/>
                <w:szCs w:val="16"/>
              </w:rPr>
              <w:t>Odpisy</w:t>
            </w:r>
          </w:p>
        </w:tc>
        <w:tc>
          <w:tcPr>
            <w:tcW w:w="163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ano</w:t>
            </w:r>
          </w:p>
        </w:tc>
        <w:tc>
          <w:tcPr>
            <w:tcW w:w="298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vše</w:t>
            </w:r>
          </w:p>
        </w:tc>
        <w:tc>
          <w:tcPr>
            <w:tcW w:w="3072"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w:t>
            </w:r>
          </w:p>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p>
        </w:tc>
      </w:tr>
      <w:tr w:rsidR="00FE08FF" w:rsidRPr="00324B2D" w:rsidTr="008E0926">
        <w:tc>
          <w:tcPr>
            <w:tcW w:w="2084"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Cs/>
                <w:color w:val="000000"/>
                <w:sz w:val="22"/>
              </w:rPr>
            </w:pPr>
            <w:r w:rsidRPr="00F77DD1">
              <w:rPr>
                <w:rFonts w:ascii="Arial" w:hAnsi="Arial" w:cs="Arial"/>
                <w:bCs/>
                <w:color w:val="000000"/>
                <w:sz w:val="22"/>
              </w:rPr>
              <w:t>55. vyjma účtu 551</w:t>
            </w:r>
          </w:p>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Cs/>
                <w:color w:val="000000"/>
                <w:sz w:val="16"/>
                <w:szCs w:val="16"/>
              </w:rPr>
            </w:pPr>
            <w:r w:rsidRPr="00F77DD1">
              <w:rPr>
                <w:rFonts w:ascii="Arial" w:hAnsi="Arial" w:cs="Arial"/>
                <w:bCs/>
                <w:color w:val="000000"/>
                <w:sz w:val="16"/>
                <w:szCs w:val="16"/>
              </w:rPr>
              <w:t>Odpisy, rezervy, komplexní náklady příštích období a opravné položky v provozní oblasti</w:t>
            </w:r>
          </w:p>
        </w:tc>
        <w:tc>
          <w:tcPr>
            <w:tcW w:w="163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Cs/>
                <w:color w:val="000000"/>
                <w:sz w:val="22"/>
              </w:rPr>
            </w:pPr>
            <w:r w:rsidRPr="00F77DD1">
              <w:rPr>
                <w:rFonts w:ascii="Arial" w:hAnsi="Arial" w:cs="Arial"/>
                <w:bCs/>
                <w:color w:val="000000"/>
                <w:sz w:val="22"/>
              </w:rPr>
              <w:t>ne</w:t>
            </w:r>
          </w:p>
        </w:tc>
        <w:tc>
          <w:tcPr>
            <w:tcW w:w="298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Cs/>
                <w:color w:val="000000"/>
                <w:sz w:val="22"/>
              </w:rPr>
            </w:pPr>
            <w:r w:rsidRPr="00F77DD1">
              <w:rPr>
                <w:rFonts w:ascii="Arial" w:hAnsi="Arial" w:cs="Arial"/>
                <w:bCs/>
                <w:color w:val="000000"/>
                <w:sz w:val="22"/>
              </w:rPr>
              <w:t>-</w:t>
            </w:r>
          </w:p>
        </w:tc>
        <w:tc>
          <w:tcPr>
            <w:tcW w:w="3072"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Cs/>
                <w:color w:val="000000"/>
                <w:sz w:val="22"/>
              </w:rPr>
            </w:pPr>
            <w:r w:rsidRPr="00F77DD1">
              <w:rPr>
                <w:rFonts w:ascii="Arial" w:hAnsi="Arial" w:cs="Arial"/>
                <w:bCs/>
                <w:color w:val="000000"/>
                <w:sz w:val="22"/>
              </w:rPr>
              <w:t>-</w:t>
            </w:r>
          </w:p>
        </w:tc>
      </w:tr>
      <w:tr w:rsidR="00FE08FF" w:rsidRPr="00324B2D" w:rsidTr="008E0926">
        <w:tc>
          <w:tcPr>
            <w:tcW w:w="2084"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Cs/>
                <w:color w:val="000000"/>
                <w:sz w:val="22"/>
              </w:rPr>
            </w:pPr>
            <w:r w:rsidRPr="00F77DD1">
              <w:rPr>
                <w:rFonts w:ascii="Arial" w:hAnsi="Arial" w:cs="Arial"/>
                <w:bCs/>
                <w:color w:val="000000"/>
                <w:sz w:val="22"/>
              </w:rPr>
              <w:t>56.</w:t>
            </w:r>
          </w:p>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Cs/>
                <w:color w:val="000000"/>
                <w:sz w:val="16"/>
                <w:szCs w:val="16"/>
              </w:rPr>
            </w:pPr>
            <w:r w:rsidRPr="00F77DD1">
              <w:rPr>
                <w:rFonts w:ascii="Arial" w:hAnsi="Arial" w:cs="Arial"/>
                <w:bCs/>
                <w:color w:val="000000"/>
                <w:sz w:val="16"/>
                <w:szCs w:val="16"/>
              </w:rPr>
              <w:t>Finanční náklady</w:t>
            </w:r>
          </w:p>
        </w:tc>
        <w:tc>
          <w:tcPr>
            <w:tcW w:w="163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Cs/>
                <w:color w:val="000000"/>
                <w:sz w:val="22"/>
              </w:rPr>
            </w:pPr>
            <w:r w:rsidRPr="00F77DD1">
              <w:rPr>
                <w:rFonts w:ascii="Arial" w:hAnsi="Arial" w:cs="Arial"/>
                <w:bCs/>
                <w:color w:val="000000"/>
                <w:sz w:val="22"/>
              </w:rPr>
              <w:t>ne</w:t>
            </w:r>
          </w:p>
        </w:tc>
        <w:tc>
          <w:tcPr>
            <w:tcW w:w="298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Cs/>
                <w:color w:val="000000"/>
                <w:sz w:val="22"/>
              </w:rPr>
            </w:pPr>
            <w:r w:rsidRPr="00F77DD1">
              <w:rPr>
                <w:rFonts w:ascii="Arial" w:hAnsi="Arial" w:cs="Arial"/>
                <w:bCs/>
                <w:color w:val="000000"/>
                <w:sz w:val="22"/>
              </w:rPr>
              <w:t>-</w:t>
            </w:r>
          </w:p>
        </w:tc>
        <w:tc>
          <w:tcPr>
            <w:tcW w:w="3072"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Cs/>
                <w:color w:val="000000"/>
                <w:sz w:val="22"/>
              </w:rPr>
            </w:pPr>
            <w:r w:rsidRPr="00F77DD1">
              <w:rPr>
                <w:rFonts w:ascii="Arial" w:hAnsi="Arial" w:cs="Arial"/>
                <w:bCs/>
                <w:color w:val="000000"/>
                <w:sz w:val="22"/>
              </w:rPr>
              <w:t>-</w:t>
            </w:r>
          </w:p>
        </w:tc>
      </w:tr>
      <w:tr w:rsidR="00FE08FF" w:rsidRPr="00324B2D" w:rsidTr="008E0926">
        <w:tc>
          <w:tcPr>
            <w:tcW w:w="2084"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Cs/>
                <w:color w:val="000000"/>
                <w:sz w:val="22"/>
              </w:rPr>
            </w:pPr>
          </w:p>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Cs/>
                <w:color w:val="000000"/>
                <w:sz w:val="22"/>
              </w:rPr>
            </w:pPr>
            <w:r w:rsidRPr="00F77DD1">
              <w:rPr>
                <w:rFonts w:ascii="Arial" w:hAnsi="Arial" w:cs="Arial"/>
                <w:bCs/>
                <w:color w:val="000000"/>
                <w:sz w:val="22"/>
              </w:rPr>
              <w:t>57.</w:t>
            </w:r>
          </w:p>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Cs/>
                <w:color w:val="000000"/>
                <w:sz w:val="16"/>
                <w:szCs w:val="16"/>
              </w:rPr>
            </w:pPr>
            <w:r w:rsidRPr="00F77DD1">
              <w:rPr>
                <w:rFonts w:ascii="Arial" w:hAnsi="Arial" w:cs="Arial"/>
                <w:bCs/>
                <w:color w:val="000000"/>
                <w:sz w:val="16"/>
                <w:szCs w:val="16"/>
              </w:rPr>
              <w:t>Rezervy a opravné položky ve finanční oblasti</w:t>
            </w:r>
          </w:p>
        </w:tc>
        <w:tc>
          <w:tcPr>
            <w:tcW w:w="163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Cs/>
                <w:color w:val="000000"/>
                <w:sz w:val="22"/>
              </w:rPr>
            </w:pPr>
          </w:p>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Cs/>
                <w:color w:val="000000"/>
                <w:sz w:val="22"/>
              </w:rPr>
            </w:pPr>
            <w:r w:rsidRPr="00F77DD1">
              <w:rPr>
                <w:rFonts w:ascii="Arial" w:hAnsi="Arial" w:cs="Arial"/>
                <w:bCs/>
                <w:color w:val="000000"/>
                <w:sz w:val="22"/>
              </w:rPr>
              <w:t>ne</w:t>
            </w:r>
          </w:p>
        </w:tc>
        <w:tc>
          <w:tcPr>
            <w:tcW w:w="2988"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Cs/>
                <w:color w:val="000000"/>
                <w:sz w:val="22"/>
              </w:rPr>
            </w:pPr>
          </w:p>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Cs/>
                <w:color w:val="000000"/>
                <w:sz w:val="22"/>
              </w:rPr>
            </w:pPr>
            <w:r w:rsidRPr="00F77DD1">
              <w:rPr>
                <w:rFonts w:ascii="Arial" w:hAnsi="Arial" w:cs="Arial"/>
                <w:bCs/>
                <w:color w:val="000000"/>
                <w:sz w:val="22"/>
              </w:rPr>
              <w:t>-</w:t>
            </w:r>
          </w:p>
        </w:tc>
        <w:tc>
          <w:tcPr>
            <w:tcW w:w="3072"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Cs/>
                <w:color w:val="000000"/>
                <w:sz w:val="22"/>
              </w:rPr>
            </w:pPr>
          </w:p>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Cs/>
                <w:color w:val="000000"/>
                <w:sz w:val="22"/>
              </w:rPr>
            </w:pPr>
            <w:r w:rsidRPr="00F77DD1">
              <w:rPr>
                <w:rFonts w:ascii="Arial" w:hAnsi="Arial" w:cs="Arial"/>
                <w:bCs/>
                <w:color w:val="000000"/>
                <w:sz w:val="22"/>
              </w:rPr>
              <w:t>-</w:t>
            </w:r>
          </w:p>
        </w:tc>
      </w:tr>
      <w:tr w:rsidR="00FE08FF" w:rsidRPr="00E30C50" w:rsidTr="008E0926">
        <w:tc>
          <w:tcPr>
            <w:tcW w:w="2084" w:type="dxa"/>
            <w:tcBorders>
              <w:bottom w:val="single" w:sz="4" w:space="0" w:color="auto"/>
            </w:tcBorders>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
                <w:bCs/>
                <w:color w:val="000000"/>
                <w:sz w:val="22"/>
              </w:rPr>
            </w:pPr>
            <w:r w:rsidRPr="00F77DD1">
              <w:rPr>
                <w:rFonts w:ascii="Arial" w:hAnsi="Arial" w:cs="Arial"/>
                <w:b/>
                <w:bCs/>
                <w:color w:val="000000"/>
                <w:sz w:val="22"/>
              </w:rPr>
              <w:t>58.</w:t>
            </w:r>
          </w:p>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
                <w:bCs/>
                <w:color w:val="000000"/>
                <w:sz w:val="16"/>
                <w:szCs w:val="16"/>
              </w:rPr>
            </w:pPr>
            <w:r w:rsidRPr="00F77DD1">
              <w:rPr>
                <w:rFonts w:ascii="Arial" w:hAnsi="Arial" w:cs="Arial"/>
                <w:b/>
                <w:bCs/>
                <w:color w:val="000000"/>
                <w:sz w:val="16"/>
                <w:szCs w:val="16"/>
              </w:rPr>
              <w:t>Změna stavu zásob vlastní činností a aktivace</w:t>
            </w:r>
          </w:p>
        </w:tc>
        <w:tc>
          <w:tcPr>
            <w:tcW w:w="1638" w:type="dxa"/>
            <w:tcBorders>
              <w:bottom w:val="single" w:sz="4" w:space="0" w:color="auto"/>
            </w:tcBorders>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ano</w:t>
            </w:r>
          </w:p>
        </w:tc>
        <w:tc>
          <w:tcPr>
            <w:tcW w:w="2988" w:type="dxa"/>
            <w:tcBorders>
              <w:bottom w:val="single" w:sz="4" w:space="0" w:color="auto"/>
            </w:tcBorders>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vše</w:t>
            </w:r>
          </w:p>
        </w:tc>
        <w:tc>
          <w:tcPr>
            <w:tcW w:w="3072" w:type="dxa"/>
            <w:tcBorders>
              <w:bottom w:val="single" w:sz="4" w:space="0" w:color="auto"/>
            </w:tcBorders>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w:t>
            </w:r>
          </w:p>
        </w:tc>
      </w:tr>
      <w:tr w:rsidR="00FE08FF" w:rsidRPr="00324B2D" w:rsidTr="008E0926">
        <w:tc>
          <w:tcPr>
            <w:tcW w:w="2084" w:type="dxa"/>
            <w:tcBorders>
              <w:top w:val="single" w:sz="4" w:space="0" w:color="auto"/>
              <w:left w:val="single" w:sz="4" w:space="0" w:color="auto"/>
              <w:bottom w:val="single" w:sz="4" w:space="0" w:color="auto"/>
              <w:right w:val="single" w:sz="4" w:space="0" w:color="auto"/>
            </w:tcBorders>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Cs/>
                <w:color w:val="000000"/>
                <w:sz w:val="22"/>
              </w:rPr>
            </w:pPr>
            <w:r w:rsidRPr="00F77DD1">
              <w:rPr>
                <w:rFonts w:ascii="Arial" w:hAnsi="Arial" w:cs="Arial"/>
                <w:bCs/>
                <w:color w:val="000000"/>
                <w:sz w:val="22"/>
              </w:rPr>
              <w:t>59.</w:t>
            </w:r>
          </w:p>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Cs/>
                <w:color w:val="000000"/>
                <w:sz w:val="16"/>
                <w:szCs w:val="16"/>
              </w:rPr>
            </w:pPr>
            <w:r w:rsidRPr="00F77DD1">
              <w:rPr>
                <w:rFonts w:ascii="Arial" w:hAnsi="Arial" w:cs="Arial"/>
                <w:bCs/>
                <w:color w:val="000000"/>
                <w:sz w:val="16"/>
                <w:szCs w:val="16"/>
              </w:rPr>
              <w:t>Daně z příjmů, převodové účty a rezerva na daň z příjmů</w:t>
            </w: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Cs/>
                <w:color w:val="000000"/>
                <w:sz w:val="22"/>
              </w:rPr>
            </w:pPr>
            <w:r w:rsidRPr="00F77DD1">
              <w:rPr>
                <w:rFonts w:ascii="Arial" w:hAnsi="Arial" w:cs="Arial"/>
                <w:bCs/>
                <w:color w:val="000000"/>
                <w:sz w:val="22"/>
              </w:rPr>
              <w:t>ne</w:t>
            </w:r>
          </w:p>
        </w:tc>
        <w:tc>
          <w:tcPr>
            <w:tcW w:w="2988" w:type="dxa"/>
            <w:tcBorders>
              <w:top w:val="single" w:sz="4" w:space="0" w:color="auto"/>
              <w:left w:val="single" w:sz="4" w:space="0" w:color="auto"/>
              <w:bottom w:val="single" w:sz="4" w:space="0" w:color="auto"/>
              <w:right w:val="single" w:sz="4" w:space="0" w:color="auto"/>
            </w:tcBorders>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Cs/>
                <w:color w:val="000000"/>
                <w:sz w:val="22"/>
              </w:rPr>
            </w:pPr>
            <w:r w:rsidRPr="00F77DD1">
              <w:rPr>
                <w:rFonts w:ascii="Arial" w:hAnsi="Arial" w:cs="Arial"/>
                <w:bCs/>
                <w:color w:val="000000"/>
                <w:sz w:val="22"/>
              </w:rPr>
              <w:t>-</w:t>
            </w:r>
          </w:p>
        </w:tc>
        <w:tc>
          <w:tcPr>
            <w:tcW w:w="3072" w:type="dxa"/>
            <w:tcBorders>
              <w:top w:val="single" w:sz="4" w:space="0" w:color="auto"/>
              <w:left w:val="single" w:sz="4" w:space="0" w:color="auto"/>
              <w:bottom w:val="single" w:sz="4" w:space="0" w:color="auto"/>
              <w:right w:val="single" w:sz="4" w:space="0" w:color="auto"/>
            </w:tcBorders>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Cs/>
                <w:color w:val="000000"/>
                <w:sz w:val="22"/>
              </w:rPr>
            </w:pPr>
            <w:r w:rsidRPr="00F77DD1">
              <w:rPr>
                <w:rFonts w:ascii="Arial" w:hAnsi="Arial" w:cs="Arial"/>
                <w:bCs/>
                <w:color w:val="000000"/>
                <w:sz w:val="22"/>
              </w:rPr>
              <w:t>-</w:t>
            </w:r>
          </w:p>
        </w:tc>
      </w:tr>
    </w:tbl>
    <w:p w:rsidR="00FE08FF" w:rsidRPr="00324B2D" w:rsidRDefault="00FE08FF" w:rsidP="00FE08FF">
      <w:pPr>
        <w:pStyle w:val="Normlnweb"/>
        <w:autoSpaceDE w:val="0"/>
        <w:autoSpaceDN w:val="0"/>
        <w:adjustRightInd w:val="0"/>
        <w:spacing w:before="120" w:beforeAutospacing="0" w:after="120" w:afterAutospacing="0" w:line="276" w:lineRule="auto"/>
        <w:ind w:left="425"/>
        <w:jc w:val="both"/>
        <w:rPr>
          <w:rFonts w:ascii="Arial" w:hAnsi="Arial" w:cs="Arial"/>
          <w:bCs/>
          <w:color w:val="000000"/>
        </w:rPr>
      </w:pPr>
    </w:p>
    <w:p w:rsidR="00FE08FF" w:rsidRPr="0047017C" w:rsidRDefault="00FE08FF" w:rsidP="00FE08FF">
      <w:pPr>
        <w:pStyle w:val="Normlnweb"/>
        <w:numPr>
          <w:ilvl w:val="0"/>
          <w:numId w:val="26"/>
        </w:numPr>
        <w:autoSpaceDE w:val="0"/>
        <w:autoSpaceDN w:val="0"/>
        <w:adjustRightInd w:val="0"/>
        <w:spacing w:before="120" w:beforeAutospacing="0" w:after="120" w:afterAutospacing="0" w:line="276" w:lineRule="auto"/>
        <w:ind w:left="425" w:hanging="425"/>
        <w:jc w:val="both"/>
        <w:rPr>
          <w:rFonts w:ascii="Arial" w:hAnsi="Arial" w:cs="Arial"/>
          <w:color w:val="000000"/>
        </w:rPr>
      </w:pPr>
      <w:r w:rsidRPr="00324B2D">
        <w:rPr>
          <w:rFonts w:ascii="Arial" w:hAnsi="Arial" w:cs="Arial"/>
        </w:rPr>
        <w:t xml:space="preserve">Výnosy </w:t>
      </w:r>
    </w:p>
    <w:p w:rsidR="00FE08FF" w:rsidRPr="0047017C" w:rsidRDefault="00FE08FF" w:rsidP="00FE08FF">
      <w:pPr>
        <w:pStyle w:val="Normlnweb"/>
        <w:autoSpaceDE w:val="0"/>
        <w:autoSpaceDN w:val="0"/>
        <w:adjustRightInd w:val="0"/>
        <w:spacing w:before="120" w:beforeAutospacing="0" w:after="120" w:afterAutospacing="0" w:line="276" w:lineRule="auto"/>
        <w:ind w:left="425"/>
        <w:jc w:val="both"/>
        <w:rPr>
          <w:rFonts w:ascii="Arial" w:hAnsi="Arial" w:cs="Arial"/>
          <w:color w:val="000000"/>
        </w:rPr>
      </w:pPr>
      <w:r>
        <w:rPr>
          <w:rFonts w:ascii="Arial" w:hAnsi="Arial" w:cs="Arial"/>
        </w:rPr>
        <w:t xml:space="preserve">Výnosy </w:t>
      </w:r>
      <w:r w:rsidRPr="00324B2D">
        <w:rPr>
          <w:rFonts w:ascii="Arial" w:hAnsi="Arial" w:cs="Arial"/>
        </w:rPr>
        <w:t>ze služeb zahrnují účtové skupiny 60.</w:t>
      </w:r>
      <w:r>
        <w:rPr>
          <w:rFonts w:ascii="Arial" w:hAnsi="Arial" w:cs="Arial"/>
        </w:rPr>
        <w:t xml:space="preserve"> a </w:t>
      </w:r>
      <w:r w:rsidRPr="00324B2D">
        <w:rPr>
          <w:rFonts w:ascii="Arial" w:hAnsi="Arial" w:cs="Arial"/>
        </w:rPr>
        <w:t>64. s vyloučením účtu 604</w:t>
      </w:r>
      <w:r w:rsidRPr="00324B2D">
        <w:rPr>
          <w:rFonts w:ascii="Arial" w:hAnsi="Arial" w:cs="Arial"/>
        </w:rPr>
        <w:br/>
        <w:t xml:space="preserve">a dále účtů, na které se účtují, vyrovnávací </w:t>
      </w:r>
      <w:r w:rsidRPr="0047017C">
        <w:rPr>
          <w:rFonts w:ascii="Arial" w:hAnsi="Arial" w:cs="Arial"/>
          <w:color w:val="000000"/>
        </w:rPr>
        <w:t>platby za SOHZ, platby (regulační poplatky) za lékařskou pohotovostní službu -LPS, a výnosy ze změny metody.</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1561"/>
        <w:gridCol w:w="2977"/>
        <w:gridCol w:w="3119"/>
      </w:tblGrid>
      <w:tr w:rsidR="00FE08FF" w:rsidRPr="00324B2D" w:rsidTr="008E0926">
        <w:tc>
          <w:tcPr>
            <w:tcW w:w="2125"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Cs/>
                <w:color w:val="000000"/>
                <w:sz w:val="22"/>
              </w:rPr>
            </w:pPr>
            <w:r w:rsidRPr="00F77DD1">
              <w:rPr>
                <w:rFonts w:ascii="Arial" w:hAnsi="Arial" w:cs="Arial"/>
                <w:bCs/>
                <w:color w:val="000000"/>
                <w:sz w:val="22"/>
              </w:rPr>
              <w:t>Účet, účtová skupina</w:t>
            </w:r>
          </w:p>
        </w:tc>
        <w:tc>
          <w:tcPr>
            <w:tcW w:w="1561"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Cs/>
                <w:color w:val="000000"/>
                <w:sz w:val="22"/>
              </w:rPr>
            </w:pPr>
            <w:r w:rsidRPr="00F77DD1">
              <w:rPr>
                <w:rFonts w:ascii="Arial" w:hAnsi="Arial" w:cs="Arial"/>
                <w:bCs/>
                <w:color w:val="000000"/>
                <w:sz w:val="22"/>
              </w:rPr>
              <w:t>Započítá se</w:t>
            </w:r>
          </w:p>
        </w:tc>
        <w:tc>
          <w:tcPr>
            <w:tcW w:w="2977"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Cs/>
                <w:color w:val="000000"/>
                <w:sz w:val="22"/>
              </w:rPr>
            </w:pPr>
            <w:r w:rsidRPr="00F77DD1">
              <w:rPr>
                <w:rFonts w:ascii="Arial" w:hAnsi="Arial" w:cs="Arial"/>
                <w:bCs/>
                <w:color w:val="000000"/>
                <w:sz w:val="22"/>
              </w:rPr>
              <w:t>Započteno</w:t>
            </w:r>
          </w:p>
        </w:tc>
        <w:tc>
          <w:tcPr>
            <w:tcW w:w="3119"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Cs/>
                <w:color w:val="000000"/>
                <w:sz w:val="22"/>
              </w:rPr>
            </w:pPr>
            <w:r w:rsidRPr="00F77DD1">
              <w:rPr>
                <w:rFonts w:ascii="Arial" w:hAnsi="Arial" w:cs="Arial"/>
                <w:bCs/>
                <w:color w:val="000000"/>
                <w:sz w:val="22"/>
              </w:rPr>
              <w:t>Vyloučeno</w:t>
            </w:r>
          </w:p>
        </w:tc>
      </w:tr>
      <w:tr w:rsidR="00FE08FF" w:rsidRPr="00324B2D" w:rsidTr="008E0926">
        <w:tc>
          <w:tcPr>
            <w:tcW w:w="2125"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
                <w:bCs/>
                <w:color w:val="000000"/>
                <w:sz w:val="22"/>
              </w:rPr>
            </w:pPr>
            <w:r w:rsidRPr="00F77DD1">
              <w:rPr>
                <w:rFonts w:ascii="Arial" w:hAnsi="Arial" w:cs="Arial"/>
                <w:b/>
                <w:bCs/>
                <w:color w:val="000000"/>
                <w:sz w:val="22"/>
              </w:rPr>
              <w:t>601</w:t>
            </w:r>
          </w:p>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
                <w:bCs/>
                <w:color w:val="000000"/>
                <w:sz w:val="16"/>
                <w:szCs w:val="16"/>
              </w:rPr>
            </w:pPr>
            <w:r w:rsidRPr="00F77DD1">
              <w:rPr>
                <w:rFonts w:ascii="Arial" w:hAnsi="Arial" w:cs="Arial"/>
                <w:b/>
                <w:bCs/>
                <w:color w:val="000000"/>
                <w:sz w:val="16"/>
                <w:szCs w:val="16"/>
              </w:rPr>
              <w:t>Tržby za vlastní výrobky</w:t>
            </w:r>
          </w:p>
        </w:tc>
        <w:tc>
          <w:tcPr>
            <w:tcW w:w="1561"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ano</w:t>
            </w:r>
          </w:p>
        </w:tc>
        <w:tc>
          <w:tcPr>
            <w:tcW w:w="2977"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vše</w:t>
            </w:r>
          </w:p>
        </w:tc>
        <w:tc>
          <w:tcPr>
            <w:tcW w:w="3119"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w:t>
            </w:r>
          </w:p>
        </w:tc>
      </w:tr>
      <w:tr w:rsidR="00FE08FF" w:rsidRPr="00324B2D" w:rsidTr="008E0926">
        <w:tc>
          <w:tcPr>
            <w:tcW w:w="2125"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
                <w:bCs/>
                <w:color w:val="000000"/>
                <w:sz w:val="22"/>
              </w:rPr>
            </w:pPr>
            <w:r w:rsidRPr="00F77DD1">
              <w:rPr>
                <w:rFonts w:ascii="Arial" w:hAnsi="Arial" w:cs="Arial"/>
                <w:b/>
                <w:bCs/>
                <w:color w:val="000000"/>
                <w:sz w:val="22"/>
              </w:rPr>
              <w:t>602</w:t>
            </w:r>
          </w:p>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
                <w:bCs/>
                <w:color w:val="000000"/>
                <w:sz w:val="16"/>
                <w:szCs w:val="16"/>
              </w:rPr>
            </w:pPr>
            <w:r w:rsidRPr="00F77DD1">
              <w:rPr>
                <w:rFonts w:ascii="Arial" w:hAnsi="Arial" w:cs="Arial"/>
                <w:b/>
                <w:bCs/>
                <w:color w:val="000000"/>
                <w:sz w:val="16"/>
                <w:szCs w:val="16"/>
              </w:rPr>
              <w:t>Tržby z prodeje služeb</w:t>
            </w:r>
          </w:p>
        </w:tc>
        <w:tc>
          <w:tcPr>
            <w:tcW w:w="1561"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ano</w:t>
            </w:r>
          </w:p>
        </w:tc>
        <w:tc>
          <w:tcPr>
            <w:tcW w:w="2977"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vše</w:t>
            </w:r>
          </w:p>
        </w:tc>
        <w:tc>
          <w:tcPr>
            <w:tcW w:w="3119" w:type="dxa"/>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w:t>
            </w:r>
          </w:p>
        </w:tc>
      </w:tr>
      <w:tr w:rsidR="00FE08FF" w:rsidRPr="00324B2D" w:rsidTr="008E0926">
        <w:tc>
          <w:tcPr>
            <w:tcW w:w="2125" w:type="dxa"/>
            <w:tcBorders>
              <w:bottom w:val="single" w:sz="4" w:space="0" w:color="auto"/>
            </w:tcBorders>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Cs/>
                <w:color w:val="000000"/>
                <w:sz w:val="22"/>
              </w:rPr>
            </w:pPr>
            <w:r w:rsidRPr="00F77DD1">
              <w:rPr>
                <w:rFonts w:ascii="Arial" w:hAnsi="Arial" w:cs="Arial"/>
                <w:bCs/>
                <w:color w:val="000000"/>
                <w:sz w:val="22"/>
              </w:rPr>
              <w:t>604</w:t>
            </w:r>
          </w:p>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Cs/>
                <w:color w:val="000000"/>
                <w:sz w:val="16"/>
                <w:szCs w:val="16"/>
              </w:rPr>
            </w:pPr>
            <w:r w:rsidRPr="00F77DD1">
              <w:rPr>
                <w:rFonts w:ascii="Arial" w:hAnsi="Arial" w:cs="Arial"/>
                <w:bCs/>
                <w:color w:val="000000"/>
                <w:sz w:val="16"/>
                <w:szCs w:val="16"/>
              </w:rPr>
              <w:t>Tržby za zboží</w:t>
            </w:r>
          </w:p>
        </w:tc>
        <w:tc>
          <w:tcPr>
            <w:tcW w:w="1561" w:type="dxa"/>
            <w:tcBorders>
              <w:bottom w:val="single" w:sz="4" w:space="0" w:color="auto"/>
            </w:tcBorders>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Cs/>
                <w:color w:val="000000"/>
                <w:sz w:val="22"/>
              </w:rPr>
            </w:pPr>
            <w:r w:rsidRPr="00F77DD1">
              <w:rPr>
                <w:rFonts w:ascii="Arial" w:hAnsi="Arial" w:cs="Arial"/>
                <w:bCs/>
                <w:color w:val="000000"/>
                <w:sz w:val="22"/>
              </w:rPr>
              <w:t>ne</w:t>
            </w:r>
          </w:p>
        </w:tc>
        <w:tc>
          <w:tcPr>
            <w:tcW w:w="2977" w:type="dxa"/>
            <w:tcBorders>
              <w:bottom w:val="single" w:sz="4" w:space="0" w:color="auto"/>
            </w:tcBorders>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Cs/>
                <w:color w:val="000000"/>
                <w:sz w:val="22"/>
              </w:rPr>
            </w:pPr>
            <w:r w:rsidRPr="00F77DD1">
              <w:rPr>
                <w:rFonts w:ascii="Arial" w:hAnsi="Arial" w:cs="Arial"/>
                <w:bCs/>
                <w:color w:val="000000"/>
                <w:sz w:val="22"/>
              </w:rPr>
              <w:t>-</w:t>
            </w:r>
          </w:p>
        </w:tc>
        <w:tc>
          <w:tcPr>
            <w:tcW w:w="3119" w:type="dxa"/>
            <w:tcBorders>
              <w:bottom w:val="single" w:sz="4" w:space="0" w:color="auto"/>
            </w:tcBorders>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Cs/>
                <w:color w:val="000000"/>
                <w:sz w:val="22"/>
              </w:rPr>
            </w:pPr>
            <w:r w:rsidRPr="00F77DD1">
              <w:rPr>
                <w:rFonts w:ascii="Arial" w:hAnsi="Arial" w:cs="Arial"/>
                <w:bCs/>
                <w:color w:val="000000"/>
                <w:sz w:val="22"/>
              </w:rPr>
              <w:t>-</w:t>
            </w:r>
          </w:p>
        </w:tc>
      </w:tr>
      <w:tr w:rsidR="00FE08FF" w:rsidRPr="00324B2D" w:rsidTr="008E0926">
        <w:tc>
          <w:tcPr>
            <w:tcW w:w="2125" w:type="dxa"/>
            <w:tcBorders>
              <w:top w:val="single" w:sz="4" w:space="0" w:color="auto"/>
              <w:left w:val="single" w:sz="4" w:space="0" w:color="auto"/>
              <w:bottom w:val="single" w:sz="4" w:space="0" w:color="auto"/>
              <w:right w:val="single" w:sz="4" w:space="0" w:color="auto"/>
            </w:tcBorders>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
                <w:bCs/>
                <w:color w:val="000000"/>
                <w:sz w:val="22"/>
              </w:rPr>
            </w:pPr>
            <w:r w:rsidRPr="00F77DD1">
              <w:rPr>
                <w:rFonts w:ascii="Arial" w:hAnsi="Arial" w:cs="Arial"/>
                <w:b/>
                <w:bCs/>
                <w:color w:val="000000"/>
                <w:sz w:val="22"/>
              </w:rPr>
              <w:t>64.</w:t>
            </w:r>
          </w:p>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
                <w:bCs/>
                <w:color w:val="000000"/>
                <w:sz w:val="16"/>
                <w:szCs w:val="16"/>
              </w:rPr>
            </w:pPr>
            <w:r w:rsidRPr="00F77DD1">
              <w:rPr>
                <w:rFonts w:ascii="Arial" w:hAnsi="Arial" w:cs="Arial"/>
                <w:b/>
                <w:bCs/>
                <w:color w:val="000000"/>
                <w:sz w:val="16"/>
                <w:szCs w:val="16"/>
              </w:rPr>
              <w:t>Jiné provozní výnosy</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ano</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vše kromě vyrovnávacích plateb za SOHZ, regulačních poplatků za LPS,  a výnosů ze změny metody</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
                <w:bCs/>
                <w:color w:val="000000"/>
                <w:sz w:val="22"/>
              </w:rPr>
              <w:t>vyrovnávací platby za SOHZ,  regulační poplatky LPS, výnosy ze změny metody</w:t>
            </w:r>
          </w:p>
        </w:tc>
      </w:tr>
      <w:tr w:rsidR="00FE08FF" w:rsidRPr="00324B2D" w:rsidTr="008E0926">
        <w:tc>
          <w:tcPr>
            <w:tcW w:w="2125" w:type="dxa"/>
            <w:tcBorders>
              <w:top w:val="single" w:sz="4" w:space="0" w:color="auto"/>
              <w:left w:val="single" w:sz="4" w:space="0" w:color="auto"/>
              <w:bottom w:val="single" w:sz="4" w:space="0" w:color="auto"/>
              <w:right w:val="single" w:sz="4" w:space="0" w:color="auto"/>
            </w:tcBorders>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Cs/>
                <w:color w:val="000000"/>
                <w:sz w:val="16"/>
                <w:szCs w:val="16"/>
              </w:rPr>
            </w:pPr>
            <w:r w:rsidRPr="00F77DD1">
              <w:rPr>
                <w:rFonts w:ascii="Arial" w:hAnsi="Arial" w:cs="Arial"/>
                <w:bCs/>
                <w:color w:val="000000"/>
                <w:sz w:val="22"/>
              </w:rPr>
              <w:t>66.</w:t>
            </w:r>
          </w:p>
          <w:p w:rsidR="00FE08FF" w:rsidRPr="00F77DD1" w:rsidRDefault="00FE08FF" w:rsidP="008E0926">
            <w:pPr>
              <w:pStyle w:val="Normlnweb"/>
              <w:autoSpaceDE w:val="0"/>
              <w:autoSpaceDN w:val="0"/>
              <w:adjustRightInd w:val="0"/>
              <w:spacing w:before="120" w:beforeAutospacing="0" w:after="120" w:afterAutospacing="0" w:line="276" w:lineRule="auto"/>
              <w:rPr>
                <w:rFonts w:ascii="Arial" w:hAnsi="Arial" w:cs="Arial"/>
                <w:b/>
                <w:bCs/>
                <w:color w:val="000000"/>
                <w:sz w:val="22"/>
              </w:rPr>
            </w:pPr>
            <w:r w:rsidRPr="00F77DD1">
              <w:rPr>
                <w:rFonts w:ascii="Arial" w:hAnsi="Arial" w:cs="Arial"/>
                <w:bCs/>
                <w:color w:val="000000"/>
                <w:sz w:val="16"/>
                <w:szCs w:val="16"/>
              </w:rPr>
              <w:t>Finanční výnosy</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Cs/>
                <w:color w:val="000000"/>
                <w:sz w:val="22"/>
              </w:rPr>
              <w:t>ne</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Cs/>
                <w:color w:val="000000"/>
                <w:sz w:val="22"/>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E08FF" w:rsidRPr="00F77DD1" w:rsidRDefault="00FE08FF" w:rsidP="008E0926">
            <w:pPr>
              <w:pStyle w:val="Normlnweb"/>
              <w:autoSpaceDE w:val="0"/>
              <w:autoSpaceDN w:val="0"/>
              <w:adjustRightInd w:val="0"/>
              <w:spacing w:before="120" w:beforeAutospacing="0" w:after="120" w:afterAutospacing="0" w:line="276" w:lineRule="auto"/>
              <w:jc w:val="center"/>
              <w:rPr>
                <w:rFonts w:ascii="Arial" w:hAnsi="Arial" w:cs="Arial"/>
                <w:b/>
                <w:bCs/>
                <w:color w:val="000000"/>
                <w:sz w:val="22"/>
              </w:rPr>
            </w:pPr>
            <w:r w:rsidRPr="00F77DD1">
              <w:rPr>
                <w:rFonts w:ascii="Arial" w:hAnsi="Arial" w:cs="Arial"/>
                <w:bCs/>
                <w:color w:val="000000"/>
                <w:sz w:val="22"/>
              </w:rPr>
              <w:t>-</w:t>
            </w:r>
          </w:p>
        </w:tc>
      </w:tr>
    </w:tbl>
    <w:p w:rsidR="00FE08FF" w:rsidRPr="0047017C" w:rsidRDefault="00FE08FF" w:rsidP="00FE08FF">
      <w:pPr>
        <w:pStyle w:val="Normlnweb"/>
        <w:autoSpaceDE w:val="0"/>
        <w:autoSpaceDN w:val="0"/>
        <w:adjustRightInd w:val="0"/>
        <w:spacing w:before="120" w:beforeAutospacing="0" w:after="120" w:afterAutospacing="0" w:line="276" w:lineRule="auto"/>
        <w:jc w:val="both"/>
        <w:rPr>
          <w:rFonts w:ascii="Arial" w:hAnsi="Arial" w:cs="Arial"/>
          <w:color w:val="000000"/>
        </w:rPr>
      </w:pPr>
    </w:p>
    <w:p w:rsidR="00FE08FF" w:rsidRDefault="00FE08FF" w:rsidP="00FE08FF">
      <w:pPr>
        <w:pStyle w:val="Normlnweb"/>
        <w:numPr>
          <w:ilvl w:val="0"/>
          <w:numId w:val="26"/>
        </w:numPr>
        <w:autoSpaceDE w:val="0"/>
        <w:autoSpaceDN w:val="0"/>
        <w:adjustRightInd w:val="0"/>
        <w:spacing w:before="120" w:beforeAutospacing="0" w:after="120" w:afterAutospacing="0" w:line="276" w:lineRule="auto"/>
        <w:ind w:left="425" w:hanging="425"/>
        <w:jc w:val="both"/>
        <w:rPr>
          <w:rFonts w:ascii="Arial" w:hAnsi="Arial" w:cs="Arial"/>
        </w:rPr>
      </w:pPr>
      <w:r w:rsidRPr="00324B2D">
        <w:rPr>
          <w:rFonts w:ascii="Arial" w:hAnsi="Arial" w:cs="Arial"/>
        </w:rPr>
        <w:t>V případě, že budou opravy nákladů či výnosů minulých let významné a jako takové budou účtovány v závěrce rozvahově, nikoliv výsledkově, je nutno tuto skutečnost v kalkulaci zohlednit a připojit zdůvodnění.</w:t>
      </w:r>
    </w:p>
    <w:p w:rsidR="00FE08FF" w:rsidRPr="0047017C" w:rsidRDefault="00FE08FF" w:rsidP="00FE08FF">
      <w:pPr>
        <w:pStyle w:val="Normlnweb"/>
        <w:numPr>
          <w:ilvl w:val="0"/>
          <w:numId w:val="26"/>
        </w:numPr>
        <w:autoSpaceDE w:val="0"/>
        <w:autoSpaceDN w:val="0"/>
        <w:adjustRightInd w:val="0"/>
        <w:spacing w:before="120" w:beforeAutospacing="0" w:after="120" w:afterAutospacing="0" w:line="276" w:lineRule="auto"/>
        <w:ind w:left="425" w:hanging="425"/>
        <w:jc w:val="both"/>
        <w:rPr>
          <w:rFonts w:ascii="Arial" w:hAnsi="Arial" w:cs="Arial"/>
          <w:color w:val="000000"/>
        </w:rPr>
      </w:pPr>
      <w:r w:rsidRPr="0047017C">
        <w:rPr>
          <w:rFonts w:ascii="Arial" w:hAnsi="Arial" w:cs="Arial"/>
          <w:color w:val="000000"/>
        </w:rPr>
        <w:t>Společná ustanovení pro náklady a výnosy středisek „lékárna“, stravovací středisko (kuchyně), sterilizace, sociální lůžka, investiční náklady, ubytovna, parkovné:</w:t>
      </w:r>
    </w:p>
    <w:p w:rsidR="00FE08FF" w:rsidRPr="0047017C" w:rsidRDefault="00FE08FF" w:rsidP="00FE08FF">
      <w:pPr>
        <w:ind w:firstLine="360"/>
        <w:rPr>
          <w:rFonts w:ascii="Arial" w:hAnsi="Arial" w:cs="Arial"/>
          <w:color w:val="000000"/>
        </w:rPr>
      </w:pPr>
      <w:r w:rsidRPr="0047017C">
        <w:rPr>
          <w:rFonts w:ascii="Arial" w:hAnsi="Arial" w:cs="Arial"/>
          <w:color w:val="000000"/>
        </w:rPr>
        <w:t>Lékárna:</w:t>
      </w:r>
    </w:p>
    <w:p w:rsidR="00FE08FF" w:rsidRPr="0047017C" w:rsidRDefault="00FE08FF" w:rsidP="00FE08FF">
      <w:pPr>
        <w:numPr>
          <w:ilvl w:val="0"/>
          <w:numId w:val="30"/>
        </w:numPr>
        <w:rPr>
          <w:rFonts w:ascii="Arial" w:hAnsi="Arial" w:cs="Arial"/>
          <w:color w:val="000000"/>
        </w:rPr>
      </w:pPr>
      <w:r w:rsidRPr="0047017C">
        <w:rPr>
          <w:rFonts w:ascii="Arial" w:hAnsi="Arial" w:cs="Arial"/>
          <w:color w:val="000000"/>
        </w:rPr>
        <w:t>veřejná lékárna se do nákladů ani do výnosů nezapočítává.</w:t>
      </w:r>
    </w:p>
    <w:p w:rsidR="00FE08FF" w:rsidRPr="0047017C" w:rsidRDefault="00FE08FF" w:rsidP="00FE08FF">
      <w:pPr>
        <w:numPr>
          <w:ilvl w:val="0"/>
          <w:numId w:val="30"/>
        </w:numPr>
        <w:autoSpaceDE w:val="0"/>
        <w:autoSpaceDN w:val="0"/>
        <w:adjustRightInd w:val="0"/>
        <w:spacing w:before="12" w:after="12" w:line="276" w:lineRule="auto"/>
        <w:jc w:val="both"/>
        <w:rPr>
          <w:rFonts w:ascii="Arial" w:hAnsi="Arial" w:cs="Arial"/>
          <w:color w:val="000000"/>
        </w:rPr>
      </w:pPr>
      <w:r w:rsidRPr="0047017C">
        <w:rPr>
          <w:rFonts w:ascii="Arial" w:hAnsi="Arial" w:cs="Arial"/>
          <w:color w:val="000000"/>
        </w:rPr>
        <w:t xml:space="preserve">náklady a výnosy lékárny lze uplatnit v rámci SOHZ pouze pro ústavní lékárnu, ta se uvede do sloupce Ostatní zdravotní v příloze č. 1 - dle bodu 2b) metodiky, </w:t>
      </w:r>
    </w:p>
    <w:p w:rsidR="00FE08FF" w:rsidRDefault="00FE08FF" w:rsidP="00FE08FF">
      <w:pPr>
        <w:autoSpaceDE w:val="0"/>
        <w:autoSpaceDN w:val="0"/>
        <w:adjustRightInd w:val="0"/>
        <w:spacing w:before="12" w:after="12" w:line="276" w:lineRule="auto"/>
        <w:ind w:firstLine="360"/>
        <w:rPr>
          <w:rFonts w:ascii="Arial" w:hAnsi="Arial" w:cs="Arial"/>
        </w:rPr>
      </w:pPr>
    </w:p>
    <w:p w:rsidR="00FE08FF" w:rsidRPr="00031B9C" w:rsidRDefault="00FE08FF" w:rsidP="00FE08FF">
      <w:pPr>
        <w:autoSpaceDE w:val="0"/>
        <w:autoSpaceDN w:val="0"/>
        <w:adjustRightInd w:val="0"/>
        <w:spacing w:before="12" w:after="12" w:line="276" w:lineRule="auto"/>
        <w:ind w:firstLine="360"/>
        <w:rPr>
          <w:rFonts w:ascii="Arial" w:hAnsi="Arial" w:cs="Arial"/>
        </w:rPr>
      </w:pPr>
      <w:r w:rsidRPr="00031B9C">
        <w:rPr>
          <w:rFonts w:ascii="Arial" w:hAnsi="Arial" w:cs="Arial"/>
        </w:rPr>
        <w:t xml:space="preserve">Stravovací středisko (kuchyně) </w:t>
      </w:r>
      <w:r>
        <w:rPr>
          <w:rFonts w:ascii="Arial" w:hAnsi="Arial" w:cs="Arial"/>
        </w:rPr>
        <w:t>:</w:t>
      </w:r>
    </w:p>
    <w:p w:rsidR="00FE08FF" w:rsidRPr="0047017C" w:rsidRDefault="00FE08FF" w:rsidP="00FE08FF">
      <w:pPr>
        <w:numPr>
          <w:ilvl w:val="0"/>
          <w:numId w:val="30"/>
        </w:numPr>
        <w:rPr>
          <w:rFonts w:ascii="Arial" w:hAnsi="Arial" w:cs="Arial"/>
          <w:color w:val="000000"/>
        </w:rPr>
      </w:pPr>
      <w:r w:rsidRPr="0047017C">
        <w:rPr>
          <w:rFonts w:ascii="Arial" w:hAnsi="Arial" w:cs="Arial"/>
          <w:color w:val="000000"/>
        </w:rPr>
        <w:t xml:space="preserve">náklady, které smí být uplatněny v rámci SOHZ, jsou pouze náklady na stravu pacientů a zaměstnanců poskytovatele zdravotních služeb u oddělení, které jsou předmětem SOHZ. Nelze zahrnout náklady na stravu pacientů jiných oddělení než SOHZ, cizích osob a klientů sociálních lůžek. Pokud náklady na stravu zaměstnanců a pacientů nelze přiřadit ke konkrétnímu oddělení, budou uvedeny ve sloupci „ostatní zdravotní“ dle bodu 2b metodiky. </w:t>
      </w:r>
    </w:p>
    <w:p w:rsidR="00FE08FF" w:rsidRPr="0047017C" w:rsidRDefault="00FE08FF" w:rsidP="00FE08FF">
      <w:pPr>
        <w:ind w:left="360"/>
        <w:rPr>
          <w:rFonts w:ascii="Arial" w:hAnsi="Arial" w:cs="Arial"/>
          <w:color w:val="000000"/>
        </w:rPr>
      </w:pPr>
      <w:r w:rsidRPr="0047017C">
        <w:rPr>
          <w:rFonts w:ascii="Arial" w:hAnsi="Arial" w:cs="Arial"/>
          <w:color w:val="000000"/>
        </w:rPr>
        <w:t>Sterilizace:</w:t>
      </w:r>
    </w:p>
    <w:p w:rsidR="00FE08FF" w:rsidRDefault="00FE08FF" w:rsidP="00FE08FF">
      <w:pPr>
        <w:numPr>
          <w:ilvl w:val="0"/>
          <w:numId w:val="30"/>
        </w:numPr>
        <w:rPr>
          <w:rFonts w:ascii="Arial" w:hAnsi="Arial" w:cs="Arial"/>
        </w:rPr>
      </w:pPr>
      <w:r w:rsidRPr="0047017C">
        <w:rPr>
          <w:rFonts w:ascii="Arial" w:hAnsi="Arial" w:cs="Arial"/>
          <w:color w:val="000000"/>
        </w:rPr>
        <w:t>náklady střediska sterilizace v rozsahu pro potřeby oddělení (pohotovostí), které jsou předmětem SOHZ – uvedou se do sloupce Ostatní zdravotní (příloha č.</w:t>
      </w:r>
      <w:r>
        <w:rPr>
          <w:rFonts w:ascii="Arial" w:hAnsi="Arial" w:cs="Arial"/>
        </w:rPr>
        <w:t xml:space="preserve"> 1)</w:t>
      </w:r>
      <w:r w:rsidRPr="00031B9C">
        <w:rPr>
          <w:rFonts w:ascii="Arial" w:hAnsi="Arial" w:cs="Arial"/>
        </w:rPr>
        <w:t xml:space="preserve"> dle bodu 2b) metodiky.</w:t>
      </w:r>
    </w:p>
    <w:p w:rsidR="00FE08FF" w:rsidRPr="00031B9C" w:rsidRDefault="00FE08FF" w:rsidP="00FE08FF">
      <w:pPr>
        <w:autoSpaceDE w:val="0"/>
        <w:autoSpaceDN w:val="0"/>
        <w:adjustRightInd w:val="0"/>
        <w:spacing w:before="12" w:after="12" w:line="276" w:lineRule="auto"/>
        <w:rPr>
          <w:rFonts w:ascii="Arial" w:hAnsi="Arial" w:cs="Arial"/>
        </w:rPr>
      </w:pPr>
      <w:r w:rsidRPr="00031B9C">
        <w:rPr>
          <w:rFonts w:ascii="Arial" w:hAnsi="Arial" w:cs="Arial"/>
        </w:rPr>
        <w:t xml:space="preserve">     Sociální lůžka:</w:t>
      </w:r>
    </w:p>
    <w:p w:rsidR="00FE08FF" w:rsidRPr="00031B9C" w:rsidRDefault="00FE08FF" w:rsidP="00FE08FF">
      <w:pPr>
        <w:numPr>
          <w:ilvl w:val="0"/>
          <w:numId w:val="30"/>
        </w:numPr>
        <w:autoSpaceDE w:val="0"/>
        <w:autoSpaceDN w:val="0"/>
        <w:adjustRightInd w:val="0"/>
        <w:spacing w:before="12" w:after="12" w:line="276" w:lineRule="auto"/>
        <w:jc w:val="both"/>
        <w:rPr>
          <w:rFonts w:ascii="Arial" w:hAnsi="Arial" w:cs="Arial"/>
        </w:rPr>
      </w:pPr>
      <w:r>
        <w:rPr>
          <w:rFonts w:ascii="Arial" w:hAnsi="Arial" w:cs="Arial"/>
        </w:rPr>
        <w:t>n</w:t>
      </w:r>
      <w:r w:rsidRPr="00031B9C">
        <w:rPr>
          <w:rFonts w:ascii="Arial" w:hAnsi="Arial" w:cs="Arial"/>
        </w:rPr>
        <w:t xml:space="preserve">áklady i výnosy středisek týkající se sociálních lůžek nelze uplatňovat v rámci SOHZ. </w:t>
      </w:r>
    </w:p>
    <w:p w:rsidR="00FE08FF" w:rsidRDefault="00FE08FF" w:rsidP="00FE08FF">
      <w:pPr>
        <w:autoSpaceDE w:val="0"/>
        <w:autoSpaceDN w:val="0"/>
        <w:adjustRightInd w:val="0"/>
        <w:spacing w:before="12" w:after="12" w:line="276" w:lineRule="auto"/>
        <w:ind w:left="284"/>
        <w:rPr>
          <w:rFonts w:ascii="Arial" w:hAnsi="Arial" w:cs="Arial"/>
        </w:rPr>
      </w:pPr>
      <w:r>
        <w:rPr>
          <w:rFonts w:ascii="Arial" w:hAnsi="Arial" w:cs="Arial"/>
        </w:rPr>
        <w:t>Kantýna, bufet:</w:t>
      </w:r>
    </w:p>
    <w:p w:rsidR="00FE08FF" w:rsidRDefault="00FE08FF" w:rsidP="00FE08FF">
      <w:pPr>
        <w:autoSpaceDE w:val="0"/>
        <w:autoSpaceDN w:val="0"/>
        <w:adjustRightInd w:val="0"/>
        <w:spacing w:before="12" w:after="12" w:line="276" w:lineRule="auto"/>
        <w:ind w:left="284"/>
        <w:rPr>
          <w:rFonts w:ascii="Arial" w:hAnsi="Arial" w:cs="Arial"/>
        </w:rPr>
      </w:pPr>
      <w:r w:rsidRPr="00031B9C">
        <w:rPr>
          <w:rFonts w:ascii="Arial" w:hAnsi="Arial" w:cs="Arial"/>
        </w:rPr>
        <w:t xml:space="preserve">Náklady a výnosy střediska kantýna, bufet atp. nelze uplatňovat v rámci SOHZ. </w:t>
      </w:r>
    </w:p>
    <w:p w:rsidR="00FE08FF" w:rsidRPr="00031B9C" w:rsidRDefault="00FE08FF" w:rsidP="00FE08FF">
      <w:pPr>
        <w:autoSpaceDE w:val="0"/>
        <w:autoSpaceDN w:val="0"/>
        <w:adjustRightInd w:val="0"/>
        <w:spacing w:before="12" w:after="12" w:line="276" w:lineRule="auto"/>
        <w:ind w:left="284"/>
        <w:rPr>
          <w:rFonts w:ascii="Arial" w:hAnsi="Arial" w:cs="Arial"/>
        </w:rPr>
      </w:pPr>
      <w:r w:rsidRPr="00031B9C">
        <w:rPr>
          <w:rFonts w:ascii="Arial" w:hAnsi="Arial" w:cs="Arial"/>
        </w:rPr>
        <w:t xml:space="preserve"> </w:t>
      </w:r>
      <w:r>
        <w:rPr>
          <w:rFonts w:ascii="Arial" w:hAnsi="Arial" w:cs="Arial"/>
        </w:rPr>
        <w:t>Investiční náklady:</w:t>
      </w:r>
    </w:p>
    <w:p w:rsidR="00FE08FF" w:rsidRDefault="00FE08FF" w:rsidP="00FE08FF">
      <w:pPr>
        <w:pStyle w:val="Odstavecseseznamem"/>
        <w:numPr>
          <w:ilvl w:val="0"/>
          <w:numId w:val="30"/>
        </w:numPr>
        <w:autoSpaceDE w:val="0"/>
        <w:autoSpaceDN w:val="0"/>
        <w:adjustRightInd w:val="0"/>
        <w:spacing w:before="12" w:after="12" w:line="276" w:lineRule="auto"/>
        <w:jc w:val="both"/>
        <w:rPr>
          <w:rFonts w:ascii="Arial" w:hAnsi="Arial" w:cs="Arial"/>
        </w:rPr>
      </w:pPr>
      <w:r>
        <w:rPr>
          <w:rFonts w:ascii="Arial" w:hAnsi="Arial" w:cs="Arial"/>
        </w:rPr>
        <w:t>náklady spojené s investicemi</w:t>
      </w:r>
      <w:r w:rsidRPr="00031B9C">
        <w:rPr>
          <w:rFonts w:ascii="Arial" w:hAnsi="Arial" w:cs="Arial"/>
        </w:rPr>
        <w:t xml:space="preserve"> nelze uplatňovat v rámci SOHZ.</w:t>
      </w:r>
    </w:p>
    <w:p w:rsidR="00FE08FF" w:rsidRDefault="00FE08FF" w:rsidP="00FE08FF">
      <w:pPr>
        <w:autoSpaceDE w:val="0"/>
        <w:autoSpaceDN w:val="0"/>
        <w:adjustRightInd w:val="0"/>
        <w:spacing w:before="12" w:after="12" w:line="276" w:lineRule="auto"/>
        <w:ind w:left="284"/>
        <w:rPr>
          <w:rFonts w:ascii="Arial" w:hAnsi="Arial" w:cs="Arial"/>
        </w:rPr>
      </w:pPr>
      <w:r>
        <w:rPr>
          <w:rFonts w:ascii="Arial" w:hAnsi="Arial" w:cs="Arial"/>
        </w:rPr>
        <w:t>Parkovné:</w:t>
      </w:r>
    </w:p>
    <w:p w:rsidR="00FE08FF" w:rsidRDefault="00FE08FF" w:rsidP="00FE08FF">
      <w:pPr>
        <w:pStyle w:val="Odstavecseseznamem"/>
        <w:numPr>
          <w:ilvl w:val="0"/>
          <w:numId w:val="30"/>
        </w:numPr>
        <w:autoSpaceDE w:val="0"/>
        <w:autoSpaceDN w:val="0"/>
        <w:adjustRightInd w:val="0"/>
        <w:spacing w:before="12" w:after="12" w:line="276" w:lineRule="auto"/>
        <w:jc w:val="both"/>
        <w:rPr>
          <w:rFonts w:ascii="Arial" w:hAnsi="Arial" w:cs="Arial"/>
        </w:rPr>
      </w:pPr>
      <w:r>
        <w:rPr>
          <w:rFonts w:ascii="Arial" w:hAnsi="Arial" w:cs="Arial"/>
        </w:rPr>
        <w:t>n</w:t>
      </w:r>
      <w:r w:rsidRPr="00AE56CF">
        <w:rPr>
          <w:rFonts w:ascii="Arial" w:hAnsi="Arial" w:cs="Arial"/>
        </w:rPr>
        <w:t xml:space="preserve">áklady a výnosy spojené s parkovným v areálu </w:t>
      </w:r>
      <w:r>
        <w:rPr>
          <w:rFonts w:ascii="Arial" w:hAnsi="Arial" w:cs="Arial"/>
        </w:rPr>
        <w:t>poskytovatele zdravotních služeb</w:t>
      </w:r>
      <w:r w:rsidRPr="00AE56CF">
        <w:rPr>
          <w:rFonts w:ascii="Arial" w:hAnsi="Arial" w:cs="Arial"/>
        </w:rPr>
        <w:t xml:space="preserve"> se do SOHZ nezahrnují.</w:t>
      </w:r>
    </w:p>
    <w:p w:rsidR="00FE08FF" w:rsidRDefault="00FE08FF" w:rsidP="00FE08FF">
      <w:pPr>
        <w:autoSpaceDE w:val="0"/>
        <w:autoSpaceDN w:val="0"/>
        <w:adjustRightInd w:val="0"/>
        <w:spacing w:before="12" w:after="12" w:line="276" w:lineRule="auto"/>
        <w:ind w:left="360"/>
        <w:rPr>
          <w:rFonts w:ascii="Arial" w:hAnsi="Arial" w:cs="Arial"/>
        </w:rPr>
      </w:pPr>
      <w:r>
        <w:rPr>
          <w:rFonts w:ascii="Arial" w:hAnsi="Arial" w:cs="Arial"/>
        </w:rPr>
        <w:t>Ubytovna pro zaměstnance:</w:t>
      </w:r>
    </w:p>
    <w:p w:rsidR="00FE08FF" w:rsidRPr="00AE56CF" w:rsidRDefault="00FE08FF" w:rsidP="00FE08FF">
      <w:pPr>
        <w:autoSpaceDE w:val="0"/>
        <w:autoSpaceDN w:val="0"/>
        <w:adjustRightInd w:val="0"/>
        <w:spacing w:before="12" w:after="12" w:line="276" w:lineRule="auto"/>
        <w:ind w:left="360"/>
        <w:rPr>
          <w:rFonts w:ascii="Arial" w:hAnsi="Arial" w:cs="Arial"/>
        </w:rPr>
      </w:pPr>
      <w:r>
        <w:rPr>
          <w:rFonts w:ascii="Arial" w:hAnsi="Arial" w:cs="Arial"/>
        </w:rPr>
        <w:t>Výnosy z činnosti ubytovny (ubytovacího zařízení poskytovatele zdravotních služeb) se nezahrnují do SOHZ.</w:t>
      </w:r>
    </w:p>
    <w:p w:rsidR="00FE08FF" w:rsidRDefault="00FE08FF" w:rsidP="00FE08FF">
      <w:pPr>
        <w:autoSpaceDE w:val="0"/>
        <w:autoSpaceDN w:val="0"/>
        <w:adjustRightInd w:val="0"/>
        <w:spacing w:before="12" w:after="12" w:line="276" w:lineRule="auto"/>
        <w:rPr>
          <w:rFonts w:ascii="Arial" w:hAnsi="Arial" w:cs="Arial"/>
        </w:rPr>
      </w:pPr>
    </w:p>
    <w:p w:rsidR="00FE08FF" w:rsidRPr="00031B9C" w:rsidRDefault="00FE08FF" w:rsidP="00FE08FF">
      <w:pPr>
        <w:autoSpaceDE w:val="0"/>
        <w:autoSpaceDN w:val="0"/>
        <w:adjustRightInd w:val="0"/>
        <w:spacing w:before="12" w:after="12" w:line="276" w:lineRule="auto"/>
        <w:rPr>
          <w:rFonts w:ascii="Arial" w:hAnsi="Arial" w:cs="Arial"/>
        </w:rPr>
      </w:pPr>
    </w:p>
    <w:p w:rsidR="00FE08FF" w:rsidRPr="00324B2D" w:rsidRDefault="00FE08FF" w:rsidP="00FE08FF">
      <w:pPr>
        <w:pStyle w:val="Normlnweb"/>
        <w:numPr>
          <w:ilvl w:val="0"/>
          <w:numId w:val="26"/>
        </w:numPr>
        <w:autoSpaceDE w:val="0"/>
        <w:autoSpaceDN w:val="0"/>
        <w:adjustRightInd w:val="0"/>
        <w:spacing w:before="120" w:beforeAutospacing="0" w:after="120" w:afterAutospacing="0" w:line="276" w:lineRule="auto"/>
        <w:ind w:left="425" w:hanging="425"/>
        <w:jc w:val="both"/>
        <w:rPr>
          <w:rFonts w:ascii="Arial" w:hAnsi="Arial" w:cs="Arial"/>
        </w:rPr>
      </w:pPr>
      <w:r w:rsidRPr="0047017C">
        <w:rPr>
          <w:rFonts w:ascii="Arial" w:hAnsi="Arial" w:cs="Arial"/>
          <w:color w:val="000000"/>
        </w:rPr>
        <w:t>Výše přiměřeného zisku pro účely kalkulace výše vyrovnávací platby odpovídá průměrné roční mezibankovní úrokové sazbě PRIBOR za příslušný kalendářní rok, navýšené o 100 bazických bodů.</w:t>
      </w:r>
    </w:p>
    <w:p w:rsidR="00FE08FF" w:rsidRPr="00A92219" w:rsidRDefault="00FE08FF" w:rsidP="00FE08FF">
      <w:pPr>
        <w:pStyle w:val="Normlnweb"/>
        <w:autoSpaceDE w:val="0"/>
        <w:autoSpaceDN w:val="0"/>
        <w:adjustRightInd w:val="0"/>
        <w:spacing w:before="120" w:beforeAutospacing="0" w:after="120" w:afterAutospacing="0" w:line="276" w:lineRule="auto"/>
        <w:ind w:left="425"/>
        <w:jc w:val="both"/>
        <w:rPr>
          <w:sz w:val="22"/>
          <w:szCs w:val="22"/>
        </w:rPr>
      </w:pPr>
    </w:p>
    <w:p w:rsidR="00FE08FF" w:rsidRPr="00A92219" w:rsidRDefault="00FE08FF" w:rsidP="00FE08FF">
      <w:pPr>
        <w:pStyle w:val="Normlnweb"/>
        <w:numPr>
          <w:ilvl w:val="0"/>
          <w:numId w:val="26"/>
        </w:numPr>
        <w:autoSpaceDE w:val="0"/>
        <w:autoSpaceDN w:val="0"/>
        <w:adjustRightInd w:val="0"/>
        <w:spacing w:before="120" w:beforeAutospacing="0" w:after="120" w:afterAutospacing="0" w:line="276" w:lineRule="auto"/>
        <w:ind w:left="425" w:hanging="425"/>
        <w:jc w:val="both"/>
        <w:rPr>
          <w:rFonts w:ascii="Arial" w:hAnsi="Arial" w:cs="Arial"/>
        </w:rPr>
      </w:pPr>
      <w:r w:rsidRPr="00A92219">
        <w:rPr>
          <w:rFonts w:ascii="Arial" w:hAnsi="Arial" w:cs="Arial"/>
        </w:rPr>
        <w:t xml:space="preserve">Všechna střediska </w:t>
      </w:r>
      <w:r>
        <w:rPr>
          <w:rFonts w:ascii="Arial" w:hAnsi="Arial" w:cs="Arial"/>
        </w:rPr>
        <w:t>v kalkulaci poskytovatele zdravotních služeb se</w:t>
      </w:r>
      <w:r w:rsidRPr="00A92219">
        <w:rPr>
          <w:rFonts w:ascii="Arial" w:hAnsi="Arial" w:cs="Arial"/>
        </w:rPr>
        <w:t xml:space="preserve"> rozdělí do 2 skupin: 1) zdravotní střediska uvedená ve smlouvě jako zdravotní služby</w:t>
      </w:r>
      <w:r>
        <w:rPr>
          <w:rFonts w:ascii="Arial" w:hAnsi="Arial" w:cs="Arial"/>
        </w:rPr>
        <w:t xml:space="preserve"> SOHZ</w:t>
      </w:r>
      <w:r w:rsidRPr="00A92219">
        <w:rPr>
          <w:rFonts w:ascii="Arial" w:hAnsi="Arial" w:cs="Arial"/>
        </w:rPr>
        <w:t>, 2) nezdravotní střediska nutná k provozování zdravotních středisek</w:t>
      </w:r>
      <w:r>
        <w:rPr>
          <w:rFonts w:ascii="Arial" w:hAnsi="Arial" w:cs="Arial"/>
        </w:rPr>
        <w:t>, která jsou předmětem SOHZ (sloupec Ostatní zdravotní v příloze č. 1)</w:t>
      </w:r>
      <w:r w:rsidRPr="00A92219">
        <w:rPr>
          <w:rFonts w:ascii="Arial" w:hAnsi="Arial" w:cs="Arial"/>
        </w:rPr>
        <w:t>.</w:t>
      </w:r>
    </w:p>
    <w:p w:rsidR="00FE08FF" w:rsidRPr="00021AFE" w:rsidRDefault="00FE08FF" w:rsidP="00FE08FF">
      <w:pPr>
        <w:pStyle w:val="Normlnweb"/>
        <w:numPr>
          <w:ilvl w:val="0"/>
          <w:numId w:val="26"/>
        </w:numPr>
        <w:autoSpaceDE w:val="0"/>
        <w:autoSpaceDN w:val="0"/>
        <w:adjustRightInd w:val="0"/>
        <w:spacing w:before="120" w:beforeAutospacing="0" w:after="0" w:afterAutospacing="0" w:line="276" w:lineRule="auto"/>
        <w:ind w:left="425" w:hanging="425"/>
        <w:jc w:val="both"/>
        <w:rPr>
          <w:rFonts w:ascii="Arial" w:hAnsi="Arial" w:cs="Arial"/>
          <w:b/>
        </w:rPr>
      </w:pPr>
      <w:r w:rsidRPr="0047017C">
        <w:rPr>
          <w:rFonts w:ascii="Arial" w:hAnsi="Arial" w:cs="Arial"/>
          <w:color w:val="000000"/>
        </w:rPr>
        <w:t>Sloupec „Ostatní zdravotní“ – přílohy č. 1 zahrne náklady a výnosy související s poskytováním zdravotních služeb, které jsou předmětem SOHZ, které nelze jednoznačně přiřadit na jednotlivá oddělení (viz bod 2b metodiky), a to ve výši, která připadá na oddělení (pohotovostní služby), která jsou předmětem SOHZ. Do úplných vlastních nákladů budou tyto náklady započítány. V případě výnosů budou započítány do celkových výnosů.</w:t>
      </w:r>
    </w:p>
    <w:p w:rsidR="00FE08FF" w:rsidRPr="00F52B29" w:rsidRDefault="00FE08FF" w:rsidP="00FE08FF">
      <w:pPr>
        <w:pStyle w:val="Normlnweb"/>
        <w:numPr>
          <w:ilvl w:val="0"/>
          <w:numId w:val="26"/>
        </w:numPr>
        <w:autoSpaceDE w:val="0"/>
        <w:autoSpaceDN w:val="0"/>
        <w:adjustRightInd w:val="0"/>
        <w:spacing w:before="120" w:beforeAutospacing="0" w:after="0" w:afterAutospacing="0" w:line="276" w:lineRule="auto"/>
        <w:ind w:left="425" w:hanging="425"/>
        <w:jc w:val="both"/>
        <w:rPr>
          <w:rFonts w:ascii="Arial" w:hAnsi="Arial" w:cs="Arial"/>
          <w:b/>
        </w:rPr>
      </w:pPr>
      <w:r>
        <w:rPr>
          <w:rFonts w:ascii="Arial" w:hAnsi="Arial" w:cs="Arial"/>
        </w:rPr>
        <w:t>T</w:t>
      </w:r>
      <w:r w:rsidRPr="005479A1">
        <w:rPr>
          <w:rFonts w:ascii="Arial" w:hAnsi="Arial" w:cs="Arial"/>
        </w:rPr>
        <w:t>abulka pro výpočet kalkulace včetně poznámek a vysvětlivek (vzorové</w:t>
      </w:r>
      <w:r w:rsidRPr="00324B2D">
        <w:rPr>
          <w:rFonts w:ascii="Arial" w:hAnsi="Arial" w:cs="Arial"/>
        </w:rPr>
        <w:t xml:space="preserve"> znění kalkulací) je přílohou č. 1 k tomuto metodickému pokynu. </w:t>
      </w:r>
      <w:r>
        <w:rPr>
          <w:rFonts w:ascii="Arial" w:hAnsi="Arial" w:cs="Arial"/>
        </w:rPr>
        <w:t xml:space="preserve">Kalkulace </w:t>
      </w:r>
      <w:r w:rsidRPr="00324B2D">
        <w:rPr>
          <w:rFonts w:ascii="Arial" w:hAnsi="Arial" w:cs="Arial"/>
        </w:rPr>
        <w:t xml:space="preserve">vč. vyúčtování budou obsahovat název </w:t>
      </w:r>
      <w:r>
        <w:rPr>
          <w:rFonts w:ascii="Arial" w:hAnsi="Arial" w:cs="Arial"/>
        </w:rPr>
        <w:t>poskytovatele zdravotních služeb, který</w:t>
      </w:r>
      <w:r w:rsidRPr="00324B2D">
        <w:rPr>
          <w:rFonts w:ascii="Arial" w:hAnsi="Arial" w:cs="Arial"/>
        </w:rPr>
        <w:t xml:space="preserve"> je vypr</w:t>
      </w:r>
      <w:r>
        <w:rPr>
          <w:rFonts w:ascii="Arial" w:hAnsi="Arial" w:cs="Arial"/>
        </w:rPr>
        <w:t>acoval</w:t>
      </w:r>
      <w:r w:rsidRPr="00324B2D">
        <w:rPr>
          <w:rFonts w:ascii="Arial" w:hAnsi="Arial" w:cs="Arial"/>
        </w:rPr>
        <w:t>, IČO a podpis</w:t>
      </w:r>
      <w:r>
        <w:rPr>
          <w:rFonts w:ascii="Arial" w:hAnsi="Arial" w:cs="Arial"/>
        </w:rPr>
        <w:t xml:space="preserve"> </w:t>
      </w:r>
      <w:r w:rsidRPr="00324B2D">
        <w:rPr>
          <w:rFonts w:ascii="Arial" w:hAnsi="Arial" w:cs="Arial"/>
        </w:rPr>
        <w:t xml:space="preserve"> </w:t>
      </w:r>
      <w:r>
        <w:rPr>
          <w:rFonts w:ascii="Arial" w:hAnsi="Arial" w:cs="Arial"/>
        </w:rPr>
        <w:t xml:space="preserve">statutárního </w:t>
      </w:r>
      <w:r w:rsidRPr="00324B2D">
        <w:rPr>
          <w:rFonts w:ascii="Arial" w:hAnsi="Arial" w:cs="Arial"/>
        </w:rPr>
        <w:t xml:space="preserve"> zástupce</w:t>
      </w:r>
      <w:r>
        <w:rPr>
          <w:rFonts w:ascii="Arial" w:hAnsi="Arial" w:cs="Arial"/>
        </w:rPr>
        <w:t xml:space="preserve"> a osoby odpovědné za zpracování.</w:t>
      </w:r>
    </w:p>
    <w:p w:rsidR="00FE08FF" w:rsidRPr="00324B2D" w:rsidRDefault="00FE08FF" w:rsidP="00FE08FF">
      <w:pPr>
        <w:pStyle w:val="Normlnweb"/>
        <w:autoSpaceDE w:val="0"/>
        <w:autoSpaceDN w:val="0"/>
        <w:adjustRightInd w:val="0"/>
        <w:spacing w:before="120" w:beforeAutospacing="0" w:after="0" w:afterAutospacing="0" w:line="276" w:lineRule="auto"/>
        <w:ind w:left="425"/>
        <w:jc w:val="both"/>
        <w:rPr>
          <w:rFonts w:ascii="Arial" w:hAnsi="Arial" w:cs="Arial"/>
          <w:b/>
        </w:rPr>
      </w:pPr>
      <w:r w:rsidRPr="00324B2D">
        <w:rPr>
          <w:rFonts w:ascii="Arial" w:hAnsi="Arial" w:cs="Arial"/>
        </w:rPr>
        <w:t xml:space="preserve">                   </w:t>
      </w:r>
    </w:p>
    <w:p w:rsidR="00FE08FF" w:rsidRPr="00324B2D" w:rsidRDefault="00FE08FF" w:rsidP="00FE08FF">
      <w:pPr>
        <w:pStyle w:val="Nadpis1"/>
        <w:keepLines w:val="0"/>
        <w:numPr>
          <w:ilvl w:val="0"/>
          <w:numId w:val="34"/>
        </w:numPr>
        <w:spacing w:before="12" w:after="12" w:line="276" w:lineRule="auto"/>
        <w:ind w:left="57" w:hanging="57"/>
      </w:pPr>
      <w:bookmarkStart w:id="10" w:name="_Toc355015298"/>
      <w:bookmarkStart w:id="11" w:name="_Toc393282033"/>
      <w:bookmarkStart w:id="12" w:name="_Toc393869626"/>
      <w:r w:rsidRPr="00324B2D">
        <w:t>Závěrečná ustanovení</w:t>
      </w:r>
      <w:bookmarkEnd w:id="10"/>
      <w:bookmarkEnd w:id="11"/>
      <w:bookmarkEnd w:id="12"/>
    </w:p>
    <w:p w:rsidR="00FE08FF" w:rsidRPr="00324B2D" w:rsidRDefault="00FE08FF" w:rsidP="00FE08FF">
      <w:pPr>
        <w:pStyle w:val="Normlnweb"/>
        <w:numPr>
          <w:ilvl w:val="0"/>
          <w:numId w:val="28"/>
        </w:numPr>
        <w:spacing w:before="120" w:beforeAutospacing="0" w:after="120" w:afterAutospacing="0" w:line="276" w:lineRule="auto"/>
        <w:ind w:left="425" w:hanging="425"/>
        <w:jc w:val="both"/>
        <w:rPr>
          <w:rFonts w:ascii="Arial" w:hAnsi="Arial" w:cs="Arial"/>
        </w:rPr>
      </w:pPr>
      <w:r w:rsidRPr="00324B2D">
        <w:rPr>
          <w:rFonts w:ascii="Arial" w:hAnsi="Arial" w:cs="Arial"/>
        </w:rPr>
        <w:t>Tento metodický pokyn je závazný pro</w:t>
      </w:r>
      <w:r>
        <w:rPr>
          <w:rFonts w:ascii="Arial" w:hAnsi="Arial" w:cs="Arial"/>
        </w:rPr>
        <w:t xml:space="preserve"> nemocnici Mariánské Lázně se sídlem</w:t>
      </w:r>
      <w:r w:rsidRPr="00AF06C2">
        <w:rPr>
          <w:rFonts w:ascii="Arial" w:hAnsi="Arial" w:cs="Arial"/>
        </w:rPr>
        <w:t xml:space="preserve"> U Nemocnice 91/3, Úšovice, 353 01 Mariánské Lázně</w:t>
      </w:r>
      <w:r>
        <w:rPr>
          <w:rFonts w:ascii="Arial" w:hAnsi="Arial" w:cs="Arial"/>
        </w:rPr>
        <w:t>, kterou</w:t>
      </w:r>
      <w:r w:rsidRPr="00324B2D">
        <w:rPr>
          <w:rFonts w:ascii="Arial" w:hAnsi="Arial" w:cs="Arial"/>
        </w:rPr>
        <w:t xml:space="preserve"> </w:t>
      </w:r>
      <w:r>
        <w:rPr>
          <w:rFonts w:ascii="Arial" w:hAnsi="Arial" w:cs="Arial"/>
        </w:rPr>
        <w:t xml:space="preserve">Karlovarský </w:t>
      </w:r>
      <w:r w:rsidRPr="00324B2D">
        <w:rPr>
          <w:rFonts w:ascii="Arial" w:hAnsi="Arial" w:cs="Arial"/>
        </w:rPr>
        <w:t xml:space="preserve"> kraj pověři</w:t>
      </w:r>
      <w:r>
        <w:rPr>
          <w:rFonts w:ascii="Arial" w:hAnsi="Arial" w:cs="Arial"/>
        </w:rPr>
        <w:t>l poskytováním SOHZ a se kterou</w:t>
      </w:r>
      <w:r w:rsidRPr="00324B2D">
        <w:rPr>
          <w:rFonts w:ascii="Arial" w:hAnsi="Arial" w:cs="Arial"/>
        </w:rPr>
        <w:t xml:space="preserve"> byla uzavřena smlouva.</w:t>
      </w:r>
    </w:p>
    <w:p w:rsidR="00FE08FF" w:rsidRPr="005C363D" w:rsidRDefault="00FE08FF" w:rsidP="00FE08FF">
      <w:pPr>
        <w:pStyle w:val="Normlnweb"/>
        <w:numPr>
          <w:ilvl w:val="0"/>
          <w:numId w:val="28"/>
        </w:numPr>
        <w:spacing w:before="120" w:beforeAutospacing="0" w:after="120" w:afterAutospacing="0" w:line="276" w:lineRule="auto"/>
        <w:ind w:left="425" w:hanging="425"/>
        <w:jc w:val="both"/>
        <w:rPr>
          <w:rFonts w:ascii="Arial" w:hAnsi="Arial" w:cs="Arial"/>
        </w:rPr>
      </w:pPr>
      <w:r w:rsidRPr="005C363D">
        <w:rPr>
          <w:rFonts w:ascii="Arial" w:hAnsi="Arial" w:cs="Arial"/>
        </w:rPr>
        <w:t xml:space="preserve">Tento metodický pokyn nabývá účinnosti dne 1.1.2019. </w:t>
      </w:r>
    </w:p>
    <w:p w:rsidR="00FE08FF" w:rsidRDefault="00FE08FF" w:rsidP="00FE08FF">
      <w:pPr>
        <w:pStyle w:val="Default"/>
      </w:pPr>
    </w:p>
    <w:p w:rsidR="00FE08FF" w:rsidRDefault="00FE08FF" w:rsidP="00FE08FF">
      <w:pPr>
        <w:pStyle w:val="Default"/>
      </w:pPr>
    </w:p>
    <w:p w:rsidR="00FE08FF" w:rsidRDefault="00FE08FF" w:rsidP="00FE08FF">
      <w:pPr>
        <w:pStyle w:val="Default"/>
      </w:pPr>
    </w:p>
    <w:p w:rsidR="00FE08FF" w:rsidRDefault="00FE08FF" w:rsidP="00FE08FF">
      <w:pPr>
        <w:pStyle w:val="Default"/>
      </w:pPr>
    </w:p>
    <w:p w:rsidR="00FE08FF" w:rsidRDefault="00FE08FF" w:rsidP="00FE08FF">
      <w:pPr>
        <w:pStyle w:val="Default"/>
      </w:pPr>
    </w:p>
    <w:p w:rsidR="00FE08FF" w:rsidRDefault="00FE08FF" w:rsidP="00FE08FF">
      <w:pPr>
        <w:pStyle w:val="Default"/>
      </w:pPr>
    </w:p>
    <w:p w:rsidR="00FE08FF" w:rsidRDefault="00FE08FF" w:rsidP="00FE08FF">
      <w:pPr>
        <w:pStyle w:val="Default"/>
      </w:pPr>
    </w:p>
    <w:p w:rsidR="00FE08FF" w:rsidRDefault="00FE08FF" w:rsidP="00FE08FF">
      <w:pPr>
        <w:pStyle w:val="Default"/>
      </w:pPr>
    </w:p>
    <w:p w:rsidR="00FE08FF" w:rsidRDefault="00FE08FF" w:rsidP="00FE08FF">
      <w:pPr>
        <w:pStyle w:val="Default"/>
      </w:pPr>
    </w:p>
    <w:p w:rsidR="00FE08FF" w:rsidRDefault="00FE08FF" w:rsidP="00FE08FF">
      <w:pPr>
        <w:pStyle w:val="Default"/>
      </w:pPr>
    </w:p>
    <w:p w:rsidR="00FE08FF" w:rsidRDefault="00FE08FF" w:rsidP="00FE08FF">
      <w:pPr>
        <w:pStyle w:val="Default"/>
      </w:pPr>
    </w:p>
    <w:p w:rsidR="00FE08FF" w:rsidRDefault="00FE08FF" w:rsidP="00FE08FF">
      <w:pPr>
        <w:pStyle w:val="Default"/>
      </w:pPr>
    </w:p>
    <w:p w:rsidR="00FE08FF" w:rsidRDefault="00FE08FF" w:rsidP="00FE08FF">
      <w:pPr>
        <w:pStyle w:val="Default"/>
      </w:pPr>
    </w:p>
    <w:p w:rsidR="00FE08FF" w:rsidRDefault="00FE08FF" w:rsidP="00FE08FF">
      <w:pPr>
        <w:pStyle w:val="Default"/>
      </w:pPr>
    </w:p>
    <w:p w:rsidR="00FE08FF" w:rsidRDefault="00FE08FF" w:rsidP="00FE08FF">
      <w:pPr>
        <w:pStyle w:val="Default"/>
      </w:pPr>
    </w:p>
    <w:p w:rsidR="00FE08FF" w:rsidRDefault="00FE08FF" w:rsidP="00FE08FF">
      <w:pPr>
        <w:pStyle w:val="Default"/>
      </w:pPr>
    </w:p>
    <w:p w:rsidR="00FE08FF" w:rsidRDefault="00FE08FF" w:rsidP="00FE08FF">
      <w:pPr>
        <w:pStyle w:val="Default"/>
      </w:pPr>
    </w:p>
    <w:p w:rsidR="00FE08FF" w:rsidRDefault="00FE08FF" w:rsidP="00FE08FF">
      <w:pPr>
        <w:pStyle w:val="Default"/>
      </w:pPr>
    </w:p>
    <w:p w:rsidR="00FE08FF" w:rsidRDefault="00FE08FF" w:rsidP="00FE08FF">
      <w:pPr>
        <w:pStyle w:val="Default"/>
      </w:pPr>
    </w:p>
    <w:p w:rsidR="00FE08FF" w:rsidRDefault="00FE08FF" w:rsidP="00FE08FF">
      <w:pPr>
        <w:pStyle w:val="Default"/>
      </w:pPr>
      <w:r>
        <w:t>Vzor předběžné, mimořádné a výsledné kalkulace:</w:t>
      </w:r>
    </w:p>
    <w:tbl>
      <w:tblPr>
        <w:tblW w:w="9680" w:type="dxa"/>
        <w:jc w:val="center"/>
        <w:tblCellMar>
          <w:left w:w="70" w:type="dxa"/>
          <w:right w:w="70" w:type="dxa"/>
        </w:tblCellMar>
        <w:tblLook w:val="04A0" w:firstRow="1" w:lastRow="0" w:firstColumn="1" w:lastColumn="0" w:noHBand="0" w:noVBand="1"/>
      </w:tblPr>
      <w:tblGrid>
        <w:gridCol w:w="1420"/>
        <w:gridCol w:w="1500"/>
        <w:gridCol w:w="1460"/>
        <w:gridCol w:w="1460"/>
        <w:gridCol w:w="1322"/>
        <w:gridCol w:w="2620"/>
      </w:tblGrid>
      <w:tr w:rsidR="00FE08FF" w:rsidRPr="00324B2D" w:rsidTr="008E0926">
        <w:trPr>
          <w:trHeight w:val="698"/>
          <w:jc w:val="center"/>
        </w:trPr>
        <w:tc>
          <w:tcPr>
            <w:tcW w:w="1420" w:type="dxa"/>
            <w:tcBorders>
              <w:top w:val="single" w:sz="8" w:space="0" w:color="auto"/>
              <w:left w:val="single" w:sz="8" w:space="0" w:color="auto"/>
              <w:bottom w:val="single" w:sz="8" w:space="0" w:color="000000"/>
              <w:right w:val="single" w:sz="8" w:space="0" w:color="auto"/>
            </w:tcBorders>
            <w:shd w:val="clear" w:color="auto" w:fill="auto"/>
            <w:vAlign w:val="center"/>
          </w:tcPr>
          <w:p w:rsidR="00FE08FF" w:rsidRPr="00324B2D" w:rsidRDefault="00FE08FF" w:rsidP="008E0926">
            <w:pPr>
              <w:jc w:val="center"/>
              <w:rPr>
                <w:rFonts w:ascii="Arial" w:hAnsi="Arial" w:cs="Arial"/>
                <w:color w:val="000000"/>
                <w:sz w:val="17"/>
                <w:szCs w:val="17"/>
              </w:rPr>
            </w:pPr>
            <w:r w:rsidRPr="00324B2D">
              <w:rPr>
                <w:rFonts w:ascii="Arial" w:hAnsi="Arial" w:cs="Arial"/>
                <w:color w:val="000000"/>
                <w:sz w:val="17"/>
                <w:szCs w:val="17"/>
              </w:rPr>
              <w:t>A</w:t>
            </w:r>
          </w:p>
          <w:p w:rsidR="00FE08FF" w:rsidRPr="00324B2D" w:rsidRDefault="00FE08FF" w:rsidP="008E0926">
            <w:pPr>
              <w:jc w:val="center"/>
              <w:rPr>
                <w:rFonts w:ascii="Arial" w:hAnsi="Arial" w:cs="Arial"/>
                <w:color w:val="000000"/>
                <w:sz w:val="17"/>
                <w:szCs w:val="17"/>
              </w:rPr>
            </w:pPr>
          </w:p>
          <w:p w:rsidR="00FE08FF" w:rsidRPr="00324B2D" w:rsidRDefault="00FE08FF" w:rsidP="008E0926">
            <w:pPr>
              <w:jc w:val="center"/>
              <w:rPr>
                <w:rFonts w:ascii="Arial" w:hAnsi="Arial" w:cs="Arial"/>
                <w:color w:val="000000"/>
                <w:sz w:val="17"/>
                <w:szCs w:val="17"/>
              </w:rPr>
            </w:pPr>
            <w:r w:rsidRPr="00324B2D">
              <w:rPr>
                <w:rFonts w:ascii="Arial" w:hAnsi="Arial" w:cs="Arial"/>
                <w:color w:val="000000"/>
                <w:sz w:val="17"/>
                <w:szCs w:val="17"/>
              </w:rPr>
              <w:t>pro rok</w:t>
            </w:r>
          </w:p>
        </w:tc>
        <w:tc>
          <w:tcPr>
            <w:tcW w:w="1500" w:type="dxa"/>
            <w:tcBorders>
              <w:top w:val="single" w:sz="8" w:space="0" w:color="auto"/>
              <w:left w:val="single" w:sz="8" w:space="0" w:color="auto"/>
              <w:bottom w:val="single" w:sz="4" w:space="0" w:color="000000"/>
              <w:right w:val="single" w:sz="8" w:space="0" w:color="auto"/>
            </w:tcBorders>
            <w:shd w:val="clear" w:color="auto" w:fill="auto"/>
            <w:vAlign w:val="center"/>
          </w:tcPr>
          <w:p w:rsidR="00FE08FF" w:rsidRPr="00324B2D" w:rsidRDefault="00FE08FF" w:rsidP="008E0926">
            <w:pPr>
              <w:jc w:val="center"/>
              <w:rPr>
                <w:rFonts w:ascii="Arial" w:hAnsi="Arial" w:cs="Arial"/>
                <w:bCs/>
                <w:color w:val="000000"/>
                <w:sz w:val="17"/>
                <w:szCs w:val="17"/>
              </w:rPr>
            </w:pPr>
            <w:r w:rsidRPr="00324B2D">
              <w:rPr>
                <w:rFonts w:ascii="Arial" w:hAnsi="Arial" w:cs="Arial"/>
                <w:bCs/>
                <w:color w:val="000000"/>
                <w:sz w:val="17"/>
                <w:szCs w:val="17"/>
              </w:rPr>
              <w:t>B</w:t>
            </w:r>
          </w:p>
          <w:p w:rsidR="00FE08FF" w:rsidRPr="00324B2D" w:rsidRDefault="00FE08FF" w:rsidP="008E0926">
            <w:pPr>
              <w:jc w:val="center"/>
              <w:rPr>
                <w:rFonts w:ascii="Arial" w:hAnsi="Arial" w:cs="Arial"/>
                <w:bCs/>
                <w:color w:val="000000"/>
                <w:sz w:val="17"/>
                <w:szCs w:val="17"/>
              </w:rPr>
            </w:pPr>
          </w:p>
          <w:p w:rsidR="00FE08FF" w:rsidRPr="00324B2D" w:rsidRDefault="00FE08FF" w:rsidP="008E0926">
            <w:pPr>
              <w:jc w:val="center"/>
              <w:rPr>
                <w:rFonts w:ascii="Arial" w:hAnsi="Arial" w:cs="Arial"/>
                <w:b/>
                <w:bCs/>
                <w:color w:val="000000"/>
                <w:sz w:val="17"/>
                <w:szCs w:val="17"/>
              </w:rPr>
            </w:pPr>
            <w:r>
              <w:rPr>
                <w:rFonts w:ascii="Arial" w:hAnsi="Arial" w:cs="Arial"/>
                <w:bCs/>
                <w:color w:val="000000"/>
                <w:sz w:val="17"/>
                <w:szCs w:val="17"/>
              </w:rPr>
              <w:t>c</w:t>
            </w:r>
            <w:r w:rsidRPr="00324B2D">
              <w:rPr>
                <w:rFonts w:ascii="Arial" w:hAnsi="Arial" w:cs="Arial"/>
                <w:bCs/>
                <w:color w:val="000000"/>
                <w:sz w:val="17"/>
                <w:szCs w:val="17"/>
              </w:rPr>
              <w:t>elkem</w:t>
            </w:r>
          </w:p>
        </w:tc>
        <w:tc>
          <w:tcPr>
            <w:tcW w:w="1460" w:type="dxa"/>
            <w:tcBorders>
              <w:top w:val="single" w:sz="8" w:space="0" w:color="auto"/>
              <w:left w:val="single" w:sz="8" w:space="0" w:color="auto"/>
              <w:bottom w:val="single" w:sz="4" w:space="0" w:color="auto"/>
              <w:right w:val="single" w:sz="4" w:space="0" w:color="auto"/>
            </w:tcBorders>
            <w:shd w:val="clear" w:color="auto" w:fill="FFC000"/>
            <w:noWrap/>
            <w:vAlign w:val="center"/>
          </w:tcPr>
          <w:p w:rsidR="00FE08FF" w:rsidRPr="00324B2D" w:rsidRDefault="00FE08FF" w:rsidP="008E0926">
            <w:pPr>
              <w:jc w:val="center"/>
              <w:rPr>
                <w:rFonts w:ascii="Arial" w:hAnsi="Arial" w:cs="Arial"/>
                <w:color w:val="000000"/>
                <w:sz w:val="17"/>
                <w:szCs w:val="17"/>
              </w:rPr>
            </w:pPr>
            <w:r w:rsidRPr="00324B2D">
              <w:rPr>
                <w:rFonts w:ascii="Arial" w:hAnsi="Arial" w:cs="Arial"/>
                <w:color w:val="000000"/>
                <w:sz w:val="17"/>
                <w:szCs w:val="17"/>
              </w:rPr>
              <w:t>C</w:t>
            </w:r>
          </w:p>
          <w:p w:rsidR="00FE08FF" w:rsidRPr="00324B2D" w:rsidRDefault="00FE08FF" w:rsidP="008E0926">
            <w:pPr>
              <w:jc w:val="center"/>
              <w:rPr>
                <w:rFonts w:ascii="Arial" w:hAnsi="Arial" w:cs="Arial"/>
                <w:color w:val="000000"/>
                <w:sz w:val="17"/>
                <w:szCs w:val="17"/>
              </w:rPr>
            </w:pPr>
          </w:p>
          <w:p w:rsidR="00FE08FF" w:rsidRPr="00324B2D" w:rsidRDefault="00FE08FF" w:rsidP="008E0926">
            <w:pPr>
              <w:jc w:val="center"/>
              <w:rPr>
                <w:rFonts w:ascii="Arial" w:hAnsi="Arial" w:cs="Arial"/>
                <w:color w:val="000000"/>
                <w:sz w:val="17"/>
                <w:szCs w:val="17"/>
              </w:rPr>
            </w:pPr>
            <w:r>
              <w:rPr>
                <w:rFonts w:ascii="Arial" w:hAnsi="Arial" w:cs="Arial"/>
                <w:color w:val="000000"/>
                <w:sz w:val="17"/>
                <w:szCs w:val="17"/>
              </w:rPr>
              <w:t>Oddělení nebo konkrétní druh pohotovostní služby</w:t>
            </w:r>
          </w:p>
        </w:tc>
        <w:tc>
          <w:tcPr>
            <w:tcW w:w="1460" w:type="dxa"/>
            <w:tcBorders>
              <w:top w:val="single" w:sz="8" w:space="0" w:color="auto"/>
              <w:left w:val="single" w:sz="4" w:space="0" w:color="auto"/>
              <w:bottom w:val="single" w:sz="4" w:space="0" w:color="000000"/>
              <w:right w:val="single" w:sz="8" w:space="0" w:color="auto"/>
            </w:tcBorders>
            <w:shd w:val="clear" w:color="auto" w:fill="FFC000"/>
            <w:vAlign w:val="center"/>
          </w:tcPr>
          <w:p w:rsidR="00FE08FF" w:rsidRPr="00324B2D" w:rsidRDefault="00FE08FF" w:rsidP="008E0926">
            <w:pPr>
              <w:jc w:val="center"/>
              <w:rPr>
                <w:rFonts w:ascii="Arial" w:hAnsi="Arial" w:cs="Arial"/>
                <w:color w:val="000000"/>
                <w:sz w:val="17"/>
                <w:szCs w:val="17"/>
              </w:rPr>
            </w:pPr>
            <w:r w:rsidRPr="00324B2D">
              <w:rPr>
                <w:rFonts w:ascii="Arial" w:hAnsi="Arial" w:cs="Arial"/>
                <w:color w:val="000000"/>
                <w:sz w:val="17"/>
                <w:szCs w:val="17"/>
              </w:rPr>
              <w:t>D</w:t>
            </w:r>
          </w:p>
          <w:p w:rsidR="00FE08FF" w:rsidRPr="00324B2D" w:rsidRDefault="00FE08FF" w:rsidP="008E0926">
            <w:pPr>
              <w:jc w:val="center"/>
              <w:rPr>
                <w:rFonts w:ascii="Arial" w:hAnsi="Arial" w:cs="Arial"/>
                <w:color w:val="000000"/>
                <w:sz w:val="17"/>
                <w:szCs w:val="17"/>
              </w:rPr>
            </w:pPr>
          </w:p>
          <w:p w:rsidR="00FE08FF" w:rsidRPr="00324B2D" w:rsidRDefault="00FE08FF" w:rsidP="008E0926">
            <w:pPr>
              <w:jc w:val="center"/>
              <w:rPr>
                <w:rFonts w:ascii="Arial" w:hAnsi="Arial" w:cs="Arial"/>
                <w:color w:val="000000"/>
                <w:sz w:val="17"/>
                <w:szCs w:val="17"/>
              </w:rPr>
            </w:pPr>
            <w:r>
              <w:rPr>
                <w:rFonts w:ascii="Arial" w:hAnsi="Arial" w:cs="Arial"/>
                <w:color w:val="000000"/>
                <w:sz w:val="17"/>
                <w:szCs w:val="17"/>
              </w:rPr>
              <w:t>O</w:t>
            </w:r>
            <w:r w:rsidRPr="00324B2D">
              <w:rPr>
                <w:rFonts w:ascii="Arial" w:hAnsi="Arial" w:cs="Arial"/>
                <w:color w:val="000000"/>
                <w:sz w:val="17"/>
                <w:szCs w:val="17"/>
              </w:rPr>
              <w:t>ddělení</w:t>
            </w:r>
            <w:r>
              <w:rPr>
                <w:rFonts w:ascii="Arial" w:hAnsi="Arial" w:cs="Arial"/>
                <w:color w:val="000000"/>
                <w:sz w:val="17"/>
                <w:szCs w:val="17"/>
              </w:rPr>
              <w:t xml:space="preserve"> nebo konkrétní druh pohotovostní služby</w:t>
            </w:r>
          </w:p>
        </w:tc>
        <w:tc>
          <w:tcPr>
            <w:tcW w:w="1220" w:type="dxa"/>
            <w:tcBorders>
              <w:top w:val="single" w:sz="8" w:space="0" w:color="auto"/>
              <w:left w:val="single" w:sz="8" w:space="0" w:color="auto"/>
              <w:bottom w:val="single" w:sz="4" w:space="0" w:color="000000"/>
              <w:right w:val="single" w:sz="4" w:space="0" w:color="auto"/>
            </w:tcBorders>
            <w:shd w:val="clear" w:color="auto" w:fill="FFFF00"/>
            <w:noWrap/>
            <w:vAlign w:val="center"/>
          </w:tcPr>
          <w:p w:rsidR="00FE08FF" w:rsidRPr="00324B2D" w:rsidRDefault="00FE08FF" w:rsidP="008E0926">
            <w:pPr>
              <w:jc w:val="center"/>
              <w:rPr>
                <w:rFonts w:ascii="Arial" w:hAnsi="Arial" w:cs="Arial"/>
                <w:color w:val="000000"/>
                <w:sz w:val="17"/>
                <w:szCs w:val="17"/>
              </w:rPr>
            </w:pPr>
          </w:p>
          <w:p w:rsidR="00FE08FF" w:rsidRPr="00324B2D" w:rsidRDefault="00FE08FF" w:rsidP="008E0926">
            <w:pPr>
              <w:jc w:val="center"/>
              <w:rPr>
                <w:rFonts w:ascii="Arial" w:hAnsi="Arial" w:cs="Arial"/>
                <w:color w:val="000000"/>
                <w:sz w:val="17"/>
                <w:szCs w:val="17"/>
              </w:rPr>
            </w:pPr>
            <w:r w:rsidRPr="00324B2D">
              <w:rPr>
                <w:rFonts w:ascii="Arial" w:hAnsi="Arial" w:cs="Arial"/>
                <w:color w:val="000000"/>
                <w:sz w:val="17"/>
                <w:szCs w:val="17"/>
              </w:rPr>
              <w:t>E</w:t>
            </w:r>
          </w:p>
          <w:p w:rsidR="00FE08FF" w:rsidRPr="00324B2D" w:rsidRDefault="00FE08FF" w:rsidP="008E0926">
            <w:pPr>
              <w:jc w:val="center"/>
              <w:rPr>
                <w:rFonts w:ascii="Arial" w:hAnsi="Arial" w:cs="Arial"/>
                <w:color w:val="000000"/>
                <w:sz w:val="17"/>
                <w:szCs w:val="17"/>
              </w:rPr>
            </w:pPr>
          </w:p>
          <w:p w:rsidR="00FE08FF" w:rsidRPr="00324B2D" w:rsidRDefault="00FE08FF" w:rsidP="008E0926">
            <w:pPr>
              <w:jc w:val="center"/>
              <w:rPr>
                <w:rFonts w:ascii="Arial" w:hAnsi="Arial" w:cs="Arial"/>
                <w:color w:val="000000"/>
                <w:sz w:val="17"/>
                <w:szCs w:val="17"/>
              </w:rPr>
            </w:pPr>
            <w:r>
              <w:rPr>
                <w:rFonts w:ascii="Arial" w:hAnsi="Arial" w:cs="Arial"/>
                <w:color w:val="000000"/>
                <w:sz w:val="17"/>
                <w:szCs w:val="17"/>
              </w:rPr>
              <w:t>o</w:t>
            </w:r>
            <w:r w:rsidRPr="00324B2D">
              <w:rPr>
                <w:rFonts w:ascii="Arial" w:hAnsi="Arial" w:cs="Arial"/>
                <w:color w:val="000000"/>
                <w:sz w:val="17"/>
                <w:szCs w:val="17"/>
              </w:rPr>
              <w:t>statní zdravotní</w:t>
            </w:r>
          </w:p>
        </w:tc>
        <w:tc>
          <w:tcPr>
            <w:tcW w:w="2620" w:type="dxa"/>
            <w:tcBorders>
              <w:top w:val="single" w:sz="4" w:space="0" w:color="auto"/>
              <w:left w:val="single" w:sz="4" w:space="0" w:color="auto"/>
              <w:bottom w:val="single" w:sz="4" w:space="0" w:color="auto"/>
              <w:right w:val="single" w:sz="4" w:space="0" w:color="auto"/>
            </w:tcBorders>
            <w:shd w:val="clear" w:color="auto" w:fill="FF33CC"/>
            <w:vAlign w:val="center"/>
          </w:tcPr>
          <w:p w:rsidR="00FE08FF" w:rsidRPr="00324B2D" w:rsidRDefault="00FE08FF" w:rsidP="008E0926">
            <w:pPr>
              <w:jc w:val="center"/>
              <w:rPr>
                <w:rFonts w:ascii="Arial" w:hAnsi="Arial" w:cs="Arial"/>
                <w:color w:val="000000"/>
                <w:sz w:val="17"/>
                <w:szCs w:val="17"/>
              </w:rPr>
            </w:pPr>
          </w:p>
          <w:p w:rsidR="00FE08FF" w:rsidRPr="00324B2D" w:rsidRDefault="00FE08FF" w:rsidP="008E0926">
            <w:pPr>
              <w:jc w:val="center"/>
              <w:rPr>
                <w:rFonts w:ascii="Arial" w:hAnsi="Arial" w:cs="Arial"/>
                <w:color w:val="000000"/>
                <w:sz w:val="17"/>
                <w:szCs w:val="17"/>
              </w:rPr>
            </w:pPr>
            <w:r w:rsidRPr="00324B2D">
              <w:rPr>
                <w:rFonts w:ascii="Arial" w:hAnsi="Arial" w:cs="Arial"/>
                <w:color w:val="000000"/>
                <w:sz w:val="17"/>
                <w:szCs w:val="17"/>
              </w:rPr>
              <w:t>G</w:t>
            </w:r>
          </w:p>
          <w:p w:rsidR="00FE08FF" w:rsidRPr="00324B2D" w:rsidRDefault="00FE08FF" w:rsidP="008E0926">
            <w:pPr>
              <w:jc w:val="center"/>
              <w:rPr>
                <w:rFonts w:ascii="Arial" w:hAnsi="Arial" w:cs="Arial"/>
                <w:color w:val="000000"/>
                <w:sz w:val="17"/>
                <w:szCs w:val="17"/>
              </w:rPr>
            </w:pPr>
          </w:p>
          <w:p w:rsidR="00FE08FF" w:rsidRPr="00324B2D" w:rsidRDefault="00FE08FF" w:rsidP="008E0926">
            <w:pPr>
              <w:jc w:val="center"/>
              <w:rPr>
                <w:rFonts w:ascii="Arial" w:hAnsi="Arial" w:cs="Arial"/>
                <w:color w:val="000000"/>
                <w:sz w:val="17"/>
                <w:szCs w:val="17"/>
              </w:rPr>
            </w:pPr>
            <w:r w:rsidRPr="00324B2D">
              <w:rPr>
                <w:rFonts w:ascii="Arial" w:hAnsi="Arial" w:cs="Arial"/>
                <w:color w:val="000000"/>
                <w:sz w:val="17"/>
                <w:szCs w:val="17"/>
              </w:rPr>
              <w:t>celková výše vyrovnávací platby SOHZ</w:t>
            </w:r>
          </w:p>
        </w:tc>
      </w:tr>
      <w:tr w:rsidR="00FE08FF" w:rsidRPr="00324B2D" w:rsidTr="008E0926">
        <w:trPr>
          <w:trHeight w:val="255"/>
          <w:jc w:val="center"/>
        </w:trPr>
        <w:tc>
          <w:tcPr>
            <w:tcW w:w="1420" w:type="dxa"/>
            <w:tcBorders>
              <w:top w:val="nil"/>
              <w:left w:val="single" w:sz="8" w:space="0" w:color="auto"/>
              <w:bottom w:val="single" w:sz="4" w:space="0" w:color="auto"/>
              <w:right w:val="nil"/>
            </w:tcBorders>
            <w:shd w:val="clear" w:color="auto" w:fill="auto"/>
            <w:noWrap/>
            <w:vAlign w:val="center"/>
          </w:tcPr>
          <w:p w:rsidR="00FE08FF" w:rsidRPr="00324B2D" w:rsidRDefault="00FE08FF" w:rsidP="008E0926">
            <w:pPr>
              <w:rPr>
                <w:rFonts w:ascii="Arial" w:hAnsi="Arial" w:cs="Arial"/>
                <w:color w:val="000000"/>
                <w:sz w:val="17"/>
                <w:szCs w:val="17"/>
              </w:rPr>
            </w:pPr>
            <w:r w:rsidRPr="00324B2D">
              <w:rPr>
                <w:rFonts w:ascii="Arial" w:hAnsi="Arial" w:cs="Arial"/>
                <w:color w:val="000000"/>
                <w:sz w:val="17"/>
                <w:szCs w:val="17"/>
              </w:rPr>
              <w:t>4 spotřeba materiálu</w:t>
            </w:r>
          </w:p>
        </w:tc>
        <w:tc>
          <w:tcPr>
            <w:tcW w:w="1500" w:type="dxa"/>
            <w:tcBorders>
              <w:top w:val="nil"/>
              <w:left w:val="single" w:sz="8" w:space="0" w:color="auto"/>
              <w:bottom w:val="single" w:sz="4" w:space="0" w:color="auto"/>
              <w:right w:val="nil"/>
            </w:tcBorders>
            <w:shd w:val="clear" w:color="auto" w:fill="auto"/>
            <w:noWrap/>
            <w:vAlign w:val="center"/>
          </w:tcPr>
          <w:p w:rsidR="00FE08FF" w:rsidRPr="00324B2D" w:rsidRDefault="00FE08FF" w:rsidP="008E0926">
            <w:pPr>
              <w:rPr>
                <w:rFonts w:ascii="Arial" w:hAnsi="Arial" w:cs="Arial"/>
                <w:color w:val="000000"/>
                <w:sz w:val="17"/>
                <w:szCs w:val="17"/>
              </w:rPr>
            </w:pPr>
            <w:r>
              <w:rPr>
                <w:rFonts w:ascii="Arial" w:hAnsi="Arial" w:cs="Arial"/>
                <w:color w:val="000000"/>
                <w:sz w:val="17"/>
                <w:szCs w:val="17"/>
              </w:rPr>
              <w:t xml:space="preserve">součet účtů </w:t>
            </w:r>
            <w:r w:rsidRPr="00324B2D">
              <w:rPr>
                <w:rFonts w:ascii="Arial" w:hAnsi="Arial" w:cs="Arial"/>
                <w:color w:val="000000"/>
                <w:sz w:val="17"/>
                <w:szCs w:val="17"/>
              </w:rPr>
              <w:t>501</w:t>
            </w:r>
            <w:r>
              <w:rPr>
                <w:rFonts w:ascii="Arial" w:hAnsi="Arial" w:cs="Arial"/>
                <w:color w:val="000000"/>
                <w:sz w:val="17"/>
                <w:szCs w:val="17"/>
              </w:rPr>
              <w:t xml:space="preserve"> </w:t>
            </w:r>
            <w:r>
              <w:rPr>
                <w:rFonts w:ascii="Arial" w:hAnsi="Arial" w:cs="Arial"/>
                <w:color w:val="000000"/>
                <w:sz w:val="17"/>
                <w:szCs w:val="17"/>
              </w:rPr>
              <w:br/>
              <w:t>a</w:t>
            </w:r>
            <w:r w:rsidRPr="00324B2D">
              <w:rPr>
                <w:rFonts w:ascii="Arial" w:hAnsi="Arial" w:cs="Arial"/>
                <w:color w:val="000000"/>
                <w:sz w:val="17"/>
                <w:szCs w:val="17"/>
              </w:rPr>
              <w:t xml:space="preserve"> 503</w:t>
            </w:r>
          </w:p>
        </w:tc>
        <w:tc>
          <w:tcPr>
            <w:tcW w:w="1460" w:type="dxa"/>
            <w:tcBorders>
              <w:top w:val="nil"/>
              <w:left w:val="single" w:sz="8" w:space="0" w:color="auto"/>
              <w:bottom w:val="single" w:sz="4" w:space="0" w:color="auto"/>
              <w:right w:val="single" w:sz="4" w:space="0" w:color="auto"/>
            </w:tcBorders>
            <w:shd w:val="clear" w:color="auto" w:fill="auto"/>
            <w:noWrap/>
            <w:vAlign w:val="center"/>
          </w:tcPr>
          <w:p w:rsidR="00FE08FF" w:rsidRPr="00324B2D" w:rsidRDefault="00FE08FF" w:rsidP="008E0926">
            <w:pPr>
              <w:rPr>
                <w:rFonts w:ascii="Arial" w:hAnsi="Arial" w:cs="Arial"/>
                <w:color w:val="000000"/>
                <w:sz w:val="17"/>
                <w:szCs w:val="17"/>
              </w:rPr>
            </w:pPr>
            <w:r w:rsidRPr="00324B2D">
              <w:rPr>
                <w:rFonts w:ascii="Arial" w:hAnsi="Arial" w:cs="Arial"/>
                <w:color w:val="000000"/>
                <w:sz w:val="17"/>
                <w:szCs w:val="17"/>
              </w:rPr>
              <w:t> </w:t>
            </w:r>
          </w:p>
        </w:tc>
        <w:tc>
          <w:tcPr>
            <w:tcW w:w="1460" w:type="dxa"/>
            <w:tcBorders>
              <w:top w:val="nil"/>
              <w:left w:val="nil"/>
              <w:bottom w:val="single" w:sz="4" w:space="0" w:color="auto"/>
              <w:right w:val="nil"/>
            </w:tcBorders>
            <w:shd w:val="clear" w:color="auto" w:fill="auto"/>
            <w:noWrap/>
            <w:vAlign w:val="center"/>
          </w:tcPr>
          <w:p w:rsidR="00FE08FF" w:rsidRPr="00324B2D" w:rsidRDefault="00FE08FF" w:rsidP="008E0926">
            <w:pPr>
              <w:rPr>
                <w:rFonts w:ascii="Arial" w:hAnsi="Arial" w:cs="Arial"/>
                <w:color w:val="000000"/>
                <w:sz w:val="17"/>
                <w:szCs w:val="17"/>
              </w:rPr>
            </w:pPr>
            <w:r w:rsidRPr="00324B2D">
              <w:rPr>
                <w:rFonts w:ascii="Arial" w:hAnsi="Arial" w:cs="Arial"/>
                <w:color w:val="000000"/>
                <w:sz w:val="17"/>
                <w:szCs w:val="17"/>
              </w:rPr>
              <w:t> </w:t>
            </w:r>
          </w:p>
        </w:tc>
        <w:tc>
          <w:tcPr>
            <w:tcW w:w="1220" w:type="dxa"/>
            <w:vMerge w:val="restart"/>
            <w:tcBorders>
              <w:top w:val="single" w:sz="8" w:space="0" w:color="auto"/>
              <w:left w:val="single" w:sz="8" w:space="0" w:color="auto"/>
              <w:bottom w:val="single" w:sz="8" w:space="0" w:color="000000"/>
              <w:right w:val="nil"/>
            </w:tcBorders>
            <w:shd w:val="clear" w:color="auto" w:fill="FFFF00"/>
            <w:vAlign w:val="center"/>
          </w:tcPr>
          <w:p w:rsidR="00FE08FF" w:rsidRPr="00324B2D" w:rsidRDefault="00FE08FF" w:rsidP="008E0926">
            <w:pPr>
              <w:rPr>
                <w:rFonts w:ascii="Arial" w:hAnsi="Arial" w:cs="Arial"/>
                <w:color w:val="000000"/>
                <w:sz w:val="17"/>
                <w:szCs w:val="17"/>
              </w:rPr>
            </w:pPr>
            <w:r>
              <w:rPr>
                <w:rFonts w:ascii="Arial" w:hAnsi="Arial" w:cs="Arial"/>
                <w:color w:val="000000"/>
                <w:sz w:val="17"/>
                <w:szCs w:val="17"/>
              </w:rPr>
              <w:t xml:space="preserve">Náklady </w:t>
            </w:r>
            <w:r w:rsidRPr="00324B2D">
              <w:rPr>
                <w:rFonts w:ascii="Arial" w:hAnsi="Arial" w:cs="Arial"/>
                <w:color w:val="000000"/>
                <w:sz w:val="17"/>
                <w:szCs w:val="17"/>
              </w:rPr>
              <w:t xml:space="preserve"> ze středisek nutných </w:t>
            </w:r>
            <w:r>
              <w:rPr>
                <w:rFonts w:ascii="Arial" w:hAnsi="Arial" w:cs="Arial"/>
                <w:color w:val="000000"/>
                <w:sz w:val="17"/>
                <w:szCs w:val="17"/>
              </w:rPr>
              <w:br/>
            </w:r>
            <w:r w:rsidRPr="00324B2D">
              <w:rPr>
                <w:rFonts w:ascii="Arial" w:hAnsi="Arial" w:cs="Arial"/>
                <w:color w:val="000000"/>
                <w:sz w:val="17"/>
                <w:szCs w:val="17"/>
              </w:rPr>
              <w:t xml:space="preserve">k </w:t>
            </w:r>
            <w:r>
              <w:rPr>
                <w:rFonts w:ascii="Arial" w:hAnsi="Arial" w:cs="Arial"/>
                <w:color w:val="000000"/>
                <w:sz w:val="17"/>
                <w:szCs w:val="17"/>
              </w:rPr>
              <w:t xml:space="preserve">provozování Služeb, které jsou předmětem SOHZ, které nelze přímo přiřadit k jednotlivým oddělením (pohotovostem) </w:t>
            </w:r>
            <w:r w:rsidRPr="00324B2D">
              <w:rPr>
                <w:rFonts w:ascii="Arial" w:hAnsi="Arial" w:cs="Arial"/>
                <w:color w:val="000000"/>
                <w:sz w:val="17"/>
                <w:szCs w:val="17"/>
              </w:rPr>
              <w:br/>
              <w:t xml:space="preserve">+ ústavní lékárna </w:t>
            </w:r>
            <w:r>
              <w:rPr>
                <w:rFonts w:ascii="Arial" w:hAnsi="Arial" w:cs="Arial"/>
                <w:color w:val="000000"/>
                <w:sz w:val="17"/>
                <w:szCs w:val="17"/>
              </w:rPr>
              <w:br/>
            </w:r>
            <w:r w:rsidRPr="00324B2D">
              <w:rPr>
                <w:rFonts w:ascii="Arial" w:hAnsi="Arial" w:cs="Arial"/>
                <w:color w:val="000000"/>
                <w:sz w:val="17"/>
                <w:szCs w:val="17"/>
              </w:rPr>
              <w:t>+ kuchyně pacienti</w:t>
            </w:r>
            <w:r>
              <w:rPr>
                <w:rFonts w:ascii="Arial" w:hAnsi="Arial" w:cs="Arial"/>
                <w:color w:val="000000"/>
                <w:sz w:val="17"/>
                <w:szCs w:val="17"/>
              </w:rPr>
              <w:t xml:space="preserve"> a zaměstnanci </w:t>
            </w:r>
            <w:proofErr w:type="spellStart"/>
            <w:r>
              <w:rPr>
                <w:rFonts w:ascii="Arial" w:hAnsi="Arial" w:cs="Arial"/>
                <w:color w:val="000000"/>
                <w:sz w:val="17"/>
                <w:szCs w:val="17"/>
              </w:rPr>
              <w:t>oddělení,které</w:t>
            </w:r>
            <w:proofErr w:type="spellEnd"/>
            <w:r>
              <w:rPr>
                <w:rFonts w:ascii="Arial" w:hAnsi="Arial" w:cs="Arial"/>
                <w:color w:val="000000"/>
                <w:sz w:val="17"/>
                <w:szCs w:val="17"/>
              </w:rPr>
              <w:t xml:space="preserve"> jsou předmětem SOHZ</w:t>
            </w:r>
            <w:r>
              <w:rPr>
                <w:rFonts w:ascii="Arial" w:hAnsi="Arial" w:cs="Arial"/>
                <w:color w:val="000000"/>
                <w:sz w:val="17"/>
                <w:szCs w:val="17"/>
              </w:rPr>
              <w:br/>
              <w:t xml:space="preserve">+ sterilizace. Tyto náklady budou uplatněné pouze ve výši jejich rozúčtování  k jednotlivým oddělením resp. pohotovostním službám, které jsou předmětem  SOHZ dle bodu 2 b metodiky. </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08FF" w:rsidRPr="00324B2D" w:rsidRDefault="00FE08FF" w:rsidP="008E0926">
            <w:pPr>
              <w:rPr>
                <w:rFonts w:ascii="Arial" w:hAnsi="Arial" w:cs="Arial"/>
                <w:color w:val="000000"/>
                <w:sz w:val="17"/>
                <w:szCs w:val="17"/>
              </w:rPr>
            </w:pPr>
            <w:r>
              <w:rPr>
                <w:rFonts w:ascii="Arial" w:hAnsi="Arial" w:cs="Arial"/>
                <w:color w:val="000000"/>
                <w:sz w:val="17"/>
                <w:szCs w:val="17"/>
              </w:rPr>
              <w:t>C4+D4+E4=B4</w:t>
            </w:r>
          </w:p>
        </w:tc>
      </w:tr>
      <w:tr w:rsidR="00FE08FF" w:rsidRPr="00324B2D" w:rsidTr="008E0926">
        <w:trPr>
          <w:trHeight w:val="255"/>
          <w:jc w:val="center"/>
        </w:trPr>
        <w:tc>
          <w:tcPr>
            <w:tcW w:w="1420" w:type="dxa"/>
            <w:tcBorders>
              <w:top w:val="nil"/>
              <w:left w:val="single" w:sz="8" w:space="0" w:color="auto"/>
              <w:bottom w:val="single" w:sz="4" w:space="0" w:color="auto"/>
              <w:right w:val="nil"/>
            </w:tcBorders>
            <w:shd w:val="clear" w:color="auto" w:fill="auto"/>
            <w:noWrap/>
            <w:vAlign w:val="center"/>
          </w:tcPr>
          <w:p w:rsidR="00FE08FF" w:rsidRPr="00324B2D" w:rsidRDefault="00FE08FF" w:rsidP="008E0926">
            <w:pPr>
              <w:rPr>
                <w:rFonts w:ascii="Arial" w:hAnsi="Arial" w:cs="Arial"/>
                <w:color w:val="000000"/>
                <w:sz w:val="17"/>
                <w:szCs w:val="17"/>
              </w:rPr>
            </w:pPr>
            <w:r w:rsidRPr="00324B2D">
              <w:rPr>
                <w:rFonts w:ascii="Arial" w:hAnsi="Arial" w:cs="Arial"/>
                <w:color w:val="000000"/>
                <w:sz w:val="17"/>
                <w:szCs w:val="17"/>
              </w:rPr>
              <w:t>5 osobní náklady</w:t>
            </w:r>
          </w:p>
        </w:tc>
        <w:tc>
          <w:tcPr>
            <w:tcW w:w="1500" w:type="dxa"/>
            <w:tcBorders>
              <w:top w:val="nil"/>
              <w:left w:val="single" w:sz="8" w:space="0" w:color="auto"/>
              <w:bottom w:val="single" w:sz="4" w:space="0" w:color="auto"/>
              <w:right w:val="nil"/>
            </w:tcBorders>
            <w:shd w:val="clear" w:color="auto" w:fill="auto"/>
            <w:noWrap/>
            <w:vAlign w:val="center"/>
          </w:tcPr>
          <w:p w:rsidR="00FE08FF" w:rsidRPr="00324B2D" w:rsidRDefault="00FE08FF" w:rsidP="008E0926">
            <w:pPr>
              <w:rPr>
                <w:rFonts w:ascii="Arial" w:hAnsi="Arial" w:cs="Arial"/>
                <w:color w:val="000000"/>
                <w:sz w:val="17"/>
                <w:szCs w:val="17"/>
              </w:rPr>
            </w:pPr>
            <w:r>
              <w:rPr>
                <w:rFonts w:ascii="Arial" w:hAnsi="Arial" w:cs="Arial"/>
                <w:color w:val="000000"/>
                <w:sz w:val="17"/>
                <w:szCs w:val="17"/>
              </w:rPr>
              <w:t xml:space="preserve">od skupiny </w:t>
            </w:r>
            <w:r w:rsidRPr="00324B2D">
              <w:rPr>
                <w:rFonts w:ascii="Arial" w:hAnsi="Arial" w:cs="Arial"/>
                <w:color w:val="000000"/>
                <w:sz w:val="17"/>
                <w:szCs w:val="17"/>
              </w:rPr>
              <w:t>52.</w:t>
            </w:r>
            <w:r>
              <w:rPr>
                <w:rFonts w:ascii="Arial" w:hAnsi="Arial" w:cs="Arial"/>
                <w:color w:val="000000"/>
                <w:sz w:val="17"/>
                <w:szCs w:val="17"/>
              </w:rPr>
              <w:t xml:space="preserve"> odečíst účty </w:t>
            </w:r>
            <w:r w:rsidRPr="00324B2D">
              <w:rPr>
                <w:rFonts w:ascii="Arial" w:hAnsi="Arial" w:cs="Arial"/>
                <w:color w:val="000000"/>
                <w:sz w:val="17"/>
                <w:szCs w:val="17"/>
              </w:rPr>
              <w:t>522</w:t>
            </w:r>
            <w:r>
              <w:rPr>
                <w:rFonts w:ascii="Arial" w:hAnsi="Arial" w:cs="Arial"/>
                <w:color w:val="000000"/>
                <w:sz w:val="17"/>
                <w:szCs w:val="17"/>
              </w:rPr>
              <w:br/>
              <w:t>a</w:t>
            </w:r>
            <w:r w:rsidRPr="00324B2D">
              <w:rPr>
                <w:rFonts w:ascii="Arial" w:hAnsi="Arial" w:cs="Arial"/>
                <w:color w:val="000000"/>
                <w:sz w:val="17"/>
                <w:szCs w:val="17"/>
              </w:rPr>
              <w:t xml:space="preserve"> 523 </w:t>
            </w:r>
          </w:p>
        </w:tc>
        <w:tc>
          <w:tcPr>
            <w:tcW w:w="1460" w:type="dxa"/>
            <w:tcBorders>
              <w:top w:val="nil"/>
              <w:left w:val="single" w:sz="8" w:space="0" w:color="auto"/>
              <w:bottom w:val="single" w:sz="4" w:space="0" w:color="auto"/>
              <w:right w:val="single" w:sz="4" w:space="0" w:color="auto"/>
            </w:tcBorders>
            <w:shd w:val="clear" w:color="auto" w:fill="auto"/>
            <w:noWrap/>
            <w:vAlign w:val="center"/>
          </w:tcPr>
          <w:p w:rsidR="00FE08FF" w:rsidRPr="00324B2D" w:rsidRDefault="00FE08FF" w:rsidP="008E0926">
            <w:pPr>
              <w:rPr>
                <w:rFonts w:ascii="Arial" w:hAnsi="Arial" w:cs="Arial"/>
                <w:color w:val="000000"/>
                <w:sz w:val="17"/>
                <w:szCs w:val="17"/>
              </w:rPr>
            </w:pPr>
            <w:r w:rsidRPr="00324B2D">
              <w:rPr>
                <w:rFonts w:ascii="Arial" w:hAnsi="Arial" w:cs="Arial"/>
                <w:color w:val="000000"/>
                <w:sz w:val="17"/>
                <w:szCs w:val="17"/>
              </w:rPr>
              <w:t> </w:t>
            </w:r>
          </w:p>
        </w:tc>
        <w:tc>
          <w:tcPr>
            <w:tcW w:w="1460" w:type="dxa"/>
            <w:tcBorders>
              <w:top w:val="nil"/>
              <w:left w:val="nil"/>
              <w:bottom w:val="single" w:sz="4" w:space="0" w:color="auto"/>
              <w:right w:val="nil"/>
            </w:tcBorders>
            <w:shd w:val="clear" w:color="auto" w:fill="auto"/>
            <w:noWrap/>
            <w:vAlign w:val="center"/>
          </w:tcPr>
          <w:p w:rsidR="00FE08FF" w:rsidRPr="00324B2D" w:rsidRDefault="00FE08FF" w:rsidP="008E0926">
            <w:pPr>
              <w:rPr>
                <w:rFonts w:ascii="Arial" w:hAnsi="Arial" w:cs="Arial"/>
                <w:color w:val="000000"/>
                <w:sz w:val="17"/>
                <w:szCs w:val="17"/>
              </w:rPr>
            </w:pPr>
            <w:r w:rsidRPr="00324B2D">
              <w:rPr>
                <w:rFonts w:ascii="Arial" w:hAnsi="Arial" w:cs="Arial"/>
                <w:color w:val="000000"/>
                <w:sz w:val="17"/>
                <w:szCs w:val="17"/>
              </w:rPr>
              <w:t> </w:t>
            </w:r>
          </w:p>
        </w:tc>
        <w:tc>
          <w:tcPr>
            <w:tcW w:w="1220" w:type="dxa"/>
            <w:vMerge/>
            <w:tcBorders>
              <w:top w:val="single" w:sz="8" w:space="0" w:color="auto"/>
              <w:left w:val="single" w:sz="8" w:space="0" w:color="auto"/>
              <w:bottom w:val="single" w:sz="8" w:space="0" w:color="000000"/>
              <w:right w:val="nil"/>
            </w:tcBorders>
            <w:shd w:val="clear" w:color="auto" w:fill="FFFF00"/>
            <w:vAlign w:val="center"/>
          </w:tcPr>
          <w:p w:rsidR="00FE08FF" w:rsidRPr="00324B2D" w:rsidRDefault="00FE08FF" w:rsidP="008E0926">
            <w:pPr>
              <w:rPr>
                <w:rFonts w:ascii="Arial" w:hAnsi="Arial" w:cs="Arial"/>
                <w:color w:val="000000"/>
                <w:sz w:val="17"/>
                <w:szCs w:val="17"/>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08FF" w:rsidRPr="00324B2D" w:rsidRDefault="00FE08FF" w:rsidP="008E0926">
            <w:pPr>
              <w:rPr>
                <w:rFonts w:ascii="Arial" w:hAnsi="Arial" w:cs="Arial"/>
                <w:color w:val="000000"/>
                <w:sz w:val="17"/>
                <w:szCs w:val="17"/>
              </w:rPr>
            </w:pPr>
            <w:r>
              <w:rPr>
                <w:rFonts w:ascii="Arial" w:hAnsi="Arial" w:cs="Arial"/>
                <w:color w:val="000000"/>
                <w:sz w:val="17"/>
                <w:szCs w:val="17"/>
              </w:rPr>
              <w:t>C5+D5+E5=B5</w:t>
            </w:r>
          </w:p>
        </w:tc>
      </w:tr>
      <w:tr w:rsidR="00FE08FF" w:rsidRPr="00324B2D" w:rsidTr="008E0926">
        <w:trPr>
          <w:trHeight w:val="255"/>
          <w:jc w:val="center"/>
        </w:trPr>
        <w:tc>
          <w:tcPr>
            <w:tcW w:w="1420" w:type="dxa"/>
            <w:tcBorders>
              <w:top w:val="nil"/>
              <w:left w:val="single" w:sz="8" w:space="0" w:color="auto"/>
              <w:bottom w:val="single" w:sz="4" w:space="0" w:color="auto"/>
              <w:right w:val="nil"/>
            </w:tcBorders>
            <w:shd w:val="clear" w:color="auto" w:fill="auto"/>
            <w:noWrap/>
            <w:vAlign w:val="center"/>
          </w:tcPr>
          <w:p w:rsidR="00FE08FF" w:rsidRPr="00324B2D" w:rsidRDefault="00FE08FF" w:rsidP="008E0926">
            <w:pPr>
              <w:rPr>
                <w:rFonts w:ascii="Arial" w:hAnsi="Arial" w:cs="Arial"/>
                <w:color w:val="000000"/>
                <w:sz w:val="17"/>
                <w:szCs w:val="17"/>
              </w:rPr>
            </w:pPr>
            <w:r w:rsidRPr="00324B2D">
              <w:rPr>
                <w:rFonts w:ascii="Arial" w:hAnsi="Arial" w:cs="Arial"/>
                <w:color w:val="000000"/>
                <w:sz w:val="17"/>
                <w:szCs w:val="17"/>
              </w:rPr>
              <w:t>6 ostatní služby</w:t>
            </w:r>
          </w:p>
        </w:tc>
        <w:tc>
          <w:tcPr>
            <w:tcW w:w="1500" w:type="dxa"/>
            <w:tcBorders>
              <w:top w:val="nil"/>
              <w:left w:val="single" w:sz="8" w:space="0" w:color="auto"/>
              <w:bottom w:val="single" w:sz="4" w:space="0" w:color="auto"/>
              <w:right w:val="nil"/>
            </w:tcBorders>
            <w:shd w:val="clear" w:color="auto" w:fill="auto"/>
            <w:noWrap/>
            <w:vAlign w:val="center"/>
          </w:tcPr>
          <w:p w:rsidR="00FE08FF" w:rsidRPr="00324B2D" w:rsidRDefault="00FE08FF" w:rsidP="008E0926">
            <w:pPr>
              <w:rPr>
                <w:rFonts w:ascii="Arial" w:hAnsi="Arial" w:cs="Arial"/>
                <w:color w:val="000000"/>
                <w:sz w:val="17"/>
                <w:szCs w:val="17"/>
              </w:rPr>
            </w:pPr>
            <w:r>
              <w:rPr>
                <w:rFonts w:ascii="Arial" w:hAnsi="Arial" w:cs="Arial"/>
                <w:color w:val="000000"/>
                <w:sz w:val="17"/>
                <w:szCs w:val="17"/>
              </w:rPr>
              <w:t>Účet 518</w:t>
            </w:r>
          </w:p>
        </w:tc>
        <w:tc>
          <w:tcPr>
            <w:tcW w:w="1460" w:type="dxa"/>
            <w:tcBorders>
              <w:top w:val="nil"/>
              <w:left w:val="single" w:sz="8" w:space="0" w:color="auto"/>
              <w:bottom w:val="single" w:sz="4" w:space="0" w:color="auto"/>
              <w:right w:val="single" w:sz="4" w:space="0" w:color="auto"/>
            </w:tcBorders>
            <w:shd w:val="clear" w:color="auto" w:fill="auto"/>
            <w:noWrap/>
            <w:vAlign w:val="center"/>
          </w:tcPr>
          <w:p w:rsidR="00FE08FF" w:rsidRPr="00324B2D" w:rsidRDefault="00FE08FF" w:rsidP="008E0926">
            <w:pPr>
              <w:rPr>
                <w:rFonts w:ascii="Arial" w:hAnsi="Arial" w:cs="Arial"/>
                <w:color w:val="000000"/>
                <w:sz w:val="17"/>
                <w:szCs w:val="17"/>
              </w:rPr>
            </w:pPr>
            <w:r w:rsidRPr="00324B2D">
              <w:rPr>
                <w:rFonts w:ascii="Arial" w:hAnsi="Arial" w:cs="Arial"/>
                <w:color w:val="000000"/>
                <w:sz w:val="17"/>
                <w:szCs w:val="17"/>
              </w:rPr>
              <w:t> </w:t>
            </w:r>
          </w:p>
        </w:tc>
        <w:tc>
          <w:tcPr>
            <w:tcW w:w="1460" w:type="dxa"/>
            <w:tcBorders>
              <w:top w:val="nil"/>
              <w:left w:val="nil"/>
              <w:bottom w:val="single" w:sz="4" w:space="0" w:color="auto"/>
              <w:right w:val="nil"/>
            </w:tcBorders>
            <w:shd w:val="clear" w:color="auto" w:fill="auto"/>
            <w:noWrap/>
            <w:vAlign w:val="center"/>
          </w:tcPr>
          <w:p w:rsidR="00FE08FF" w:rsidRPr="00324B2D" w:rsidRDefault="00FE08FF" w:rsidP="008E0926">
            <w:pPr>
              <w:rPr>
                <w:rFonts w:ascii="Arial" w:hAnsi="Arial" w:cs="Arial"/>
                <w:color w:val="000000"/>
                <w:sz w:val="17"/>
                <w:szCs w:val="17"/>
              </w:rPr>
            </w:pPr>
            <w:r w:rsidRPr="00324B2D">
              <w:rPr>
                <w:rFonts w:ascii="Arial" w:hAnsi="Arial" w:cs="Arial"/>
                <w:color w:val="000000"/>
                <w:sz w:val="17"/>
                <w:szCs w:val="17"/>
              </w:rPr>
              <w:t> </w:t>
            </w:r>
          </w:p>
        </w:tc>
        <w:tc>
          <w:tcPr>
            <w:tcW w:w="1220" w:type="dxa"/>
            <w:vMerge/>
            <w:tcBorders>
              <w:top w:val="single" w:sz="8" w:space="0" w:color="auto"/>
              <w:left w:val="single" w:sz="8" w:space="0" w:color="auto"/>
              <w:bottom w:val="single" w:sz="8" w:space="0" w:color="000000"/>
              <w:right w:val="nil"/>
            </w:tcBorders>
            <w:shd w:val="clear" w:color="auto" w:fill="FFFF00"/>
            <w:vAlign w:val="center"/>
          </w:tcPr>
          <w:p w:rsidR="00FE08FF" w:rsidRPr="00324B2D" w:rsidRDefault="00FE08FF" w:rsidP="008E0926">
            <w:pPr>
              <w:rPr>
                <w:rFonts w:ascii="Arial" w:hAnsi="Arial" w:cs="Arial"/>
                <w:color w:val="000000"/>
                <w:sz w:val="17"/>
                <w:szCs w:val="17"/>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08FF" w:rsidRPr="00324B2D" w:rsidRDefault="00FE08FF" w:rsidP="008E0926">
            <w:pPr>
              <w:rPr>
                <w:rFonts w:ascii="Arial" w:hAnsi="Arial" w:cs="Arial"/>
                <w:color w:val="000000"/>
                <w:sz w:val="17"/>
                <w:szCs w:val="17"/>
              </w:rPr>
            </w:pPr>
            <w:r>
              <w:rPr>
                <w:rFonts w:ascii="Arial" w:hAnsi="Arial" w:cs="Arial"/>
                <w:color w:val="000000"/>
                <w:sz w:val="17"/>
                <w:szCs w:val="17"/>
              </w:rPr>
              <w:t>C6+D6+E6=B6</w:t>
            </w:r>
          </w:p>
        </w:tc>
      </w:tr>
      <w:tr w:rsidR="00FE08FF" w:rsidRPr="00324B2D" w:rsidTr="008E0926">
        <w:trPr>
          <w:trHeight w:val="255"/>
          <w:jc w:val="center"/>
        </w:trPr>
        <w:tc>
          <w:tcPr>
            <w:tcW w:w="1420" w:type="dxa"/>
            <w:tcBorders>
              <w:top w:val="nil"/>
              <w:left w:val="single" w:sz="8" w:space="0" w:color="auto"/>
              <w:bottom w:val="single" w:sz="4" w:space="0" w:color="auto"/>
              <w:right w:val="nil"/>
            </w:tcBorders>
            <w:shd w:val="clear" w:color="auto" w:fill="auto"/>
            <w:noWrap/>
            <w:vAlign w:val="center"/>
          </w:tcPr>
          <w:p w:rsidR="00FE08FF" w:rsidRPr="00324B2D" w:rsidRDefault="00FE08FF" w:rsidP="008E0926">
            <w:pPr>
              <w:rPr>
                <w:rFonts w:ascii="Arial" w:hAnsi="Arial" w:cs="Arial"/>
                <w:color w:val="000000"/>
                <w:sz w:val="17"/>
                <w:szCs w:val="17"/>
              </w:rPr>
            </w:pPr>
            <w:r w:rsidRPr="00324B2D">
              <w:rPr>
                <w:rFonts w:ascii="Arial" w:hAnsi="Arial" w:cs="Arial"/>
                <w:color w:val="000000"/>
                <w:sz w:val="17"/>
                <w:szCs w:val="17"/>
              </w:rPr>
              <w:t>7 spotřeba energie</w:t>
            </w:r>
          </w:p>
        </w:tc>
        <w:tc>
          <w:tcPr>
            <w:tcW w:w="1500" w:type="dxa"/>
            <w:tcBorders>
              <w:top w:val="nil"/>
              <w:left w:val="single" w:sz="8" w:space="0" w:color="auto"/>
              <w:bottom w:val="single" w:sz="4" w:space="0" w:color="auto"/>
              <w:right w:val="nil"/>
            </w:tcBorders>
            <w:shd w:val="clear" w:color="auto" w:fill="auto"/>
            <w:noWrap/>
            <w:vAlign w:val="center"/>
          </w:tcPr>
          <w:p w:rsidR="00FE08FF" w:rsidRPr="00324B2D" w:rsidRDefault="00FE08FF" w:rsidP="008E0926">
            <w:pPr>
              <w:rPr>
                <w:rFonts w:ascii="Arial" w:hAnsi="Arial" w:cs="Arial"/>
                <w:color w:val="000000"/>
                <w:sz w:val="17"/>
                <w:szCs w:val="17"/>
              </w:rPr>
            </w:pPr>
            <w:r>
              <w:rPr>
                <w:rFonts w:ascii="Arial" w:hAnsi="Arial" w:cs="Arial"/>
                <w:color w:val="000000"/>
                <w:sz w:val="17"/>
                <w:szCs w:val="17"/>
              </w:rPr>
              <w:t xml:space="preserve">účet </w:t>
            </w:r>
            <w:r w:rsidRPr="00324B2D">
              <w:rPr>
                <w:rFonts w:ascii="Arial" w:hAnsi="Arial" w:cs="Arial"/>
                <w:color w:val="000000"/>
                <w:sz w:val="17"/>
                <w:szCs w:val="17"/>
              </w:rPr>
              <w:t>502</w:t>
            </w:r>
          </w:p>
        </w:tc>
        <w:tc>
          <w:tcPr>
            <w:tcW w:w="1460" w:type="dxa"/>
            <w:tcBorders>
              <w:top w:val="nil"/>
              <w:left w:val="single" w:sz="8" w:space="0" w:color="auto"/>
              <w:bottom w:val="single" w:sz="4" w:space="0" w:color="auto"/>
              <w:right w:val="single" w:sz="4" w:space="0" w:color="auto"/>
            </w:tcBorders>
            <w:shd w:val="clear" w:color="auto" w:fill="auto"/>
            <w:noWrap/>
            <w:vAlign w:val="center"/>
          </w:tcPr>
          <w:p w:rsidR="00FE08FF" w:rsidRPr="00324B2D" w:rsidRDefault="00FE08FF" w:rsidP="008E0926">
            <w:pPr>
              <w:rPr>
                <w:rFonts w:ascii="Arial" w:hAnsi="Arial" w:cs="Arial"/>
                <w:color w:val="000000"/>
                <w:sz w:val="17"/>
                <w:szCs w:val="17"/>
              </w:rPr>
            </w:pPr>
            <w:r w:rsidRPr="00324B2D">
              <w:rPr>
                <w:rFonts w:ascii="Arial" w:hAnsi="Arial" w:cs="Arial"/>
                <w:color w:val="000000"/>
                <w:sz w:val="17"/>
                <w:szCs w:val="17"/>
              </w:rPr>
              <w:t> </w:t>
            </w:r>
          </w:p>
        </w:tc>
        <w:tc>
          <w:tcPr>
            <w:tcW w:w="1460" w:type="dxa"/>
            <w:tcBorders>
              <w:top w:val="nil"/>
              <w:left w:val="nil"/>
              <w:bottom w:val="single" w:sz="4" w:space="0" w:color="auto"/>
              <w:right w:val="nil"/>
            </w:tcBorders>
            <w:shd w:val="clear" w:color="auto" w:fill="auto"/>
            <w:noWrap/>
            <w:vAlign w:val="center"/>
          </w:tcPr>
          <w:p w:rsidR="00FE08FF" w:rsidRPr="00324B2D" w:rsidRDefault="00FE08FF" w:rsidP="008E0926">
            <w:pPr>
              <w:rPr>
                <w:rFonts w:ascii="Arial" w:hAnsi="Arial" w:cs="Arial"/>
                <w:color w:val="000000"/>
                <w:sz w:val="17"/>
                <w:szCs w:val="17"/>
              </w:rPr>
            </w:pPr>
            <w:r w:rsidRPr="00324B2D">
              <w:rPr>
                <w:rFonts w:ascii="Arial" w:hAnsi="Arial" w:cs="Arial"/>
                <w:color w:val="000000"/>
                <w:sz w:val="17"/>
                <w:szCs w:val="17"/>
              </w:rPr>
              <w:t> </w:t>
            </w:r>
          </w:p>
        </w:tc>
        <w:tc>
          <w:tcPr>
            <w:tcW w:w="1220" w:type="dxa"/>
            <w:vMerge/>
            <w:tcBorders>
              <w:top w:val="single" w:sz="8" w:space="0" w:color="auto"/>
              <w:left w:val="single" w:sz="8" w:space="0" w:color="auto"/>
              <w:bottom w:val="single" w:sz="8" w:space="0" w:color="000000"/>
              <w:right w:val="nil"/>
            </w:tcBorders>
            <w:shd w:val="clear" w:color="auto" w:fill="FFFF00"/>
            <w:vAlign w:val="center"/>
          </w:tcPr>
          <w:p w:rsidR="00FE08FF" w:rsidRPr="00324B2D" w:rsidRDefault="00FE08FF" w:rsidP="008E0926">
            <w:pPr>
              <w:rPr>
                <w:rFonts w:ascii="Arial" w:hAnsi="Arial" w:cs="Arial"/>
                <w:color w:val="000000"/>
                <w:sz w:val="17"/>
                <w:szCs w:val="17"/>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08FF" w:rsidRPr="00324B2D" w:rsidRDefault="00FE08FF" w:rsidP="008E0926">
            <w:pPr>
              <w:rPr>
                <w:rFonts w:ascii="Arial" w:hAnsi="Arial" w:cs="Arial"/>
                <w:color w:val="000000"/>
                <w:sz w:val="17"/>
                <w:szCs w:val="17"/>
              </w:rPr>
            </w:pPr>
            <w:r>
              <w:rPr>
                <w:rFonts w:ascii="Arial" w:hAnsi="Arial" w:cs="Arial"/>
                <w:color w:val="000000"/>
                <w:sz w:val="17"/>
                <w:szCs w:val="17"/>
              </w:rPr>
              <w:t>C7+D7+E7=B7</w:t>
            </w:r>
          </w:p>
        </w:tc>
      </w:tr>
      <w:tr w:rsidR="00FE08FF" w:rsidRPr="00324B2D" w:rsidTr="008E0926">
        <w:trPr>
          <w:trHeight w:val="255"/>
          <w:jc w:val="center"/>
        </w:trPr>
        <w:tc>
          <w:tcPr>
            <w:tcW w:w="1420" w:type="dxa"/>
            <w:tcBorders>
              <w:top w:val="nil"/>
              <w:left w:val="single" w:sz="8" w:space="0" w:color="auto"/>
              <w:bottom w:val="single" w:sz="4" w:space="0" w:color="auto"/>
              <w:right w:val="nil"/>
            </w:tcBorders>
            <w:shd w:val="clear" w:color="auto" w:fill="auto"/>
            <w:noWrap/>
            <w:vAlign w:val="center"/>
          </w:tcPr>
          <w:p w:rsidR="00FE08FF" w:rsidRPr="00324B2D" w:rsidRDefault="00FE08FF" w:rsidP="008E0926">
            <w:pPr>
              <w:rPr>
                <w:rFonts w:ascii="Arial" w:hAnsi="Arial" w:cs="Arial"/>
                <w:color w:val="000000"/>
                <w:sz w:val="17"/>
                <w:szCs w:val="17"/>
              </w:rPr>
            </w:pPr>
            <w:r w:rsidRPr="00324B2D">
              <w:rPr>
                <w:rFonts w:ascii="Arial" w:hAnsi="Arial" w:cs="Arial"/>
                <w:color w:val="000000"/>
                <w:sz w:val="17"/>
                <w:szCs w:val="17"/>
              </w:rPr>
              <w:t xml:space="preserve">8 opravy </w:t>
            </w:r>
            <w:r>
              <w:rPr>
                <w:rFonts w:ascii="Arial" w:hAnsi="Arial" w:cs="Arial"/>
                <w:color w:val="000000"/>
                <w:sz w:val="17"/>
                <w:szCs w:val="17"/>
              </w:rPr>
              <w:br/>
            </w:r>
            <w:r w:rsidRPr="00324B2D">
              <w:rPr>
                <w:rFonts w:ascii="Arial" w:hAnsi="Arial" w:cs="Arial"/>
                <w:color w:val="000000"/>
                <w:sz w:val="17"/>
                <w:szCs w:val="17"/>
              </w:rPr>
              <w:t>a udržování</w:t>
            </w:r>
          </w:p>
        </w:tc>
        <w:tc>
          <w:tcPr>
            <w:tcW w:w="1500" w:type="dxa"/>
            <w:tcBorders>
              <w:top w:val="nil"/>
              <w:left w:val="single" w:sz="8" w:space="0" w:color="auto"/>
              <w:bottom w:val="single" w:sz="4" w:space="0" w:color="auto"/>
              <w:right w:val="nil"/>
            </w:tcBorders>
            <w:shd w:val="clear" w:color="auto" w:fill="auto"/>
            <w:noWrap/>
            <w:vAlign w:val="center"/>
          </w:tcPr>
          <w:p w:rsidR="00FE08FF" w:rsidRPr="00324B2D" w:rsidRDefault="00FE08FF" w:rsidP="008E0926">
            <w:pPr>
              <w:rPr>
                <w:rFonts w:ascii="Arial" w:hAnsi="Arial" w:cs="Arial"/>
                <w:color w:val="000000"/>
                <w:sz w:val="17"/>
                <w:szCs w:val="17"/>
              </w:rPr>
            </w:pPr>
            <w:r>
              <w:rPr>
                <w:rFonts w:ascii="Arial" w:hAnsi="Arial" w:cs="Arial"/>
                <w:color w:val="000000"/>
                <w:sz w:val="17"/>
                <w:szCs w:val="17"/>
              </w:rPr>
              <w:t xml:space="preserve">účet </w:t>
            </w:r>
            <w:r w:rsidRPr="00324B2D">
              <w:rPr>
                <w:rFonts w:ascii="Arial" w:hAnsi="Arial" w:cs="Arial"/>
                <w:color w:val="000000"/>
                <w:sz w:val="17"/>
                <w:szCs w:val="17"/>
              </w:rPr>
              <w:t>511</w:t>
            </w:r>
          </w:p>
        </w:tc>
        <w:tc>
          <w:tcPr>
            <w:tcW w:w="1460" w:type="dxa"/>
            <w:tcBorders>
              <w:top w:val="nil"/>
              <w:left w:val="single" w:sz="8" w:space="0" w:color="auto"/>
              <w:bottom w:val="single" w:sz="4" w:space="0" w:color="auto"/>
              <w:right w:val="single" w:sz="4" w:space="0" w:color="auto"/>
            </w:tcBorders>
            <w:shd w:val="clear" w:color="auto" w:fill="auto"/>
            <w:noWrap/>
            <w:vAlign w:val="center"/>
          </w:tcPr>
          <w:p w:rsidR="00FE08FF" w:rsidRPr="00324B2D" w:rsidRDefault="00FE08FF" w:rsidP="008E0926">
            <w:pPr>
              <w:rPr>
                <w:rFonts w:ascii="Arial" w:hAnsi="Arial" w:cs="Arial"/>
                <w:color w:val="000000"/>
                <w:sz w:val="17"/>
                <w:szCs w:val="17"/>
              </w:rPr>
            </w:pPr>
            <w:r w:rsidRPr="00324B2D">
              <w:rPr>
                <w:rFonts w:ascii="Arial" w:hAnsi="Arial" w:cs="Arial"/>
                <w:color w:val="000000"/>
                <w:sz w:val="17"/>
                <w:szCs w:val="17"/>
              </w:rPr>
              <w:t> </w:t>
            </w:r>
          </w:p>
        </w:tc>
        <w:tc>
          <w:tcPr>
            <w:tcW w:w="1460" w:type="dxa"/>
            <w:tcBorders>
              <w:top w:val="nil"/>
              <w:left w:val="nil"/>
              <w:bottom w:val="single" w:sz="4" w:space="0" w:color="auto"/>
              <w:right w:val="nil"/>
            </w:tcBorders>
            <w:shd w:val="clear" w:color="auto" w:fill="auto"/>
            <w:noWrap/>
            <w:vAlign w:val="center"/>
          </w:tcPr>
          <w:p w:rsidR="00FE08FF" w:rsidRPr="00324B2D" w:rsidRDefault="00FE08FF" w:rsidP="008E0926">
            <w:pPr>
              <w:rPr>
                <w:rFonts w:ascii="Arial" w:hAnsi="Arial" w:cs="Arial"/>
                <w:color w:val="000000"/>
                <w:sz w:val="17"/>
                <w:szCs w:val="17"/>
              </w:rPr>
            </w:pPr>
            <w:r w:rsidRPr="00324B2D">
              <w:rPr>
                <w:rFonts w:ascii="Arial" w:hAnsi="Arial" w:cs="Arial"/>
                <w:color w:val="000000"/>
                <w:sz w:val="17"/>
                <w:szCs w:val="17"/>
              </w:rPr>
              <w:t> </w:t>
            </w:r>
          </w:p>
        </w:tc>
        <w:tc>
          <w:tcPr>
            <w:tcW w:w="1220" w:type="dxa"/>
            <w:vMerge/>
            <w:tcBorders>
              <w:top w:val="single" w:sz="8" w:space="0" w:color="auto"/>
              <w:left w:val="single" w:sz="8" w:space="0" w:color="auto"/>
              <w:bottom w:val="single" w:sz="8" w:space="0" w:color="000000"/>
              <w:right w:val="nil"/>
            </w:tcBorders>
            <w:shd w:val="clear" w:color="auto" w:fill="FFFF00"/>
            <w:vAlign w:val="center"/>
          </w:tcPr>
          <w:p w:rsidR="00FE08FF" w:rsidRPr="00324B2D" w:rsidRDefault="00FE08FF" w:rsidP="008E0926">
            <w:pPr>
              <w:rPr>
                <w:rFonts w:ascii="Arial" w:hAnsi="Arial" w:cs="Arial"/>
                <w:color w:val="000000"/>
                <w:sz w:val="17"/>
                <w:szCs w:val="17"/>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08FF" w:rsidRPr="00324B2D" w:rsidRDefault="00FE08FF" w:rsidP="008E0926">
            <w:pPr>
              <w:rPr>
                <w:rFonts w:ascii="Arial" w:hAnsi="Arial" w:cs="Arial"/>
                <w:color w:val="000000"/>
                <w:sz w:val="17"/>
                <w:szCs w:val="17"/>
              </w:rPr>
            </w:pPr>
            <w:r>
              <w:rPr>
                <w:rFonts w:ascii="Arial" w:hAnsi="Arial" w:cs="Arial"/>
                <w:color w:val="000000"/>
                <w:sz w:val="17"/>
                <w:szCs w:val="17"/>
              </w:rPr>
              <w:t>C8+D8+E8=B8</w:t>
            </w:r>
          </w:p>
        </w:tc>
      </w:tr>
      <w:tr w:rsidR="00FE08FF" w:rsidRPr="00324B2D" w:rsidTr="008E0926">
        <w:trPr>
          <w:trHeight w:val="255"/>
          <w:jc w:val="center"/>
        </w:trPr>
        <w:tc>
          <w:tcPr>
            <w:tcW w:w="1420" w:type="dxa"/>
            <w:tcBorders>
              <w:top w:val="nil"/>
              <w:left w:val="single" w:sz="8" w:space="0" w:color="auto"/>
              <w:bottom w:val="single" w:sz="4" w:space="0" w:color="auto"/>
              <w:right w:val="nil"/>
            </w:tcBorders>
            <w:shd w:val="clear" w:color="auto" w:fill="auto"/>
            <w:noWrap/>
            <w:vAlign w:val="center"/>
          </w:tcPr>
          <w:p w:rsidR="00FE08FF" w:rsidRPr="00324B2D" w:rsidRDefault="00FE08FF" w:rsidP="008E0926">
            <w:pPr>
              <w:rPr>
                <w:rFonts w:ascii="Arial" w:hAnsi="Arial" w:cs="Arial"/>
                <w:color w:val="000000"/>
                <w:sz w:val="17"/>
                <w:szCs w:val="17"/>
              </w:rPr>
            </w:pPr>
            <w:r w:rsidRPr="00324B2D">
              <w:rPr>
                <w:rFonts w:ascii="Arial" w:hAnsi="Arial" w:cs="Arial"/>
                <w:color w:val="000000"/>
                <w:sz w:val="17"/>
                <w:szCs w:val="17"/>
              </w:rPr>
              <w:t>9 cestovné</w:t>
            </w:r>
          </w:p>
        </w:tc>
        <w:tc>
          <w:tcPr>
            <w:tcW w:w="1500" w:type="dxa"/>
            <w:tcBorders>
              <w:top w:val="nil"/>
              <w:left w:val="single" w:sz="8" w:space="0" w:color="auto"/>
              <w:bottom w:val="single" w:sz="4" w:space="0" w:color="auto"/>
              <w:right w:val="nil"/>
            </w:tcBorders>
            <w:shd w:val="clear" w:color="auto" w:fill="auto"/>
            <w:noWrap/>
            <w:vAlign w:val="center"/>
          </w:tcPr>
          <w:p w:rsidR="00FE08FF" w:rsidRPr="00324B2D" w:rsidRDefault="00FE08FF" w:rsidP="008E0926">
            <w:pPr>
              <w:rPr>
                <w:rFonts w:ascii="Arial" w:hAnsi="Arial" w:cs="Arial"/>
                <w:color w:val="000000"/>
                <w:sz w:val="17"/>
                <w:szCs w:val="17"/>
              </w:rPr>
            </w:pPr>
            <w:r>
              <w:rPr>
                <w:rFonts w:ascii="Arial" w:hAnsi="Arial" w:cs="Arial"/>
                <w:color w:val="000000"/>
                <w:sz w:val="17"/>
                <w:szCs w:val="17"/>
              </w:rPr>
              <w:t xml:space="preserve">účet </w:t>
            </w:r>
            <w:r w:rsidRPr="00324B2D">
              <w:rPr>
                <w:rFonts w:ascii="Arial" w:hAnsi="Arial" w:cs="Arial"/>
                <w:color w:val="000000"/>
                <w:sz w:val="17"/>
                <w:szCs w:val="17"/>
              </w:rPr>
              <w:t>512</w:t>
            </w:r>
          </w:p>
        </w:tc>
        <w:tc>
          <w:tcPr>
            <w:tcW w:w="1460" w:type="dxa"/>
            <w:tcBorders>
              <w:top w:val="nil"/>
              <w:left w:val="single" w:sz="8" w:space="0" w:color="auto"/>
              <w:bottom w:val="single" w:sz="4" w:space="0" w:color="auto"/>
              <w:right w:val="single" w:sz="4" w:space="0" w:color="auto"/>
            </w:tcBorders>
            <w:shd w:val="clear" w:color="auto" w:fill="auto"/>
            <w:noWrap/>
            <w:vAlign w:val="center"/>
          </w:tcPr>
          <w:p w:rsidR="00FE08FF" w:rsidRPr="00324B2D" w:rsidRDefault="00FE08FF" w:rsidP="008E0926">
            <w:pPr>
              <w:rPr>
                <w:rFonts w:ascii="Arial" w:hAnsi="Arial" w:cs="Arial"/>
                <w:color w:val="000000"/>
                <w:sz w:val="17"/>
                <w:szCs w:val="17"/>
              </w:rPr>
            </w:pPr>
            <w:r w:rsidRPr="00324B2D">
              <w:rPr>
                <w:rFonts w:ascii="Arial" w:hAnsi="Arial" w:cs="Arial"/>
                <w:color w:val="000000"/>
                <w:sz w:val="17"/>
                <w:szCs w:val="17"/>
              </w:rPr>
              <w:t> </w:t>
            </w:r>
          </w:p>
        </w:tc>
        <w:tc>
          <w:tcPr>
            <w:tcW w:w="1460" w:type="dxa"/>
            <w:tcBorders>
              <w:top w:val="nil"/>
              <w:left w:val="nil"/>
              <w:bottom w:val="single" w:sz="4" w:space="0" w:color="auto"/>
              <w:right w:val="nil"/>
            </w:tcBorders>
            <w:shd w:val="clear" w:color="auto" w:fill="auto"/>
            <w:noWrap/>
            <w:vAlign w:val="center"/>
          </w:tcPr>
          <w:p w:rsidR="00FE08FF" w:rsidRPr="00324B2D" w:rsidRDefault="00FE08FF" w:rsidP="008E0926">
            <w:pPr>
              <w:rPr>
                <w:rFonts w:ascii="Arial" w:hAnsi="Arial" w:cs="Arial"/>
                <w:color w:val="000000"/>
                <w:sz w:val="17"/>
                <w:szCs w:val="17"/>
              </w:rPr>
            </w:pPr>
            <w:r w:rsidRPr="00324B2D">
              <w:rPr>
                <w:rFonts w:ascii="Arial" w:hAnsi="Arial" w:cs="Arial"/>
                <w:color w:val="000000"/>
                <w:sz w:val="17"/>
                <w:szCs w:val="17"/>
              </w:rPr>
              <w:t> </w:t>
            </w:r>
          </w:p>
        </w:tc>
        <w:tc>
          <w:tcPr>
            <w:tcW w:w="1220" w:type="dxa"/>
            <w:vMerge/>
            <w:tcBorders>
              <w:top w:val="single" w:sz="8" w:space="0" w:color="auto"/>
              <w:left w:val="single" w:sz="8" w:space="0" w:color="auto"/>
              <w:bottom w:val="single" w:sz="8" w:space="0" w:color="000000"/>
              <w:right w:val="nil"/>
            </w:tcBorders>
            <w:shd w:val="clear" w:color="auto" w:fill="FFFF00"/>
            <w:vAlign w:val="center"/>
          </w:tcPr>
          <w:p w:rsidR="00FE08FF" w:rsidRPr="00324B2D" w:rsidRDefault="00FE08FF" w:rsidP="008E0926">
            <w:pPr>
              <w:rPr>
                <w:rFonts w:ascii="Arial" w:hAnsi="Arial" w:cs="Arial"/>
                <w:color w:val="000000"/>
                <w:sz w:val="17"/>
                <w:szCs w:val="17"/>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08FF" w:rsidRPr="00324B2D" w:rsidRDefault="00FE08FF" w:rsidP="008E0926">
            <w:pPr>
              <w:rPr>
                <w:rFonts w:ascii="Arial" w:hAnsi="Arial" w:cs="Arial"/>
                <w:color w:val="000000"/>
                <w:sz w:val="17"/>
                <w:szCs w:val="17"/>
              </w:rPr>
            </w:pPr>
            <w:r>
              <w:rPr>
                <w:rFonts w:ascii="Arial" w:hAnsi="Arial" w:cs="Arial"/>
                <w:color w:val="000000"/>
                <w:sz w:val="17"/>
                <w:szCs w:val="17"/>
              </w:rPr>
              <w:t>C9+D9+E9=B9</w:t>
            </w:r>
          </w:p>
        </w:tc>
      </w:tr>
      <w:tr w:rsidR="00FE08FF" w:rsidRPr="00324B2D" w:rsidTr="008E0926">
        <w:trPr>
          <w:trHeight w:val="255"/>
          <w:jc w:val="center"/>
        </w:trPr>
        <w:tc>
          <w:tcPr>
            <w:tcW w:w="1420" w:type="dxa"/>
            <w:tcBorders>
              <w:top w:val="nil"/>
              <w:left w:val="single" w:sz="8" w:space="0" w:color="auto"/>
              <w:bottom w:val="single" w:sz="4" w:space="0" w:color="auto"/>
              <w:right w:val="nil"/>
            </w:tcBorders>
            <w:shd w:val="clear" w:color="auto" w:fill="auto"/>
            <w:noWrap/>
            <w:vAlign w:val="center"/>
          </w:tcPr>
          <w:p w:rsidR="00FE08FF" w:rsidRPr="00324B2D" w:rsidRDefault="00FE08FF" w:rsidP="008E0926">
            <w:pPr>
              <w:rPr>
                <w:rFonts w:ascii="Arial" w:hAnsi="Arial" w:cs="Arial"/>
                <w:color w:val="000000"/>
                <w:sz w:val="17"/>
                <w:szCs w:val="17"/>
              </w:rPr>
            </w:pPr>
            <w:r>
              <w:rPr>
                <w:rFonts w:ascii="Arial" w:hAnsi="Arial" w:cs="Arial"/>
                <w:color w:val="000000"/>
                <w:sz w:val="17"/>
                <w:szCs w:val="17"/>
              </w:rPr>
              <w:t>10 odpisy, prodaný majetek</w:t>
            </w:r>
          </w:p>
        </w:tc>
        <w:tc>
          <w:tcPr>
            <w:tcW w:w="1500" w:type="dxa"/>
            <w:tcBorders>
              <w:top w:val="nil"/>
              <w:left w:val="single" w:sz="8" w:space="0" w:color="auto"/>
              <w:bottom w:val="single" w:sz="4" w:space="0" w:color="auto"/>
              <w:right w:val="nil"/>
            </w:tcBorders>
            <w:shd w:val="clear" w:color="auto" w:fill="auto"/>
            <w:noWrap/>
            <w:vAlign w:val="center"/>
          </w:tcPr>
          <w:p w:rsidR="00FE08FF" w:rsidRPr="00324B2D" w:rsidRDefault="00FE08FF" w:rsidP="008E0926">
            <w:pPr>
              <w:rPr>
                <w:rFonts w:ascii="Arial" w:hAnsi="Arial" w:cs="Arial"/>
                <w:color w:val="000000"/>
                <w:sz w:val="17"/>
                <w:szCs w:val="17"/>
              </w:rPr>
            </w:pPr>
            <w:r>
              <w:rPr>
                <w:rFonts w:ascii="Arial" w:hAnsi="Arial" w:cs="Arial"/>
                <w:color w:val="000000"/>
                <w:sz w:val="17"/>
                <w:szCs w:val="17"/>
              </w:rPr>
              <w:t xml:space="preserve">součet účtů </w:t>
            </w:r>
            <w:r w:rsidRPr="00324B2D">
              <w:rPr>
                <w:rFonts w:ascii="Arial" w:hAnsi="Arial" w:cs="Arial"/>
                <w:color w:val="000000"/>
                <w:sz w:val="17"/>
                <w:szCs w:val="17"/>
              </w:rPr>
              <w:t>541</w:t>
            </w:r>
            <w:r>
              <w:rPr>
                <w:rFonts w:ascii="Arial" w:hAnsi="Arial" w:cs="Arial"/>
                <w:color w:val="000000"/>
                <w:sz w:val="17"/>
                <w:szCs w:val="17"/>
              </w:rPr>
              <w:t xml:space="preserve">, </w:t>
            </w:r>
            <w:r w:rsidRPr="00324B2D">
              <w:rPr>
                <w:rFonts w:ascii="Arial" w:hAnsi="Arial" w:cs="Arial"/>
                <w:color w:val="000000"/>
                <w:sz w:val="17"/>
                <w:szCs w:val="17"/>
              </w:rPr>
              <w:t>542</w:t>
            </w:r>
            <w:r>
              <w:rPr>
                <w:rFonts w:ascii="Arial" w:hAnsi="Arial" w:cs="Arial"/>
                <w:color w:val="000000"/>
                <w:sz w:val="17"/>
                <w:szCs w:val="17"/>
              </w:rPr>
              <w:t xml:space="preserve"> a</w:t>
            </w:r>
            <w:r w:rsidRPr="00324B2D">
              <w:rPr>
                <w:rFonts w:ascii="Arial" w:hAnsi="Arial" w:cs="Arial"/>
                <w:color w:val="000000"/>
                <w:sz w:val="17"/>
                <w:szCs w:val="17"/>
              </w:rPr>
              <w:t xml:space="preserve"> 551</w:t>
            </w:r>
          </w:p>
        </w:tc>
        <w:tc>
          <w:tcPr>
            <w:tcW w:w="1460" w:type="dxa"/>
            <w:tcBorders>
              <w:top w:val="nil"/>
              <w:left w:val="single" w:sz="8" w:space="0" w:color="auto"/>
              <w:bottom w:val="single" w:sz="4" w:space="0" w:color="auto"/>
              <w:right w:val="single" w:sz="4" w:space="0" w:color="auto"/>
            </w:tcBorders>
            <w:shd w:val="clear" w:color="auto" w:fill="auto"/>
            <w:noWrap/>
            <w:vAlign w:val="center"/>
          </w:tcPr>
          <w:p w:rsidR="00FE08FF" w:rsidRPr="00324B2D" w:rsidRDefault="00FE08FF" w:rsidP="008E0926">
            <w:pPr>
              <w:rPr>
                <w:rFonts w:ascii="Arial" w:hAnsi="Arial" w:cs="Arial"/>
                <w:color w:val="000000"/>
                <w:sz w:val="17"/>
                <w:szCs w:val="17"/>
              </w:rPr>
            </w:pPr>
            <w:r w:rsidRPr="00324B2D">
              <w:rPr>
                <w:rFonts w:ascii="Arial" w:hAnsi="Arial" w:cs="Arial"/>
                <w:color w:val="000000"/>
                <w:sz w:val="17"/>
                <w:szCs w:val="17"/>
              </w:rPr>
              <w:t> </w:t>
            </w:r>
          </w:p>
        </w:tc>
        <w:tc>
          <w:tcPr>
            <w:tcW w:w="1460" w:type="dxa"/>
            <w:tcBorders>
              <w:top w:val="nil"/>
              <w:left w:val="nil"/>
              <w:bottom w:val="single" w:sz="4" w:space="0" w:color="auto"/>
              <w:right w:val="nil"/>
            </w:tcBorders>
            <w:shd w:val="clear" w:color="auto" w:fill="auto"/>
            <w:noWrap/>
            <w:vAlign w:val="center"/>
          </w:tcPr>
          <w:p w:rsidR="00FE08FF" w:rsidRPr="00324B2D" w:rsidRDefault="00FE08FF" w:rsidP="008E0926">
            <w:pPr>
              <w:rPr>
                <w:rFonts w:ascii="Arial" w:hAnsi="Arial" w:cs="Arial"/>
                <w:color w:val="000000"/>
                <w:sz w:val="17"/>
                <w:szCs w:val="17"/>
              </w:rPr>
            </w:pPr>
            <w:r w:rsidRPr="00324B2D">
              <w:rPr>
                <w:rFonts w:ascii="Arial" w:hAnsi="Arial" w:cs="Arial"/>
                <w:color w:val="000000"/>
                <w:sz w:val="17"/>
                <w:szCs w:val="17"/>
              </w:rPr>
              <w:t> </w:t>
            </w:r>
          </w:p>
        </w:tc>
        <w:tc>
          <w:tcPr>
            <w:tcW w:w="1220" w:type="dxa"/>
            <w:vMerge/>
            <w:tcBorders>
              <w:top w:val="single" w:sz="8" w:space="0" w:color="auto"/>
              <w:left w:val="single" w:sz="8" w:space="0" w:color="auto"/>
              <w:bottom w:val="single" w:sz="8" w:space="0" w:color="000000"/>
              <w:right w:val="nil"/>
            </w:tcBorders>
            <w:shd w:val="clear" w:color="auto" w:fill="FFFF00"/>
            <w:vAlign w:val="center"/>
          </w:tcPr>
          <w:p w:rsidR="00FE08FF" w:rsidRPr="00324B2D" w:rsidRDefault="00FE08FF" w:rsidP="008E0926">
            <w:pPr>
              <w:rPr>
                <w:rFonts w:ascii="Arial" w:hAnsi="Arial" w:cs="Arial"/>
                <w:color w:val="000000"/>
                <w:sz w:val="17"/>
                <w:szCs w:val="17"/>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08FF" w:rsidRPr="00324B2D" w:rsidRDefault="00FE08FF" w:rsidP="008E0926">
            <w:pPr>
              <w:rPr>
                <w:rFonts w:ascii="Arial" w:hAnsi="Arial" w:cs="Arial"/>
                <w:color w:val="000000"/>
                <w:sz w:val="17"/>
                <w:szCs w:val="17"/>
              </w:rPr>
            </w:pPr>
            <w:r>
              <w:rPr>
                <w:rFonts w:ascii="Arial" w:hAnsi="Arial" w:cs="Arial"/>
                <w:color w:val="000000"/>
                <w:sz w:val="17"/>
                <w:szCs w:val="17"/>
              </w:rPr>
              <w:t>C10+D10+E10=B10</w:t>
            </w:r>
          </w:p>
        </w:tc>
      </w:tr>
      <w:tr w:rsidR="00FE08FF" w:rsidRPr="00324B2D" w:rsidTr="008E0926">
        <w:trPr>
          <w:trHeight w:val="405"/>
          <w:jc w:val="center"/>
        </w:trPr>
        <w:tc>
          <w:tcPr>
            <w:tcW w:w="1420" w:type="dxa"/>
            <w:tcBorders>
              <w:top w:val="nil"/>
              <w:left w:val="single" w:sz="8" w:space="0" w:color="auto"/>
              <w:bottom w:val="single" w:sz="4" w:space="0" w:color="auto"/>
              <w:right w:val="nil"/>
            </w:tcBorders>
            <w:shd w:val="clear" w:color="auto" w:fill="auto"/>
            <w:noWrap/>
            <w:vAlign w:val="center"/>
          </w:tcPr>
          <w:p w:rsidR="00FE08FF" w:rsidRPr="00324B2D" w:rsidRDefault="00FE08FF" w:rsidP="008E0926">
            <w:pPr>
              <w:rPr>
                <w:rFonts w:ascii="Arial" w:hAnsi="Arial" w:cs="Arial"/>
                <w:color w:val="000000"/>
                <w:sz w:val="17"/>
                <w:szCs w:val="17"/>
              </w:rPr>
            </w:pPr>
            <w:r w:rsidRPr="00324B2D">
              <w:rPr>
                <w:rFonts w:ascii="Arial" w:hAnsi="Arial" w:cs="Arial"/>
                <w:color w:val="000000"/>
                <w:sz w:val="17"/>
                <w:szCs w:val="17"/>
              </w:rPr>
              <w:t>11 ostatní náklady</w:t>
            </w:r>
          </w:p>
        </w:tc>
        <w:tc>
          <w:tcPr>
            <w:tcW w:w="1500" w:type="dxa"/>
            <w:tcBorders>
              <w:top w:val="nil"/>
              <w:left w:val="single" w:sz="8" w:space="0" w:color="auto"/>
              <w:bottom w:val="single" w:sz="4" w:space="0" w:color="auto"/>
              <w:right w:val="nil"/>
            </w:tcBorders>
            <w:shd w:val="clear" w:color="auto" w:fill="auto"/>
            <w:noWrap/>
            <w:vAlign w:val="center"/>
          </w:tcPr>
          <w:p w:rsidR="00FE08FF" w:rsidRPr="00324B2D" w:rsidRDefault="00FE08FF" w:rsidP="008E0926">
            <w:pPr>
              <w:rPr>
                <w:rFonts w:ascii="Arial" w:hAnsi="Arial" w:cs="Arial"/>
                <w:color w:val="000000"/>
                <w:sz w:val="17"/>
                <w:szCs w:val="17"/>
              </w:rPr>
            </w:pPr>
            <w:r>
              <w:rPr>
                <w:rFonts w:ascii="Arial" w:hAnsi="Arial" w:cs="Arial"/>
                <w:color w:val="000000"/>
                <w:sz w:val="17"/>
                <w:szCs w:val="17"/>
              </w:rPr>
              <w:t xml:space="preserve">od součtu účtu </w:t>
            </w:r>
            <w:r w:rsidRPr="00324B2D">
              <w:rPr>
                <w:rFonts w:ascii="Arial" w:hAnsi="Arial" w:cs="Arial"/>
                <w:color w:val="000000"/>
                <w:sz w:val="17"/>
                <w:szCs w:val="17"/>
              </w:rPr>
              <w:t>548</w:t>
            </w:r>
            <w:r>
              <w:rPr>
                <w:rFonts w:ascii="Arial" w:hAnsi="Arial" w:cs="Arial"/>
                <w:color w:val="000000"/>
                <w:sz w:val="17"/>
                <w:szCs w:val="17"/>
              </w:rPr>
              <w:t xml:space="preserve"> a skupiny 58. odečíst účet 548 (náklady na změnu metody)</w:t>
            </w:r>
          </w:p>
        </w:tc>
        <w:tc>
          <w:tcPr>
            <w:tcW w:w="1460" w:type="dxa"/>
            <w:tcBorders>
              <w:top w:val="nil"/>
              <w:left w:val="single" w:sz="8" w:space="0" w:color="auto"/>
              <w:bottom w:val="single" w:sz="4" w:space="0" w:color="auto"/>
              <w:right w:val="single" w:sz="4" w:space="0" w:color="auto"/>
            </w:tcBorders>
            <w:shd w:val="clear" w:color="auto" w:fill="auto"/>
            <w:noWrap/>
            <w:vAlign w:val="center"/>
          </w:tcPr>
          <w:p w:rsidR="00FE08FF" w:rsidRPr="00324B2D" w:rsidRDefault="00FE08FF" w:rsidP="008E0926">
            <w:pPr>
              <w:rPr>
                <w:rFonts w:ascii="Arial" w:hAnsi="Arial" w:cs="Arial"/>
                <w:color w:val="000000"/>
                <w:sz w:val="17"/>
                <w:szCs w:val="17"/>
              </w:rPr>
            </w:pPr>
            <w:r w:rsidRPr="00324B2D">
              <w:rPr>
                <w:rFonts w:ascii="Arial" w:hAnsi="Arial" w:cs="Arial"/>
                <w:color w:val="000000"/>
                <w:sz w:val="17"/>
                <w:szCs w:val="17"/>
              </w:rPr>
              <w:t> </w:t>
            </w:r>
          </w:p>
        </w:tc>
        <w:tc>
          <w:tcPr>
            <w:tcW w:w="1460" w:type="dxa"/>
            <w:tcBorders>
              <w:top w:val="nil"/>
              <w:left w:val="nil"/>
              <w:bottom w:val="single" w:sz="4" w:space="0" w:color="auto"/>
              <w:right w:val="nil"/>
            </w:tcBorders>
            <w:shd w:val="clear" w:color="auto" w:fill="auto"/>
            <w:noWrap/>
            <w:vAlign w:val="center"/>
          </w:tcPr>
          <w:p w:rsidR="00FE08FF" w:rsidRPr="00324B2D" w:rsidRDefault="00FE08FF" w:rsidP="008E0926">
            <w:pPr>
              <w:rPr>
                <w:rFonts w:ascii="Arial" w:hAnsi="Arial" w:cs="Arial"/>
                <w:color w:val="000000"/>
                <w:sz w:val="17"/>
                <w:szCs w:val="17"/>
              </w:rPr>
            </w:pPr>
            <w:r w:rsidRPr="00324B2D">
              <w:rPr>
                <w:rFonts w:ascii="Arial" w:hAnsi="Arial" w:cs="Arial"/>
                <w:color w:val="000000"/>
                <w:sz w:val="17"/>
                <w:szCs w:val="17"/>
              </w:rPr>
              <w:t> </w:t>
            </w:r>
          </w:p>
        </w:tc>
        <w:tc>
          <w:tcPr>
            <w:tcW w:w="1220" w:type="dxa"/>
            <w:vMerge/>
            <w:tcBorders>
              <w:top w:val="single" w:sz="8" w:space="0" w:color="auto"/>
              <w:left w:val="single" w:sz="8" w:space="0" w:color="auto"/>
              <w:bottom w:val="single" w:sz="8" w:space="0" w:color="000000"/>
              <w:right w:val="nil"/>
            </w:tcBorders>
            <w:shd w:val="clear" w:color="auto" w:fill="FFFF00"/>
            <w:vAlign w:val="center"/>
          </w:tcPr>
          <w:p w:rsidR="00FE08FF" w:rsidRPr="00324B2D" w:rsidRDefault="00FE08FF" w:rsidP="008E0926">
            <w:pPr>
              <w:rPr>
                <w:rFonts w:ascii="Arial" w:hAnsi="Arial" w:cs="Arial"/>
                <w:color w:val="000000"/>
                <w:sz w:val="17"/>
                <w:szCs w:val="17"/>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08FF" w:rsidRPr="00324B2D" w:rsidRDefault="00FE08FF" w:rsidP="008E0926">
            <w:pPr>
              <w:rPr>
                <w:rFonts w:ascii="Arial" w:hAnsi="Arial" w:cs="Arial"/>
                <w:color w:val="000000"/>
                <w:sz w:val="17"/>
                <w:szCs w:val="17"/>
              </w:rPr>
            </w:pPr>
            <w:r>
              <w:rPr>
                <w:rFonts w:ascii="Arial" w:hAnsi="Arial" w:cs="Arial"/>
                <w:color w:val="000000"/>
                <w:sz w:val="17"/>
                <w:szCs w:val="17"/>
              </w:rPr>
              <w:t>C11+D11+E11=B11</w:t>
            </w:r>
          </w:p>
        </w:tc>
      </w:tr>
      <w:tr w:rsidR="00FE08FF" w:rsidRPr="00324B2D" w:rsidTr="008E0926">
        <w:trPr>
          <w:trHeight w:val="270"/>
          <w:jc w:val="center"/>
        </w:trPr>
        <w:tc>
          <w:tcPr>
            <w:tcW w:w="1420" w:type="dxa"/>
            <w:tcBorders>
              <w:top w:val="single" w:sz="8" w:space="0" w:color="auto"/>
              <w:left w:val="single" w:sz="8" w:space="0" w:color="auto"/>
              <w:bottom w:val="single" w:sz="4" w:space="0" w:color="auto"/>
              <w:right w:val="nil"/>
            </w:tcBorders>
            <w:shd w:val="clear" w:color="auto" w:fill="92D050"/>
            <w:noWrap/>
            <w:vAlign w:val="center"/>
          </w:tcPr>
          <w:p w:rsidR="00FE08FF" w:rsidRPr="00324B2D" w:rsidRDefault="00FE08FF" w:rsidP="008E0926">
            <w:pPr>
              <w:rPr>
                <w:rFonts w:ascii="Arial" w:hAnsi="Arial" w:cs="Arial"/>
                <w:color w:val="000000"/>
                <w:sz w:val="17"/>
                <w:szCs w:val="17"/>
              </w:rPr>
            </w:pPr>
            <w:r w:rsidRPr="00324B2D">
              <w:rPr>
                <w:rFonts w:ascii="Arial" w:hAnsi="Arial" w:cs="Arial"/>
                <w:color w:val="000000"/>
                <w:sz w:val="17"/>
                <w:szCs w:val="17"/>
              </w:rPr>
              <w:t>12 Úplné vlastní náklady</w:t>
            </w:r>
          </w:p>
        </w:tc>
        <w:tc>
          <w:tcPr>
            <w:tcW w:w="1500" w:type="dxa"/>
            <w:tcBorders>
              <w:top w:val="single" w:sz="8" w:space="0" w:color="auto"/>
              <w:left w:val="single" w:sz="8" w:space="0" w:color="auto"/>
              <w:bottom w:val="single" w:sz="4" w:space="0" w:color="auto"/>
              <w:right w:val="nil"/>
            </w:tcBorders>
            <w:shd w:val="clear" w:color="auto" w:fill="92D050"/>
            <w:noWrap/>
            <w:vAlign w:val="center"/>
          </w:tcPr>
          <w:p w:rsidR="00FE08FF" w:rsidRPr="00324B2D" w:rsidRDefault="00FE08FF" w:rsidP="008E0926">
            <w:pPr>
              <w:rPr>
                <w:rFonts w:ascii="Arial" w:hAnsi="Arial" w:cs="Arial"/>
                <w:color w:val="000000"/>
                <w:sz w:val="17"/>
                <w:szCs w:val="17"/>
              </w:rPr>
            </w:pPr>
            <w:r w:rsidRPr="00324B2D">
              <w:rPr>
                <w:rFonts w:ascii="Arial" w:hAnsi="Arial" w:cs="Arial"/>
                <w:color w:val="000000"/>
                <w:sz w:val="17"/>
                <w:szCs w:val="17"/>
              </w:rPr>
              <w:t>suma B4</w:t>
            </w:r>
            <w:r>
              <w:rPr>
                <w:rFonts w:ascii="Arial" w:hAnsi="Arial" w:cs="Arial"/>
                <w:color w:val="000000"/>
                <w:sz w:val="17"/>
                <w:szCs w:val="17"/>
              </w:rPr>
              <w:t xml:space="preserve"> až</w:t>
            </w:r>
            <w:r w:rsidRPr="00324B2D">
              <w:rPr>
                <w:rFonts w:ascii="Arial" w:hAnsi="Arial" w:cs="Arial"/>
                <w:color w:val="000000"/>
                <w:sz w:val="17"/>
                <w:szCs w:val="17"/>
              </w:rPr>
              <w:t>B11</w:t>
            </w:r>
          </w:p>
        </w:tc>
        <w:tc>
          <w:tcPr>
            <w:tcW w:w="1460" w:type="dxa"/>
            <w:tcBorders>
              <w:top w:val="single" w:sz="8" w:space="0" w:color="auto"/>
              <w:left w:val="single" w:sz="8" w:space="0" w:color="auto"/>
              <w:bottom w:val="single" w:sz="4" w:space="0" w:color="auto"/>
              <w:right w:val="nil"/>
            </w:tcBorders>
            <w:shd w:val="clear" w:color="auto" w:fill="92D050"/>
            <w:noWrap/>
            <w:vAlign w:val="center"/>
          </w:tcPr>
          <w:p w:rsidR="00FE08FF" w:rsidRPr="00324B2D" w:rsidRDefault="00FE08FF" w:rsidP="008E0926">
            <w:pPr>
              <w:rPr>
                <w:rFonts w:ascii="Arial" w:hAnsi="Arial" w:cs="Arial"/>
                <w:color w:val="000000"/>
                <w:sz w:val="17"/>
                <w:szCs w:val="17"/>
              </w:rPr>
            </w:pPr>
            <w:r w:rsidRPr="00324B2D">
              <w:rPr>
                <w:rFonts w:ascii="Arial" w:hAnsi="Arial" w:cs="Arial"/>
                <w:color w:val="000000"/>
                <w:sz w:val="17"/>
                <w:szCs w:val="17"/>
              </w:rPr>
              <w:t>s</w:t>
            </w:r>
            <w:r>
              <w:rPr>
                <w:rFonts w:ascii="Arial" w:hAnsi="Arial" w:cs="Arial"/>
                <w:color w:val="000000"/>
                <w:sz w:val="17"/>
                <w:szCs w:val="17"/>
              </w:rPr>
              <w:t>uma C4až</w:t>
            </w:r>
            <w:r w:rsidRPr="00324B2D">
              <w:rPr>
                <w:rFonts w:ascii="Arial" w:hAnsi="Arial" w:cs="Arial"/>
                <w:color w:val="000000"/>
                <w:sz w:val="17"/>
                <w:szCs w:val="17"/>
              </w:rPr>
              <w:t>C11</w:t>
            </w:r>
          </w:p>
        </w:tc>
        <w:tc>
          <w:tcPr>
            <w:tcW w:w="1460" w:type="dxa"/>
            <w:tcBorders>
              <w:top w:val="single" w:sz="8" w:space="0" w:color="auto"/>
              <w:left w:val="single" w:sz="8" w:space="0" w:color="auto"/>
              <w:bottom w:val="single" w:sz="4" w:space="0" w:color="auto"/>
              <w:right w:val="nil"/>
            </w:tcBorders>
            <w:shd w:val="clear" w:color="auto" w:fill="92D050"/>
            <w:noWrap/>
            <w:vAlign w:val="center"/>
          </w:tcPr>
          <w:p w:rsidR="00FE08FF" w:rsidRPr="00324B2D" w:rsidRDefault="00FE08FF" w:rsidP="008E0926">
            <w:pPr>
              <w:rPr>
                <w:rFonts w:ascii="Arial" w:hAnsi="Arial" w:cs="Arial"/>
                <w:color w:val="000000"/>
                <w:sz w:val="17"/>
                <w:szCs w:val="17"/>
              </w:rPr>
            </w:pPr>
            <w:r>
              <w:rPr>
                <w:rFonts w:ascii="Arial" w:hAnsi="Arial" w:cs="Arial"/>
                <w:color w:val="000000"/>
                <w:sz w:val="17"/>
                <w:szCs w:val="17"/>
              </w:rPr>
              <w:t>suma D4 až</w:t>
            </w:r>
            <w:r w:rsidRPr="00324B2D">
              <w:rPr>
                <w:rFonts w:ascii="Arial" w:hAnsi="Arial" w:cs="Arial"/>
                <w:color w:val="000000"/>
                <w:sz w:val="17"/>
                <w:szCs w:val="17"/>
              </w:rPr>
              <w:t>D11</w:t>
            </w:r>
          </w:p>
        </w:tc>
        <w:tc>
          <w:tcPr>
            <w:tcW w:w="1220" w:type="dxa"/>
            <w:tcBorders>
              <w:top w:val="nil"/>
              <w:left w:val="single" w:sz="8" w:space="0" w:color="auto"/>
              <w:bottom w:val="single" w:sz="4" w:space="0" w:color="auto"/>
              <w:right w:val="nil"/>
            </w:tcBorders>
            <w:shd w:val="clear" w:color="auto" w:fill="92D050"/>
            <w:noWrap/>
            <w:vAlign w:val="center"/>
          </w:tcPr>
          <w:p w:rsidR="00FE08FF" w:rsidRPr="00324B2D" w:rsidRDefault="00FE08FF" w:rsidP="008E0926">
            <w:pPr>
              <w:rPr>
                <w:rFonts w:ascii="Arial" w:hAnsi="Arial" w:cs="Arial"/>
                <w:color w:val="000000"/>
                <w:sz w:val="17"/>
                <w:szCs w:val="17"/>
              </w:rPr>
            </w:pPr>
            <w:r w:rsidRPr="00324B2D">
              <w:rPr>
                <w:rFonts w:ascii="Arial" w:hAnsi="Arial" w:cs="Arial"/>
                <w:color w:val="000000"/>
                <w:sz w:val="17"/>
                <w:szCs w:val="17"/>
              </w:rPr>
              <w:t>suma E4</w:t>
            </w:r>
            <w:r>
              <w:rPr>
                <w:rFonts w:ascii="Arial" w:hAnsi="Arial" w:cs="Arial"/>
                <w:color w:val="000000"/>
                <w:sz w:val="17"/>
                <w:szCs w:val="17"/>
              </w:rPr>
              <w:t>až</w:t>
            </w:r>
            <w:r w:rsidRPr="00324B2D">
              <w:rPr>
                <w:rFonts w:ascii="Arial" w:hAnsi="Arial" w:cs="Arial"/>
                <w:color w:val="000000"/>
                <w:sz w:val="17"/>
                <w:szCs w:val="17"/>
              </w:rPr>
              <w:t>E11</w:t>
            </w:r>
          </w:p>
        </w:tc>
        <w:tc>
          <w:tcPr>
            <w:tcW w:w="2620" w:type="dxa"/>
            <w:tcBorders>
              <w:top w:val="nil"/>
              <w:left w:val="single" w:sz="4" w:space="0" w:color="auto"/>
              <w:bottom w:val="single" w:sz="4" w:space="0" w:color="auto"/>
              <w:right w:val="single" w:sz="8" w:space="0" w:color="auto"/>
            </w:tcBorders>
            <w:shd w:val="clear" w:color="auto" w:fill="92D050"/>
            <w:noWrap/>
            <w:vAlign w:val="center"/>
          </w:tcPr>
          <w:p w:rsidR="00FE08FF" w:rsidRDefault="00FE08FF" w:rsidP="008E0926">
            <w:pPr>
              <w:rPr>
                <w:rFonts w:ascii="Arial" w:hAnsi="Arial" w:cs="Arial"/>
                <w:color w:val="000000"/>
                <w:sz w:val="17"/>
                <w:szCs w:val="17"/>
              </w:rPr>
            </w:pPr>
            <w:r>
              <w:rPr>
                <w:rFonts w:ascii="Arial" w:hAnsi="Arial" w:cs="Arial"/>
                <w:color w:val="000000"/>
                <w:sz w:val="17"/>
                <w:szCs w:val="17"/>
              </w:rPr>
              <w:t xml:space="preserve">suma </w:t>
            </w:r>
          </w:p>
          <w:p w:rsidR="00FE08FF" w:rsidRDefault="00FE08FF" w:rsidP="008E0926">
            <w:pPr>
              <w:rPr>
                <w:rFonts w:ascii="Arial" w:hAnsi="Arial" w:cs="Arial"/>
                <w:color w:val="000000"/>
                <w:sz w:val="17"/>
                <w:szCs w:val="17"/>
              </w:rPr>
            </w:pPr>
            <w:r>
              <w:rPr>
                <w:rFonts w:ascii="Arial" w:hAnsi="Arial" w:cs="Arial"/>
                <w:color w:val="000000"/>
                <w:sz w:val="17"/>
                <w:szCs w:val="17"/>
              </w:rPr>
              <w:t>G4ažG11=B12až E</w:t>
            </w:r>
            <w:r w:rsidRPr="00324B2D">
              <w:rPr>
                <w:rFonts w:ascii="Arial" w:hAnsi="Arial" w:cs="Arial"/>
                <w:color w:val="000000"/>
                <w:sz w:val="17"/>
                <w:szCs w:val="17"/>
              </w:rPr>
              <w:t>12</w:t>
            </w:r>
          </w:p>
          <w:p w:rsidR="00FE08FF" w:rsidRPr="00324B2D" w:rsidRDefault="00FE08FF" w:rsidP="008E0926">
            <w:pPr>
              <w:rPr>
                <w:rFonts w:ascii="Arial" w:hAnsi="Arial" w:cs="Arial"/>
                <w:color w:val="000000"/>
                <w:sz w:val="17"/>
                <w:szCs w:val="17"/>
              </w:rPr>
            </w:pPr>
          </w:p>
        </w:tc>
      </w:tr>
      <w:tr w:rsidR="00FE08FF" w:rsidRPr="00324B2D" w:rsidTr="008E0926">
        <w:trPr>
          <w:trHeight w:val="270"/>
          <w:jc w:val="center"/>
        </w:trPr>
        <w:tc>
          <w:tcPr>
            <w:tcW w:w="1420" w:type="dxa"/>
            <w:tcBorders>
              <w:top w:val="single" w:sz="4" w:space="0" w:color="auto"/>
              <w:left w:val="single" w:sz="8" w:space="0" w:color="auto"/>
              <w:bottom w:val="nil"/>
              <w:right w:val="nil"/>
            </w:tcBorders>
            <w:shd w:val="clear" w:color="auto" w:fill="92D050"/>
            <w:noWrap/>
            <w:vAlign w:val="center"/>
          </w:tcPr>
          <w:p w:rsidR="00FE08FF" w:rsidRPr="00324B2D" w:rsidRDefault="00FE08FF" w:rsidP="008E0926">
            <w:pPr>
              <w:rPr>
                <w:rFonts w:ascii="Arial" w:hAnsi="Arial" w:cs="Arial"/>
                <w:color w:val="000000"/>
                <w:sz w:val="17"/>
                <w:szCs w:val="17"/>
              </w:rPr>
            </w:pPr>
            <w:r w:rsidRPr="00324B2D">
              <w:rPr>
                <w:rFonts w:ascii="Arial" w:hAnsi="Arial" w:cs="Arial"/>
                <w:color w:val="000000"/>
                <w:sz w:val="17"/>
                <w:szCs w:val="17"/>
              </w:rPr>
              <w:t>13 Přiměřený zisk</w:t>
            </w:r>
          </w:p>
        </w:tc>
        <w:tc>
          <w:tcPr>
            <w:tcW w:w="1500" w:type="dxa"/>
            <w:tcBorders>
              <w:top w:val="single" w:sz="4" w:space="0" w:color="auto"/>
              <w:left w:val="single" w:sz="8" w:space="0" w:color="auto"/>
              <w:bottom w:val="nil"/>
              <w:right w:val="nil"/>
            </w:tcBorders>
            <w:shd w:val="clear" w:color="auto" w:fill="92D050"/>
            <w:noWrap/>
            <w:vAlign w:val="center"/>
          </w:tcPr>
          <w:p w:rsidR="00FE08FF" w:rsidRPr="00324B2D" w:rsidRDefault="00FE08FF" w:rsidP="008E0926">
            <w:pPr>
              <w:rPr>
                <w:rFonts w:ascii="Arial" w:hAnsi="Arial" w:cs="Arial"/>
                <w:color w:val="000000"/>
                <w:sz w:val="17"/>
                <w:szCs w:val="17"/>
              </w:rPr>
            </w:pPr>
            <w:r w:rsidRPr="00324B2D">
              <w:rPr>
                <w:rFonts w:ascii="Arial" w:hAnsi="Arial" w:cs="Arial"/>
                <w:color w:val="000000"/>
                <w:sz w:val="17"/>
                <w:szCs w:val="17"/>
              </w:rPr>
              <w:t>B12*výše přiměřeného zisku v %</w:t>
            </w:r>
          </w:p>
        </w:tc>
        <w:tc>
          <w:tcPr>
            <w:tcW w:w="1460" w:type="dxa"/>
            <w:tcBorders>
              <w:top w:val="single" w:sz="4" w:space="0" w:color="auto"/>
              <w:left w:val="single" w:sz="8" w:space="0" w:color="auto"/>
              <w:bottom w:val="nil"/>
              <w:right w:val="nil"/>
            </w:tcBorders>
            <w:shd w:val="clear" w:color="auto" w:fill="92D050"/>
            <w:noWrap/>
            <w:vAlign w:val="center"/>
          </w:tcPr>
          <w:p w:rsidR="00FE08FF" w:rsidRPr="00324B2D" w:rsidRDefault="00FE08FF" w:rsidP="008E0926">
            <w:pPr>
              <w:rPr>
                <w:rFonts w:ascii="Arial" w:hAnsi="Arial" w:cs="Arial"/>
                <w:color w:val="000000"/>
                <w:sz w:val="17"/>
                <w:szCs w:val="17"/>
              </w:rPr>
            </w:pPr>
            <w:r>
              <w:rPr>
                <w:rFonts w:ascii="Arial" w:hAnsi="Arial" w:cs="Arial"/>
                <w:color w:val="000000"/>
                <w:sz w:val="17"/>
                <w:szCs w:val="17"/>
              </w:rPr>
              <w:t>C12*výše přiměřeného zisku v %</w:t>
            </w:r>
          </w:p>
        </w:tc>
        <w:tc>
          <w:tcPr>
            <w:tcW w:w="1460" w:type="dxa"/>
            <w:tcBorders>
              <w:top w:val="single" w:sz="4" w:space="0" w:color="auto"/>
              <w:left w:val="single" w:sz="8" w:space="0" w:color="auto"/>
              <w:bottom w:val="nil"/>
              <w:right w:val="nil"/>
            </w:tcBorders>
            <w:shd w:val="clear" w:color="auto" w:fill="92D050"/>
            <w:noWrap/>
            <w:vAlign w:val="center"/>
          </w:tcPr>
          <w:p w:rsidR="00FE08FF" w:rsidRPr="00324B2D" w:rsidRDefault="00FE08FF" w:rsidP="008E0926">
            <w:pPr>
              <w:rPr>
                <w:rFonts w:ascii="Arial" w:hAnsi="Arial" w:cs="Arial"/>
                <w:color w:val="000000"/>
                <w:sz w:val="17"/>
                <w:szCs w:val="17"/>
              </w:rPr>
            </w:pPr>
            <w:r w:rsidRPr="00324B2D">
              <w:rPr>
                <w:rFonts w:ascii="Arial" w:hAnsi="Arial" w:cs="Arial"/>
                <w:color w:val="000000"/>
                <w:sz w:val="17"/>
                <w:szCs w:val="17"/>
              </w:rPr>
              <w:t>D12*výše přiměřeného zisku v %</w:t>
            </w:r>
          </w:p>
        </w:tc>
        <w:tc>
          <w:tcPr>
            <w:tcW w:w="1220" w:type="dxa"/>
            <w:tcBorders>
              <w:top w:val="single" w:sz="4" w:space="0" w:color="auto"/>
              <w:left w:val="single" w:sz="8" w:space="0" w:color="auto"/>
              <w:bottom w:val="nil"/>
              <w:right w:val="nil"/>
            </w:tcBorders>
            <w:shd w:val="clear" w:color="auto" w:fill="92D050"/>
            <w:noWrap/>
            <w:vAlign w:val="center"/>
          </w:tcPr>
          <w:p w:rsidR="00FE08FF" w:rsidRPr="00324B2D" w:rsidRDefault="00FE08FF" w:rsidP="008E0926">
            <w:pPr>
              <w:rPr>
                <w:rFonts w:ascii="Arial" w:hAnsi="Arial" w:cs="Arial"/>
                <w:color w:val="000000"/>
                <w:sz w:val="17"/>
                <w:szCs w:val="17"/>
              </w:rPr>
            </w:pPr>
            <w:r w:rsidRPr="00324B2D">
              <w:rPr>
                <w:rFonts w:ascii="Arial" w:hAnsi="Arial" w:cs="Arial"/>
                <w:color w:val="000000"/>
                <w:sz w:val="17"/>
                <w:szCs w:val="17"/>
              </w:rPr>
              <w:t>E12*výše přiměřeného zisku v %</w:t>
            </w:r>
          </w:p>
        </w:tc>
        <w:tc>
          <w:tcPr>
            <w:tcW w:w="2620" w:type="dxa"/>
            <w:tcBorders>
              <w:top w:val="nil"/>
              <w:left w:val="single" w:sz="4" w:space="0" w:color="auto"/>
              <w:bottom w:val="single" w:sz="4" w:space="0" w:color="auto"/>
              <w:right w:val="single" w:sz="8" w:space="0" w:color="auto"/>
            </w:tcBorders>
            <w:shd w:val="clear" w:color="auto" w:fill="92D050"/>
            <w:noWrap/>
            <w:vAlign w:val="center"/>
          </w:tcPr>
          <w:p w:rsidR="00FE08FF" w:rsidRPr="00324B2D" w:rsidRDefault="00FE08FF" w:rsidP="008E0926">
            <w:pPr>
              <w:rPr>
                <w:rFonts w:ascii="Arial" w:hAnsi="Arial" w:cs="Arial"/>
                <w:color w:val="000000"/>
                <w:sz w:val="17"/>
                <w:szCs w:val="17"/>
              </w:rPr>
            </w:pPr>
            <w:r w:rsidRPr="00324B2D">
              <w:rPr>
                <w:rFonts w:ascii="Arial" w:hAnsi="Arial" w:cs="Arial"/>
                <w:color w:val="000000"/>
                <w:sz w:val="17"/>
                <w:szCs w:val="17"/>
              </w:rPr>
              <w:t>G12*výše přiměřeného zisku</w:t>
            </w:r>
            <w:r>
              <w:rPr>
                <w:rFonts w:ascii="Arial" w:hAnsi="Arial" w:cs="Arial"/>
                <w:color w:val="000000"/>
                <w:sz w:val="17"/>
                <w:szCs w:val="17"/>
              </w:rPr>
              <w:br/>
            </w:r>
            <w:r w:rsidRPr="00324B2D">
              <w:rPr>
                <w:rFonts w:ascii="Arial" w:hAnsi="Arial" w:cs="Arial"/>
                <w:color w:val="000000"/>
                <w:sz w:val="17"/>
                <w:szCs w:val="17"/>
              </w:rPr>
              <w:t>v %</w:t>
            </w:r>
          </w:p>
        </w:tc>
      </w:tr>
      <w:tr w:rsidR="00FE08FF" w:rsidRPr="00324B2D" w:rsidTr="008E0926">
        <w:trPr>
          <w:trHeight w:val="2002"/>
          <w:jc w:val="center"/>
        </w:trPr>
        <w:tc>
          <w:tcPr>
            <w:tcW w:w="1420" w:type="dxa"/>
            <w:tcBorders>
              <w:top w:val="single" w:sz="8" w:space="0" w:color="auto"/>
              <w:left w:val="single" w:sz="8" w:space="0" w:color="auto"/>
              <w:bottom w:val="single" w:sz="8" w:space="0" w:color="auto"/>
              <w:right w:val="nil"/>
            </w:tcBorders>
            <w:shd w:val="clear" w:color="auto" w:fill="FFD966"/>
            <w:noWrap/>
            <w:vAlign w:val="center"/>
          </w:tcPr>
          <w:p w:rsidR="00FE08FF" w:rsidRPr="00324B2D" w:rsidRDefault="00FE08FF" w:rsidP="008E0926">
            <w:pPr>
              <w:rPr>
                <w:rFonts w:ascii="Arial" w:hAnsi="Arial" w:cs="Arial"/>
                <w:color w:val="000000"/>
                <w:sz w:val="17"/>
                <w:szCs w:val="17"/>
              </w:rPr>
            </w:pPr>
            <w:r w:rsidRPr="00324B2D">
              <w:rPr>
                <w:rFonts w:ascii="Arial" w:hAnsi="Arial" w:cs="Arial"/>
                <w:color w:val="000000"/>
                <w:sz w:val="17"/>
                <w:szCs w:val="17"/>
              </w:rPr>
              <w:t>14 Výnosy ze služeb</w:t>
            </w:r>
          </w:p>
        </w:tc>
        <w:tc>
          <w:tcPr>
            <w:tcW w:w="1500" w:type="dxa"/>
            <w:tcBorders>
              <w:top w:val="single" w:sz="8" w:space="0" w:color="auto"/>
              <w:left w:val="single" w:sz="8" w:space="0" w:color="auto"/>
              <w:bottom w:val="single" w:sz="8" w:space="0" w:color="auto"/>
              <w:right w:val="nil"/>
            </w:tcBorders>
            <w:shd w:val="clear" w:color="auto" w:fill="FFD966"/>
            <w:vAlign w:val="center"/>
          </w:tcPr>
          <w:p w:rsidR="00FE08FF" w:rsidRPr="00324B2D" w:rsidRDefault="00FE08FF" w:rsidP="008E0926">
            <w:pPr>
              <w:rPr>
                <w:rFonts w:ascii="Arial" w:hAnsi="Arial" w:cs="Arial"/>
                <w:color w:val="000000"/>
                <w:sz w:val="17"/>
                <w:szCs w:val="17"/>
              </w:rPr>
            </w:pPr>
            <w:r>
              <w:rPr>
                <w:rFonts w:ascii="Arial" w:hAnsi="Arial" w:cs="Arial"/>
                <w:color w:val="000000"/>
                <w:sz w:val="17"/>
                <w:szCs w:val="17"/>
              </w:rPr>
              <w:t xml:space="preserve">od součtu skupin </w:t>
            </w:r>
            <w:r w:rsidRPr="00324B2D">
              <w:rPr>
                <w:rFonts w:ascii="Arial" w:hAnsi="Arial" w:cs="Arial"/>
                <w:color w:val="000000"/>
                <w:sz w:val="17"/>
                <w:szCs w:val="17"/>
              </w:rPr>
              <w:t>60.</w:t>
            </w:r>
            <w:r>
              <w:rPr>
                <w:rFonts w:ascii="Arial" w:hAnsi="Arial" w:cs="Arial"/>
                <w:color w:val="000000"/>
                <w:sz w:val="17"/>
                <w:szCs w:val="17"/>
              </w:rPr>
              <w:t xml:space="preserve"> a </w:t>
            </w:r>
            <w:r w:rsidRPr="00324B2D">
              <w:rPr>
                <w:rFonts w:ascii="Arial" w:hAnsi="Arial" w:cs="Arial"/>
                <w:color w:val="000000"/>
                <w:sz w:val="17"/>
                <w:szCs w:val="17"/>
              </w:rPr>
              <w:t>64.</w:t>
            </w:r>
            <w:r>
              <w:rPr>
                <w:rFonts w:ascii="Arial" w:hAnsi="Arial" w:cs="Arial"/>
                <w:color w:val="000000"/>
                <w:sz w:val="17"/>
                <w:szCs w:val="17"/>
              </w:rPr>
              <w:t xml:space="preserve"> odečíst účty </w:t>
            </w:r>
            <w:r w:rsidRPr="00324B2D">
              <w:rPr>
                <w:rFonts w:ascii="Arial" w:hAnsi="Arial" w:cs="Arial"/>
                <w:color w:val="000000"/>
                <w:sz w:val="17"/>
                <w:szCs w:val="17"/>
              </w:rPr>
              <w:t>604</w:t>
            </w:r>
            <w:r>
              <w:rPr>
                <w:rFonts w:ascii="Arial" w:hAnsi="Arial" w:cs="Arial"/>
                <w:color w:val="000000"/>
                <w:sz w:val="17"/>
                <w:szCs w:val="17"/>
              </w:rPr>
              <w:t>), 648 (platby za SOHZ), 648 (regulační poplatky)</w:t>
            </w:r>
            <w:r>
              <w:rPr>
                <w:rFonts w:ascii="Arial" w:hAnsi="Arial" w:cs="Arial"/>
                <w:color w:val="000000"/>
                <w:sz w:val="17"/>
                <w:szCs w:val="17"/>
              </w:rPr>
              <w:br/>
              <w:t>a 648 (výnosy ze změny metody)</w:t>
            </w:r>
          </w:p>
        </w:tc>
        <w:tc>
          <w:tcPr>
            <w:tcW w:w="1460" w:type="dxa"/>
            <w:tcBorders>
              <w:top w:val="single" w:sz="4" w:space="0" w:color="auto"/>
              <w:left w:val="single" w:sz="8" w:space="0" w:color="auto"/>
              <w:bottom w:val="single" w:sz="4" w:space="0" w:color="auto"/>
              <w:right w:val="single" w:sz="4" w:space="0" w:color="auto"/>
            </w:tcBorders>
            <w:shd w:val="clear" w:color="auto" w:fill="FFD966"/>
            <w:vAlign w:val="center"/>
          </w:tcPr>
          <w:p w:rsidR="00FE08FF" w:rsidRPr="00324B2D" w:rsidRDefault="00FE08FF" w:rsidP="008E0926">
            <w:pPr>
              <w:rPr>
                <w:rFonts w:ascii="Arial" w:hAnsi="Arial" w:cs="Arial"/>
                <w:color w:val="000000"/>
                <w:sz w:val="17"/>
                <w:szCs w:val="17"/>
              </w:rPr>
            </w:pPr>
            <w:r w:rsidRPr="00324B2D">
              <w:rPr>
                <w:rFonts w:ascii="Arial" w:hAnsi="Arial" w:cs="Arial"/>
                <w:color w:val="000000"/>
                <w:sz w:val="17"/>
                <w:szCs w:val="17"/>
              </w:rPr>
              <w:t> </w:t>
            </w:r>
          </w:p>
        </w:tc>
        <w:tc>
          <w:tcPr>
            <w:tcW w:w="1460" w:type="dxa"/>
            <w:tcBorders>
              <w:top w:val="single" w:sz="4" w:space="0" w:color="auto"/>
              <w:left w:val="nil"/>
              <w:bottom w:val="single" w:sz="4" w:space="0" w:color="auto"/>
              <w:right w:val="single" w:sz="4" w:space="0" w:color="auto"/>
            </w:tcBorders>
            <w:shd w:val="clear" w:color="auto" w:fill="FFD966"/>
            <w:vAlign w:val="center"/>
          </w:tcPr>
          <w:p w:rsidR="00FE08FF" w:rsidRPr="00324B2D" w:rsidRDefault="00FE08FF" w:rsidP="008E0926">
            <w:pPr>
              <w:rPr>
                <w:rFonts w:ascii="Arial" w:hAnsi="Arial" w:cs="Arial"/>
                <w:color w:val="000000"/>
                <w:sz w:val="17"/>
                <w:szCs w:val="17"/>
              </w:rPr>
            </w:pPr>
            <w:r w:rsidRPr="00324B2D">
              <w:rPr>
                <w:rFonts w:ascii="Arial" w:hAnsi="Arial" w:cs="Arial"/>
                <w:color w:val="000000"/>
                <w:sz w:val="17"/>
                <w:szCs w:val="17"/>
              </w:rPr>
              <w:t> </w:t>
            </w:r>
          </w:p>
        </w:tc>
        <w:tc>
          <w:tcPr>
            <w:tcW w:w="1220" w:type="dxa"/>
            <w:tcBorders>
              <w:top w:val="single" w:sz="4" w:space="0" w:color="auto"/>
              <w:left w:val="nil"/>
              <w:bottom w:val="single" w:sz="4" w:space="0" w:color="auto"/>
              <w:right w:val="single" w:sz="4" w:space="0" w:color="auto"/>
            </w:tcBorders>
            <w:shd w:val="clear" w:color="auto" w:fill="FFD966"/>
            <w:vAlign w:val="center"/>
          </w:tcPr>
          <w:p w:rsidR="00FE08FF" w:rsidRDefault="00FE08FF" w:rsidP="008E0926">
            <w:pPr>
              <w:rPr>
                <w:rFonts w:ascii="Arial" w:hAnsi="Arial" w:cs="Arial"/>
                <w:color w:val="000000"/>
                <w:sz w:val="17"/>
                <w:szCs w:val="17"/>
              </w:rPr>
            </w:pPr>
            <w:r>
              <w:rPr>
                <w:rFonts w:ascii="Arial" w:hAnsi="Arial" w:cs="Arial"/>
                <w:color w:val="000000"/>
                <w:sz w:val="17"/>
                <w:szCs w:val="17"/>
              </w:rPr>
              <w:t>výnosy středisek</w:t>
            </w:r>
            <w:r>
              <w:rPr>
                <w:rFonts w:ascii="Arial" w:hAnsi="Arial" w:cs="Arial"/>
                <w:color w:val="000000"/>
                <w:sz w:val="17"/>
                <w:szCs w:val="17"/>
              </w:rPr>
              <w:br/>
            </w:r>
            <w:r w:rsidRPr="00324B2D">
              <w:rPr>
                <w:rFonts w:ascii="Arial" w:hAnsi="Arial" w:cs="Arial"/>
                <w:color w:val="000000"/>
                <w:sz w:val="17"/>
                <w:szCs w:val="17"/>
              </w:rPr>
              <w:t xml:space="preserve">nutných </w:t>
            </w:r>
            <w:r>
              <w:rPr>
                <w:rFonts w:ascii="Arial" w:hAnsi="Arial" w:cs="Arial"/>
                <w:color w:val="000000"/>
                <w:sz w:val="17"/>
                <w:szCs w:val="17"/>
              </w:rPr>
              <w:t xml:space="preserve">k provozování Služeb, které jsou předmětem SOHZ, které nelze přímo přiřadit k jednotlivým oddělením (pohotovostním službám)  + </w:t>
            </w:r>
            <w:r>
              <w:rPr>
                <w:rFonts w:ascii="Arial" w:hAnsi="Arial" w:cs="Arial"/>
                <w:color w:val="000000"/>
                <w:sz w:val="17"/>
                <w:szCs w:val="17"/>
              </w:rPr>
              <w:br/>
              <w:t>+ v</w:t>
            </w:r>
            <w:r w:rsidRPr="00324B2D">
              <w:rPr>
                <w:rFonts w:ascii="Arial" w:hAnsi="Arial" w:cs="Arial"/>
                <w:color w:val="000000"/>
                <w:sz w:val="17"/>
                <w:szCs w:val="17"/>
              </w:rPr>
              <w:t xml:space="preserve">ýnosy ústavní </w:t>
            </w:r>
            <w:r>
              <w:rPr>
                <w:rFonts w:ascii="Arial" w:hAnsi="Arial" w:cs="Arial"/>
                <w:color w:val="000000"/>
                <w:sz w:val="17"/>
                <w:szCs w:val="17"/>
              </w:rPr>
              <w:t>l</w:t>
            </w:r>
            <w:r w:rsidRPr="00324B2D">
              <w:rPr>
                <w:rFonts w:ascii="Arial" w:hAnsi="Arial" w:cs="Arial"/>
                <w:color w:val="000000"/>
                <w:sz w:val="17"/>
                <w:szCs w:val="17"/>
              </w:rPr>
              <w:t>ékárny</w:t>
            </w:r>
          </w:p>
          <w:p w:rsidR="00FE08FF" w:rsidRDefault="00FE08FF" w:rsidP="008E0926">
            <w:pPr>
              <w:rPr>
                <w:rFonts w:ascii="Arial" w:hAnsi="Arial" w:cs="Arial"/>
                <w:color w:val="000000"/>
                <w:sz w:val="17"/>
                <w:szCs w:val="17"/>
              </w:rPr>
            </w:pPr>
            <w:r>
              <w:rPr>
                <w:rFonts w:ascii="Arial" w:hAnsi="Arial" w:cs="Arial"/>
                <w:color w:val="000000"/>
                <w:sz w:val="17"/>
                <w:szCs w:val="17"/>
              </w:rPr>
              <w:t xml:space="preserve">+ </w:t>
            </w:r>
            <w:r w:rsidRPr="00324B2D">
              <w:rPr>
                <w:rFonts w:ascii="Arial" w:hAnsi="Arial" w:cs="Arial"/>
                <w:color w:val="000000"/>
                <w:sz w:val="17"/>
                <w:szCs w:val="17"/>
              </w:rPr>
              <w:t xml:space="preserve">výnosy kuchyně </w:t>
            </w:r>
            <w:r>
              <w:rPr>
                <w:rFonts w:ascii="Arial" w:hAnsi="Arial" w:cs="Arial"/>
                <w:color w:val="000000"/>
                <w:sz w:val="17"/>
                <w:szCs w:val="17"/>
              </w:rPr>
              <w:t>zaměstnanci oddělení SOHZ</w:t>
            </w:r>
          </w:p>
          <w:p w:rsidR="00FE08FF" w:rsidRPr="00324B2D" w:rsidRDefault="00FE08FF" w:rsidP="008E0926">
            <w:pPr>
              <w:rPr>
                <w:rFonts w:ascii="Arial" w:hAnsi="Arial" w:cs="Arial"/>
                <w:color w:val="000000"/>
                <w:sz w:val="17"/>
                <w:szCs w:val="17"/>
              </w:rPr>
            </w:pPr>
            <w:r w:rsidRPr="00324B2D">
              <w:rPr>
                <w:rFonts w:ascii="Arial" w:hAnsi="Arial" w:cs="Arial"/>
                <w:color w:val="000000"/>
                <w:sz w:val="17"/>
                <w:szCs w:val="17"/>
              </w:rPr>
              <w:t>+ sterilizace</w:t>
            </w:r>
            <w:r>
              <w:rPr>
                <w:rFonts w:ascii="Arial" w:hAnsi="Arial" w:cs="Arial"/>
                <w:color w:val="000000"/>
                <w:sz w:val="17"/>
                <w:szCs w:val="17"/>
              </w:rPr>
              <w:t>. Tyto výnosy budou uplatněné pouze ve výši jejich rozúčtování na oddělení resp. pohotovostní služby, které jsou předmětem SOHS (viz bod 2b metodiky)</w:t>
            </w:r>
          </w:p>
        </w:tc>
        <w:tc>
          <w:tcPr>
            <w:tcW w:w="2620" w:type="dxa"/>
            <w:tcBorders>
              <w:top w:val="nil"/>
              <w:left w:val="nil"/>
              <w:bottom w:val="single" w:sz="4" w:space="0" w:color="auto"/>
              <w:right w:val="single" w:sz="8" w:space="0" w:color="auto"/>
            </w:tcBorders>
            <w:shd w:val="clear" w:color="auto" w:fill="FFD966"/>
            <w:vAlign w:val="center"/>
          </w:tcPr>
          <w:p w:rsidR="00FE08FF" w:rsidRPr="00324B2D" w:rsidRDefault="00FE08FF" w:rsidP="008E0926">
            <w:pPr>
              <w:rPr>
                <w:rFonts w:ascii="Arial" w:hAnsi="Arial" w:cs="Arial"/>
                <w:color w:val="000000"/>
                <w:sz w:val="17"/>
                <w:szCs w:val="17"/>
              </w:rPr>
            </w:pPr>
            <w:r>
              <w:rPr>
                <w:rFonts w:ascii="Arial" w:hAnsi="Arial" w:cs="Arial"/>
                <w:color w:val="000000"/>
                <w:sz w:val="17"/>
                <w:szCs w:val="17"/>
              </w:rPr>
              <w:t xml:space="preserve">B14až </w:t>
            </w:r>
            <w:r w:rsidRPr="00324B2D">
              <w:rPr>
                <w:rFonts w:ascii="Arial" w:hAnsi="Arial" w:cs="Arial"/>
                <w:color w:val="000000"/>
                <w:sz w:val="17"/>
                <w:szCs w:val="17"/>
              </w:rPr>
              <w:t>F14=C14+D14+E14</w:t>
            </w:r>
          </w:p>
        </w:tc>
      </w:tr>
      <w:tr w:rsidR="00FE08FF" w:rsidRPr="00324B2D" w:rsidTr="008E0926">
        <w:trPr>
          <w:trHeight w:val="1050"/>
          <w:jc w:val="center"/>
        </w:trPr>
        <w:tc>
          <w:tcPr>
            <w:tcW w:w="1420" w:type="dxa"/>
            <w:tcBorders>
              <w:top w:val="nil"/>
              <w:left w:val="single" w:sz="8" w:space="0" w:color="auto"/>
              <w:bottom w:val="single" w:sz="8" w:space="0" w:color="auto"/>
              <w:right w:val="nil"/>
            </w:tcBorders>
            <w:shd w:val="clear" w:color="auto" w:fill="FFD966"/>
            <w:noWrap/>
            <w:vAlign w:val="center"/>
          </w:tcPr>
          <w:p w:rsidR="00FE08FF" w:rsidRPr="00324B2D" w:rsidRDefault="00FE08FF" w:rsidP="008E0926">
            <w:pPr>
              <w:rPr>
                <w:rFonts w:ascii="Arial" w:hAnsi="Arial" w:cs="Arial"/>
                <w:color w:val="000000"/>
                <w:sz w:val="17"/>
                <w:szCs w:val="17"/>
              </w:rPr>
            </w:pPr>
            <w:r w:rsidRPr="00324B2D">
              <w:rPr>
                <w:rFonts w:ascii="Arial" w:hAnsi="Arial" w:cs="Arial"/>
                <w:color w:val="000000"/>
                <w:sz w:val="17"/>
                <w:szCs w:val="17"/>
              </w:rPr>
              <w:t>15 Regulační poplatky</w:t>
            </w:r>
            <w:r>
              <w:rPr>
                <w:rFonts w:ascii="Arial" w:hAnsi="Arial" w:cs="Arial"/>
                <w:color w:val="000000"/>
                <w:sz w:val="17"/>
                <w:szCs w:val="17"/>
              </w:rPr>
              <w:t xml:space="preserve"> LPS</w:t>
            </w:r>
          </w:p>
        </w:tc>
        <w:tc>
          <w:tcPr>
            <w:tcW w:w="1500" w:type="dxa"/>
            <w:tcBorders>
              <w:top w:val="nil"/>
              <w:left w:val="single" w:sz="8" w:space="0" w:color="auto"/>
              <w:bottom w:val="single" w:sz="8" w:space="0" w:color="auto"/>
              <w:right w:val="nil"/>
            </w:tcBorders>
            <w:shd w:val="clear" w:color="auto" w:fill="FFD966"/>
            <w:vAlign w:val="center"/>
          </w:tcPr>
          <w:p w:rsidR="00FE08FF" w:rsidRPr="00324B2D" w:rsidRDefault="00FE08FF" w:rsidP="008E0926">
            <w:pPr>
              <w:rPr>
                <w:rFonts w:ascii="Arial" w:hAnsi="Arial" w:cs="Arial"/>
                <w:color w:val="000000"/>
                <w:sz w:val="17"/>
                <w:szCs w:val="17"/>
              </w:rPr>
            </w:pPr>
          </w:p>
        </w:tc>
        <w:tc>
          <w:tcPr>
            <w:tcW w:w="1460" w:type="dxa"/>
            <w:tcBorders>
              <w:top w:val="nil"/>
              <w:left w:val="single" w:sz="8" w:space="0" w:color="auto"/>
              <w:bottom w:val="single" w:sz="8" w:space="0" w:color="auto"/>
              <w:right w:val="single" w:sz="4" w:space="0" w:color="auto"/>
            </w:tcBorders>
            <w:shd w:val="clear" w:color="auto" w:fill="FFD966"/>
            <w:vAlign w:val="center"/>
          </w:tcPr>
          <w:p w:rsidR="00FE08FF" w:rsidRPr="00324B2D" w:rsidRDefault="00FE08FF" w:rsidP="008E0926">
            <w:pPr>
              <w:rPr>
                <w:rFonts w:ascii="Arial" w:hAnsi="Arial" w:cs="Arial"/>
                <w:color w:val="000000"/>
                <w:sz w:val="17"/>
                <w:szCs w:val="17"/>
              </w:rPr>
            </w:pPr>
            <w:r w:rsidRPr="00324B2D">
              <w:rPr>
                <w:rFonts w:ascii="Arial" w:hAnsi="Arial" w:cs="Arial"/>
                <w:color w:val="000000"/>
                <w:sz w:val="17"/>
                <w:szCs w:val="17"/>
              </w:rPr>
              <w:t> </w:t>
            </w:r>
          </w:p>
        </w:tc>
        <w:tc>
          <w:tcPr>
            <w:tcW w:w="1460" w:type="dxa"/>
            <w:tcBorders>
              <w:top w:val="nil"/>
              <w:left w:val="nil"/>
              <w:bottom w:val="single" w:sz="8" w:space="0" w:color="auto"/>
              <w:right w:val="single" w:sz="4" w:space="0" w:color="auto"/>
            </w:tcBorders>
            <w:shd w:val="clear" w:color="auto" w:fill="FFD966"/>
            <w:vAlign w:val="center"/>
          </w:tcPr>
          <w:p w:rsidR="00FE08FF" w:rsidRPr="00324B2D" w:rsidRDefault="00FE08FF" w:rsidP="008E0926">
            <w:pPr>
              <w:rPr>
                <w:rFonts w:ascii="Arial" w:hAnsi="Arial" w:cs="Arial"/>
                <w:color w:val="000000"/>
                <w:sz w:val="17"/>
                <w:szCs w:val="17"/>
              </w:rPr>
            </w:pPr>
            <w:r w:rsidRPr="00324B2D">
              <w:rPr>
                <w:rFonts w:ascii="Arial" w:hAnsi="Arial" w:cs="Arial"/>
                <w:color w:val="000000"/>
                <w:sz w:val="17"/>
                <w:szCs w:val="17"/>
              </w:rPr>
              <w:t> </w:t>
            </w:r>
          </w:p>
        </w:tc>
        <w:tc>
          <w:tcPr>
            <w:tcW w:w="1220" w:type="dxa"/>
            <w:tcBorders>
              <w:top w:val="nil"/>
              <w:left w:val="nil"/>
              <w:bottom w:val="single" w:sz="8" w:space="0" w:color="auto"/>
              <w:right w:val="single" w:sz="4" w:space="0" w:color="auto"/>
            </w:tcBorders>
            <w:shd w:val="clear" w:color="auto" w:fill="FFD966"/>
            <w:vAlign w:val="center"/>
          </w:tcPr>
          <w:p w:rsidR="00FE08FF" w:rsidRPr="00324B2D" w:rsidRDefault="00FE08FF" w:rsidP="008E0926">
            <w:pPr>
              <w:rPr>
                <w:rFonts w:ascii="Arial" w:hAnsi="Arial" w:cs="Arial"/>
                <w:color w:val="000000"/>
                <w:sz w:val="17"/>
                <w:szCs w:val="17"/>
              </w:rPr>
            </w:pPr>
          </w:p>
        </w:tc>
        <w:tc>
          <w:tcPr>
            <w:tcW w:w="2620" w:type="dxa"/>
            <w:tcBorders>
              <w:top w:val="nil"/>
              <w:left w:val="nil"/>
              <w:bottom w:val="single" w:sz="8" w:space="0" w:color="auto"/>
              <w:right w:val="single" w:sz="8" w:space="0" w:color="auto"/>
            </w:tcBorders>
            <w:shd w:val="clear" w:color="auto" w:fill="FFD966"/>
            <w:vAlign w:val="center"/>
          </w:tcPr>
          <w:p w:rsidR="00FE08FF" w:rsidRPr="00324B2D" w:rsidRDefault="00FE08FF" w:rsidP="008E0926">
            <w:pPr>
              <w:rPr>
                <w:rFonts w:ascii="Arial" w:hAnsi="Arial" w:cs="Arial"/>
                <w:color w:val="000000"/>
                <w:sz w:val="17"/>
                <w:szCs w:val="17"/>
              </w:rPr>
            </w:pPr>
            <w:r w:rsidRPr="00324B2D">
              <w:rPr>
                <w:rFonts w:ascii="Arial" w:hAnsi="Arial" w:cs="Arial"/>
                <w:color w:val="000000"/>
                <w:sz w:val="17"/>
                <w:szCs w:val="17"/>
              </w:rPr>
              <w:t>B15=C15+D15+E15</w:t>
            </w:r>
          </w:p>
        </w:tc>
      </w:tr>
      <w:tr w:rsidR="00FE08FF" w:rsidRPr="00324B2D" w:rsidTr="008E0926">
        <w:trPr>
          <w:trHeight w:val="270"/>
          <w:jc w:val="center"/>
        </w:trPr>
        <w:tc>
          <w:tcPr>
            <w:tcW w:w="1420" w:type="dxa"/>
            <w:tcBorders>
              <w:top w:val="nil"/>
              <w:left w:val="single" w:sz="8" w:space="0" w:color="auto"/>
              <w:bottom w:val="single" w:sz="8" w:space="0" w:color="auto"/>
              <w:right w:val="nil"/>
            </w:tcBorders>
            <w:shd w:val="clear" w:color="auto" w:fill="FF33CC"/>
            <w:noWrap/>
            <w:vAlign w:val="center"/>
          </w:tcPr>
          <w:p w:rsidR="00FE08FF" w:rsidRPr="009D77FC" w:rsidRDefault="00FE08FF" w:rsidP="008E0926">
            <w:pPr>
              <w:rPr>
                <w:rFonts w:ascii="Arial" w:hAnsi="Arial" w:cs="Arial"/>
                <w:b/>
                <w:color w:val="000000"/>
                <w:sz w:val="22"/>
              </w:rPr>
            </w:pPr>
            <w:r w:rsidRPr="009D77FC">
              <w:rPr>
                <w:rFonts w:ascii="Arial" w:hAnsi="Arial" w:cs="Arial"/>
                <w:b/>
                <w:color w:val="000000"/>
                <w:sz w:val="22"/>
              </w:rPr>
              <w:t>16Celková výše vyrovnávací platby</w:t>
            </w:r>
          </w:p>
        </w:tc>
        <w:tc>
          <w:tcPr>
            <w:tcW w:w="1500" w:type="dxa"/>
            <w:tcBorders>
              <w:top w:val="nil"/>
              <w:left w:val="single" w:sz="8" w:space="0" w:color="auto"/>
              <w:bottom w:val="single" w:sz="8" w:space="0" w:color="auto"/>
              <w:right w:val="nil"/>
            </w:tcBorders>
            <w:shd w:val="clear" w:color="auto" w:fill="FF33CC"/>
            <w:noWrap/>
            <w:vAlign w:val="center"/>
          </w:tcPr>
          <w:p w:rsidR="00FE08FF" w:rsidRPr="009D77FC" w:rsidRDefault="00FE08FF" w:rsidP="008E0926">
            <w:pPr>
              <w:rPr>
                <w:rFonts w:ascii="Arial" w:hAnsi="Arial" w:cs="Arial"/>
                <w:b/>
                <w:color w:val="000000"/>
                <w:sz w:val="22"/>
              </w:rPr>
            </w:pPr>
            <w:r w:rsidRPr="009D77FC">
              <w:rPr>
                <w:rFonts w:ascii="Arial" w:hAnsi="Arial" w:cs="Arial"/>
                <w:b/>
                <w:color w:val="000000"/>
                <w:sz w:val="22"/>
              </w:rPr>
              <w:t xml:space="preserve"> </w:t>
            </w:r>
          </w:p>
        </w:tc>
        <w:tc>
          <w:tcPr>
            <w:tcW w:w="1460" w:type="dxa"/>
            <w:tcBorders>
              <w:top w:val="nil"/>
              <w:left w:val="single" w:sz="8" w:space="0" w:color="auto"/>
              <w:bottom w:val="single" w:sz="8" w:space="0" w:color="auto"/>
              <w:right w:val="single" w:sz="4" w:space="0" w:color="auto"/>
            </w:tcBorders>
            <w:shd w:val="clear" w:color="auto" w:fill="FF33CC"/>
            <w:noWrap/>
            <w:vAlign w:val="center"/>
          </w:tcPr>
          <w:p w:rsidR="00FE08FF" w:rsidRPr="009D77FC" w:rsidRDefault="00FE08FF" w:rsidP="008E0926">
            <w:pPr>
              <w:rPr>
                <w:rFonts w:ascii="Arial" w:hAnsi="Arial" w:cs="Arial"/>
                <w:b/>
                <w:color w:val="000000"/>
                <w:sz w:val="22"/>
              </w:rPr>
            </w:pPr>
            <w:r w:rsidRPr="009D77FC">
              <w:rPr>
                <w:rFonts w:ascii="Arial" w:hAnsi="Arial" w:cs="Arial"/>
                <w:b/>
                <w:color w:val="000000"/>
                <w:sz w:val="22"/>
              </w:rPr>
              <w:t>C12+C13-C14-C15</w:t>
            </w:r>
          </w:p>
        </w:tc>
        <w:tc>
          <w:tcPr>
            <w:tcW w:w="1460" w:type="dxa"/>
            <w:tcBorders>
              <w:top w:val="nil"/>
              <w:left w:val="single" w:sz="8" w:space="0" w:color="auto"/>
              <w:bottom w:val="single" w:sz="8" w:space="0" w:color="auto"/>
              <w:right w:val="single" w:sz="4" w:space="0" w:color="auto"/>
            </w:tcBorders>
            <w:shd w:val="clear" w:color="auto" w:fill="FF33CC"/>
            <w:noWrap/>
            <w:vAlign w:val="center"/>
          </w:tcPr>
          <w:p w:rsidR="00FE08FF" w:rsidRPr="009D77FC" w:rsidRDefault="00FE08FF" w:rsidP="008E0926">
            <w:pPr>
              <w:rPr>
                <w:rFonts w:ascii="Arial" w:hAnsi="Arial" w:cs="Arial"/>
                <w:b/>
                <w:color w:val="000000"/>
                <w:sz w:val="22"/>
              </w:rPr>
            </w:pPr>
            <w:r w:rsidRPr="009D77FC">
              <w:rPr>
                <w:rFonts w:ascii="Arial" w:hAnsi="Arial" w:cs="Arial"/>
                <w:b/>
                <w:color w:val="000000"/>
                <w:sz w:val="22"/>
              </w:rPr>
              <w:t>D12+D13-D14-D15</w:t>
            </w:r>
          </w:p>
        </w:tc>
        <w:tc>
          <w:tcPr>
            <w:tcW w:w="1220" w:type="dxa"/>
            <w:tcBorders>
              <w:top w:val="nil"/>
              <w:left w:val="nil"/>
              <w:bottom w:val="single" w:sz="8" w:space="0" w:color="auto"/>
              <w:right w:val="single" w:sz="4" w:space="0" w:color="auto"/>
            </w:tcBorders>
            <w:shd w:val="clear" w:color="auto" w:fill="FF33CC"/>
            <w:noWrap/>
            <w:vAlign w:val="center"/>
          </w:tcPr>
          <w:p w:rsidR="00FE08FF" w:rsidRPr="009D77FC" w:rsidRDefault="00FE08FF" w:rsidP="008E0926">
            <w:pPr>
              <w:rPr>
                <w:rFonts w:ascii="Arial" w:hAnsi="Arial" w:cs="Arial"/>
                <w:b/>
                <w:color w:val="000000"/>
                <w:sz w:val="22"/>
              </w:rPr>
            </w:pPr>
            <w:r w:rsidRPr="009D77FC">
              <w:rPr>
                <w:rFonts w:ascii="Arial" w:hAnsi="Arial" w:cs="Arial"/>
                <w:b/>
                <w:color w:val="000000"/>
                <w:sz w:val="22"/>
              </w:rPr>
              <w:t>E12+E13-E14</w:t>
            </w:r>
          </w:p>
        </w:tc>
        <w:tc>
          <w:tcPr>
            <w:tcW w:w="2620" w:type="dxa"/>
            <w:tcBorders>
              <w:top w:val="nil"/>
              <w:left w:val="nil"/>
              <w:bottom w:val="single" w:sz="8" w:space="0" w:color="auto"/>
              <w:right w:val="single" w:sz="8" w:space="0" w:color="auto"/>
            </w:tcBorders>
            <w:shd w:val="clear" w:color="auto" w:fill="FF33CC"/>
            <w:noWrap/>
            <w:vAlign w:val="center"/>
          </w:tcPr>
          <w:p w:rsidR="00FE08FF" w:rsidRPr="009D77FC" w:rsidRDefault="00FE08FF" w:rsidP="008E0926">
            <w:pPr>
              <w:rPr>
                <w:rFonts w:ascii="Arial" w:hAnsi="Arial" w:cs="Arial"/>
                <w:b/>
                <w:color w:val="000000"/>
                <w:sz w:val="22"/>
              </w:rPr>
            </w:pPr>
            <w:r w:rsidRPr="009D77FC">
              <w:rPr>
                <w:rFonts w:ascii="Arial" w:hAnsi="Arial" w:cs="Arial"/>
                <w:b/>
                <w:color w:val="000000"/>
                <w:sz w:val="22"/>
              </w:rPr>
              <w:t>C16+D16+E16</w:t>
            </w:r>
          </w:p>
          <w:p w:rsidR="00FE08FF" w:rsidRPr="009D77FC" w:rsidRDefault="00FE08FF" w:rsidP="008E0926">
            <w:pPr>
              <w:rPr>
                <w:rFonts w:ascii="Arial" w:hAnsi="Arial" w:cs="Arial"/>
                <w:b/>
                <w:color w:val="000000"/>
                <w:sz w:val="22"/>
              </w:rPr>
            </w:pPr>
            <w:r w:rsidRPr="009D77FC">
              <w:rPr>
                <w:rFonts w:ascii="Arial" w:hAnsi="Arial" w:cs="Arial"/>
                <w:b/>
                <w:color w:val="000000"/>
                <w:sz w:val="22"/>
              </w:rPr>
              <w:t>=G12+G13-G14-G15</w:t>
            </w:r>
          </w:p>
        </w:tc>
      </w:tr>
    </w:tbl>
    <w:p w:rsidR="00FE08FF" w:rsidRDefault="00FE08FF" w:rsidP="00FE08FF">
      <w:pPr>
        <w:pStyle w:val="Normlnweb"/>
        <w:autoSpaceDE w:val="0"/>
        <w:autoSpaceDN w:val="0"/>
        <w:adjustRightInd w:val="0"/>
        <w:spacing w:before="12" w:beforeAutospacing="0" w:after="12" w:afterAutospacing="0" w:line="276" w:lineRule="auto"/>
        <w:jc w:val="both"/>
        <w:rPr>
          <w:rFonts w:ascii="Arial" w:hAnsi="Arial" w:cs="Arial"/>
        </w:rPr>
      </w:pPr>
    </w:p>
    <w:p w:rsidR="00FE08FF" w:rsidRDefault="00FE08FF" w:rsidP="00FE08FF">
      <w:pPr>
        <w:pStyle w:val="Normlnweb"/>
        <w:autoSpaceDE w:val="0"/>
        <w:autoSpaceDN w:val="0"/>
        <w:adjustRightInd w:val="0"/>
        <w:spacing w:before="12" w:beforeAutospacing="0" w:after="12" w:afterAutospacing="0" w:line="276" w:lineRule="auto"/>
        <w:jc w:val="both"/>
        <w:rPr>
          <w:rFonts w:ascii="Arial" w:hAnsi="Arial" w:cs="Arial"/>
        </w:rPr>
      </w:pPr>
    </w:p>
    <w:p w:rsidR="00FE08FF" w:rsidRPr="00324B2D" w:rsidRDefault="00FE08FF" w:rsidP="00FE08FF">
      <w:pPr>
        <w:pStyle w:val="Normlnweb"/>
        <w:numPr>
          <w:ilvl w:val="0"/>
          <w:numId w:val="27"/>
        </w:numPr>
        <w:autoSpaceDE w:val="0"/>
        <w:autoSpaceDN w:val="0"/>
        <w:adjustRightInd w:val="0"/>
        <w:spacing w:before="12" w:beforeAutospacing="0" w:after="12" w:afterAutospacing="0" w:line="276" w:lineRule="auto"/>
        <w:ind w:left="0"/>
        <w:jc w:val="both"/>
        <w:rPr>
          <w:rFonts w:ascii="Arial" w:hAnsi="Arial" w:cs="Arial"/>
        </w:rPr>
      </w:pPr>
      <w:r w:rsidRPr="00324B2D">
        <w:rPr>
          <w:rFonts w:ascii="Arial" w:hAnsi="Arial" w:cs="Arial"/>
        </w:rPr>
        <w:t>Do kalkulace nebudou přidávány žádné nové řádky. Hodnoty se vyplňují dle finančního plánu</w:t>
      </w:r>
      <w:r>
        <w:rPr>
          <w:rFonts w:ascii="Arial" w:hAnsi="Arial" w:cs="Arial"/>
        </w:rPr>
        <w:t xml:space="preserve"> poskytovatele zdravotních služeb</w:t>
      </w:r>
      <w:r w:rsidRPr="00324B2D">
        <w:rPr>
          <w:rFonts w:ascii="Arial" w:hAnsi="Arial" w:cs="Arial"/>
        </w:rPr>
        <w:t xml:space="preserve"> v případě předběžné kalkulace, dle upraveného finančního plánu v případě mimořádné kalkulace či dle výkazu zisku</w:t>
      </w:r>
      <w:r>
        <w:rPr>
          <w:rFonts w:ascii="Arial" w:hAnsi="Arial" w:cs="Arial"/>
        </w:rPr>
        <w:t xml:space="preserve"> </w:t>
      </w:r>
      <w:r w:rsidRPr="00324B2D">
        <w:rPr>
          <w:rFonts w:ascii="Arial" w:hAnsi="Arial" w:cs="Arial"/>
        </w:rPr>
        <w:t>a ztráty v případě výsledné kalkulace.</w:t>
      </w:r>
    </w:p>
    <w:p w:rsidR="00FE08FF" w:rsidRPr="00324B2D" w:rsidRDefault="00FE08FF" w:rsidP="00FE08FF">
      <w:pPr>
        <w:pStyle w:val="Normlnweb"/>
        <w:numPr>
          <w:ilvl w:val="0"/>
          <w:numId w:val="27"/>
        </w:numPr>
        <w:autoSpaceDE w:val="0"/>
        <w:autoSpaceDN w:val="0"/>
        <w:adjustRightInd w:val="0"/>
        <w:spacing w:before="12" w:beforeAutospacing="0" w:after="12" w:afterAutospacing="0" w:line="276" w:lineRule="auto"/>
        <w:ind w:left="0"/>
        <w:jc w:val="both"/>
        <w:rPr>
          <w:rFonts w:ascii="Arial" w:hAnsi="Arial" w:cs="Arial"/>
        </w:rPr>
      </w:pPr>
      <w:r w:rsidRPr="00324B2D">
        <w:rPr>
          <w:rFonts w:ascii="Arial" w:hAnsi="Arial" w:cs="Arial"/>
        </w:rPr>
        <w:t>Nepřiřaditelné náklady</w:t>
      </w:r>
      <w:r>
        <w:rPr>
          <w:rFonts w:ascii="Arial" w:hAnsi="Arial" w:cs="Arial"/>
        </w:rPr>
        <w:t xml:space="preserve"> související s poskytováním zdravotních služeb (oddělení resp. pohotovostních služeb) </w:t>
      </w:r>
      <w:r w:rsidRPr="00324B2D">
        <w:rPr>
          <w:rFonts w:ascii="Arial" w:hAnsi="Arial" w:cs="Arial"/>
        </w:rPr>
        <w:t>je nutno rozpočítat</w:t>
      </w:r>
      <w:r>
        <w:rPr>
          <w:rFonts w:ascii="Arial" w:hAnsi="Arial" w:cs="Arial"/>
        </w:rPr>
        <w:t xml:space="preserve"> dle pokynů uvedených v bodě  2b) metodiky</w:t>
      </w:r>
      <w:r w:rsidRPr="00324B2D">
        <w:rPr>
          <w:rFonts w:ascii="Arial" w:hAnsi="Arial" w:cs="Arial"/>
        </w:rPr>
        <w:t>, nelze je zapsat do řádku Ostatní náklady.</w:t>
      </w:r>
      <w:r>
        <w:rPr>
          <w:rFonts w:ascii="Arial" w:hAnsi="Arial" w:cs="Arial"/>
        </w:rPr>
        <w:t xml:space="preserve"> Tyto náklady se uvádí ve sloupci Ostatní zdravotní.</w:t>
      </w:r>
    </w:p>
    <w:p w:rsidR="00FE08FF" w:rsidRDefault="00FE08FF" w:rsidP="00FE08FF">
      <w:pPr>
        <w:pStyle w:val="Normlnweb"/>
        <w:numPr>
          <w:ilvl w:val="0"/>
          <w:numId w:val="27"/>
        </w:numPr>
        <w:autoSpaceDE w:val="0"/>
        <w:autoSpaceDN w:val="0"/>
        <w:adjustRightInd w:val="0"/>
        <w:spacing w:before="12" w:beforeAutospacing="0" w:after="12" w:afterAutospacing="0" w:line="276" w:lineRule="auto"/>
        <w:ind w:left="0"/>
        <w:jc w:val="both"/>
        <w:rPr>
          <w:rFonts w:ascii="Arial" w:hAnsi="Arial" w:cs="Arial"/>
        </w:rPr>
      </w:pPr>
      <w:r w:rsidRPr="00DA664B">
        <w:rPr>
          <w:rFonts w:ascii="Arial" w:hAnsi="Arial" w:cs="Arial"/>
        </w:rPr>
        <w:t xml:space="preserve">Řádek Výnosy ze služeb ve sloupci Ostatní zdravotní zahrnuje součet </w:t>
      </w:r>
      <w:r>
        <w:rPr>
          <w:rFonts w:ascii="Arial" w:hAnsi="Arial" w:cs="Arial"/>
        </w:rPr>
        <w:t xml:space="preserve">přiřazeného poměru </w:t>
      </w:r>
      <w:r w:rsidRPr="00DA664B">
        <w:rPr>
          <w:rFonts w:ascii="Arial" w:hAnsi="Arial" w:cs="Arial"/>
        </w:rPr>
        <w:t xml:space="preserve">výnosů </w:t>
      </w:r>
      <w:r>
        <w:rPr>
          <w:rFonts w:ascii="Arial" w:hAnsi="Arial" w:cs="Arial"/>
        </w:rPr>
        <w:t>ústavní lékárny, výnosů kuchyně zaměstnanci oddělení, které je předmětem SOZH (v případě, že software poskytovatele zdravotních služeb neumožňuje rozpočítat tyto výnosy přímo do oddělení)</w:t>
      </w:r>
      <w:r w:rsidRPr="00DA664B">
        <w:rPr>
          <w:rFonts w:ascii="Arial" w:hAnsi="Arial" w:cs="Arial"/>
        </w:rPr>
        <w:t>, výnosů sterilizace</w:t>
      </w:r>
      <w:r>
        <w:rPr>
          <w:rFonts w:ascii="Arial" w:hAnsi="Arial" w:cs="Arial"/>
        </w:rPr>
        <w:t xml:space="preserve">, </w:t>
      </w:r>
      <w:r w:rsidRPr="00DA664B">
        <w:rPr>
          <w:rFonts w:ascii="Arial" w:hAnsi="Arial" w:cs="Arial"/>
        </w:rPr>
        <w:t xml:space="preserve"> a </w:t>
      </w:r>
      <w:r>
        <w:rPr>
          <w:rFonts w:ascii="Arial" w:hAnsi="Arial" w:cs="Arial"/>
        </w:rPr>
        <w:t>poměr výnosů středisek určených dle bodu 2b metodiky nutných k provozování oddělení, které jsou předmětem SOHZ.</w:t>
      </w:r>
    </w:p>
    <w:p w:rsidR="00941C95" w:rsidRDefault="00FE08FF" w:rsidP="00FE08FF">
      <w:r w:rsidRPr="00DA664B">
        <w:rPr>
          <w:rFonts w:ascii="Arial" w:hAnsi="Arial" w:cs="Arial"/>
        </w:rPr>
        <w:t>Řádek Regulační</w:t>
      </w:r>
      <w:r>
        <w:rPr>
          <w:rFonts w:ascii="Arial" w:hAnsi="Arial" w:cs="Arial"/>
        </w:rPr>
        <w:t xml:space="preserve"> </w:t>
      </w:r>
      <w:r w:rsidRPr="00DA664B">
        <w:rPr>
          <w:rFonts w:ascii="Arial" w:hAnsi="Arial" w:cs="Arial"/>
        </w:rPr>
        <w:t xml:space="preserve">poplatky zahrnuje Regulační poplatky </w:t>
      </w:r>
      <w:r>
        <w:rPr>
          <w:rFonts w:ascii="Arial" w:hAnsi="Arial" w:cs="Arial"/>
        </w:rPr>
        <w:t>lékařské pohotovostní služby</w:t>
      </w:r>
    </w:p>
    <w:sectPr w:rsidR="00941C95">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926" w:rsidRDefault="008E0926" w:rsidP="00FE08FF">
      <w:r>
        <w:separator/>
      </w:r>
    </w:p>
  </w:endnote>
  <w:endnote w:type="continuationSeparator" w:id="0">
    <w:p w:rsidR="008E0926" w:rsidRDefault="008E0926" w:rsidP="00FE0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926" w:rsidRDefault="008E0926" w:rsidP="008E092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E0926" w:rsidRDefault="008E092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926" w:rsidRPr="009C3E24" w:rsidRDefault="008E0926" w:rsidP="008E0926">
    <w:pPr>
      <w:pStyle w:val="Zpat"/>
      <w:jc w:val="center"/>
      <w:rPr>
        <w:sz w:val="18"/>
        <w:szCs w:val="18"/>
      </w:rPr>
    </w:pPr>
    <w:r w:rsidRPr="009C3E24">
      <w:rPr>
        <w:sz w:val="18"/>
        <w:szCs w:val="18"/>
      </w:rPr>
      <w:t>Stránka</w:t>
    </w:r>
    <w:r>
      <w:rPr>
        <w:sz w:val="18"/>
        <w:szCs w:val="18"/>
      </w:rPr>
      <w:t xml:space="preserve"> </w:t>
    </w:r>
    <w:r w:rsidRPr="009C3E24">
      <w:rPr>
        <w:sz w:val="18"/>
        <w:szCs w:val="18"/>
      </w:rPr>
      <w:t xml:space="preserve"> </w:t>
    </w:r>
    <w:r w:rsidRPr="009C3E24">
      <w:rPr>
        <w:sz w:val="18"/>
        <w:szCs w:val="18"/>
      </w:rPr>
      <w:fldChar w:fldCharType="begin"/>
    </w:r>
    <w:r w:rsidRPr="009C3E24">
      <w:rPr>
        <w:sz w:val="18"/>
        <w:szCs w:val="18"/>
      </w:rPr>
      <w:instrText>PAGE</w:instrText>
    </w:r>
    <w:r w:rsidRPr="009C3E24">
      <w:rPr>
        <w:sz w:val="18"/>
        <w:szCs w:val="18"/>
      </w:rPr>
      <w:fldChar w:fldCharType="separate"/>
    </w:r>
    <w:r w:rsidR="003E5BA7">
      <w:rPr>
        <w:noProof/>
        <w:sz w:val="18"/>
        <w:szCs w:val="18"/>
      </w:rPr>
      <w:t>11</w:t>
    </w:r>
    <w:r w:rsidRPr="009C3E24">
      <w:rPr>
        <w:sz w:val="18"/>
        <w:szCs w:val="18"/>
      </w:rPr>
      <w:fldChar w:fldCharType="end"/>
    </w:r>
    <w:r w:rsidRPr="009C3E24">
      <w:rPr>
        <w:sz w:val="18"/>
        <w:szCs w:val="18"/>
      </w:rPr>
      <w:t xml:space="preserve"> z</w:t>
    </w:r>
    <w:r>
      <w:rPr>
        <w:sz w:val="18"/>
        <w:szCs w:val="18"/>
      </w:rPr>
      <w:t xml:space="preserve"> 24</w:t>
    </w:r>
    <w:r w:rsidRPr="009C3E24">
      <w:rPr>
        <w:sz w:val="18"/>
        <w:szCs w:val="18"/>
      </w:rPr>
      <w:t xml:space="preserve"> </w:t>
    </w:r>
    <w:r>
      <w:rPr>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926" w:rsidRPr="00905876" w:rsidRDefault="008E0926">
    <w:pPr>
      <w:pStyle w:val="Zpat"/>
      <w:jc w:val="center"/>
      <w:rPr>
        <w:sz w:val="18"/>
        <w:szCs w:val="18"/>
      </w:rPr>
    </w:pPr>
    <w:r>
      <w:rPr>
        <w:sz w:val="18"/>
        <w:szCs w:val="18"/>
      </w:rPr>
      <w:t xml:space="preserve">Stránka </w:t>
    </w:r>
    <w:r w:rsidRPr="00905876">
      <w:rPr>
        <w:sz w:val="18"/>
        <w:szCs w:val="18"/>
      </w:rPr>
      <w:fldChar w:fldCharType="begin"/>
    </w:r>
    <w:r w:rsidRPr="00905876">
      <w:rPr>
        <w:sz w:val="18"/>
        <w:szCs w:val="18"/>
      </w:rPr>
      <w:instrText>PAGE   \* MERGEFORMAT</w:instrText>
    </w:r>
    <w:r w:rsidRPr="00905876">
      <w:rPr>
        <w:sz w:val="18"/>
        <w:szCs w:val="18"/>
      </w:rPr>
      <w:fldChar w:fldCharType="separate"/>
    </w:r>
    <w:r w:rsidR="003E5BA7">
      <w:rPr>
        <w:noProof/>
        <w:sz w:val="18"/>
        <w:szCs w:val="18"/>
      </w:rPr>
      <w:t>12</w:t>
    </w:r>
    <w:r w:rsidRPr="00905876">
      <w:rPr>
        <w:sz w:val="18"/>
        <w:szCs w:val="18"/>
      </w:rPr>
      <w:fldChar w:fldCharType="end"/>
    </w:r>
    <w:r>
      <w:rPr>
        <w:sz w:val="18"/>
        <w:szCs w:val="18"/>
      </w:rPr>
      <w:t xml:space="preserve"> z 24</w:t>
    </w:r>
  </w:p>
  <w:p w:rsidR="008E0926" w:rsidRDefault="008E092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926" w:rsidRDefault="008E0926" w:rsidP="00FE08FF">
      <w:r>
        <w:separator/>
      </w:r>
    </w:p>
  </w:footnote>
  <w:footnote w:type="continuationSeparator" w:id="0">
    <w:p w:rsidR="008E0926" w:rsidRDefault="008E0926" w:rsidP="00FE0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926" w:rsidRPr="00FE08FF" w:rsidRDefault="008E0926" w:rsidP="008E0926">
    <w:pPr>
      <w:pStyle w:val="Zhlav"/>
      <w:rPr>
        <w:b/>
        <w:sz w:val="18"/>
        <w:szCs w:val="18"/>
      </w:rPr>
    </w:pPr>
    <w:r w:rsidRPr="009C3E24">
      <w:rPr>
        <w:b/>
        <w:sz w:val="18"/>
        <w:szCs w:val="18"/>
      </w:rPr>
      <w:t xml:space="preserve">Příloha č. </w:t>
    </w:r>
    <w:r>
      <w:rPr>
        <w:b/>
        <w:sz w:val="18"/>
        <w:szCs w:val="18"/>
      </w:rPr>
      <w:t>1</w:t>
    </w:r>
    <w:r w:rsidRPr="009C3E24">
      <w:rPr>
        <w:sz w:val="18"/>
        <w:szCs w:val="18"/>
      </w:rPr>
      <w:t xml:space="preserve"> Smlouvy o poskytování zdravotních služeb </w:t>
    </w:r>
    <w:r w:rsidRPr="00CD0C94">
      <w:rPr>
        <w:sz w:val="18"/>
        <w:szCs w:val="18"/>
      </w:rPr>
      <w:t>Nemocnicí Mariánské Lázně s.r.o..,</w:t>
    </w:r>
    <w:r w:rsidRPr="009C3E24">
      <w:rPr>
        <w:sz w:val="18"/>
        <w:szCs w:val="18"/>
      </w:rPr>
      <w:t xml:space="preserve"> jako služeb obecného hospodářského zájmu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926" w:rsidRPr="00905876" w:rsidRDefault="008E0926" w:rsidP="008E0926">
    <w:pPr>
      <w:pStyle w:val="Zhlav"/>
      <w:jc w:val="both"/>
      <w:rPr>
        <w:sz w:val="18"/>
        <w:szCs w:val="18"/>
      </w:rPr>
    </w:pPr>
    <w:r w:rsidRPr="00905876">
      <w:rPr>
        <w:b/>
        <w:sz w:val="18"/>
        <w:szCs w:val="18"/>
      </w:rPr>
      <w:t xml:space="preserve">Příloha č. </w:t>
    </w:r>
    <w:r>
      <w:rPr>
        <w:b/>
        <w:sz w:val="18"/>
        <w:szCs w:val="18"/>
      </w:rPr>
      <w:t>2</w:t>
    </w:r>
    <w:r w:rsidRPr="00905876">
      <w:rPr>
        <w:sz w:val="18"/>
        <w:szCs w:val="18"/>
      </w:rPr>
      <w:t xml:space="preserve"> Smlouvy o poskytování zdravotních služeb </w:t>
    </w:r>
    <w:r>
      <w:rPr>
        <w:sz w:val="18"/>
        <w:szCs w:val="18"/>
      </w:rPr>
      <w:t>Nemocnici Mariánské Lázně s.r.o.</w:t>
    </w:r>
    <w:r w:rsidRPr="00905876">
      <w:rPr>
        <w:sz w:val="18"/>
        <w:szCs w:val="18"/>
      </w:rPr>
      <w:t xml:space="preserve">, jako služeb obecného hospodářského zájmu </w:t>
    </w:r>
  </w:p>
  <w:p w:rsidR="008E0926" w:rsidRDefault="008E092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926" w:rsidRPr="00905876" w:rsidRDefault="008E0926" w:rsidP="008E0926">
    <w:pPr>
      <w:pStyle w:val="Zhlav"/>
      <w:jc w:val="both"/>
      <w:rPr>
        <w:sz w:val="18"/>
        <w:szCs w:val="18"/>
      </w:rPr>
    </w:pPr>
    <w:r w:rsidRPr="00905876">
      <w:rPr>
        <w:b/>
        <w:sz w:val="18"/>
        <w:szCs w:val="18"/>
      </w:rPr>
      <w:t xml:space="preserve">Příloha č. </w:t>
    </w:r>
    <w:r>
      <w:rPr>
        <w:b/>
        <w:sz w:val="18"/>
        <w:szCs w:val="18"/>
      </w:rPr>
      <w:t>3</w:t>
    </w:r>
    <w:r w:rsidRPr="00905876">
      <w:rPr>
        <w:sz w:val="18"/>
        <w:szCs w:val="18"/>
      </w:rPr>
      <w:t xml:space="preserve"> Smlouvy o poskytování zdravotních služeb </w:t>
    </w:r>
    <w:r>
      <w:rPr>
        <w:sz w:val="18"/>
        <w:szCs w:val="18"/>
      </w:rPr>
      <w:t>Nemocnici Mariánské Lázně s.r.o.</w:t>
    </w:r>
    <w:r w:rsidRPr="00905876">
      <w:rPr>
        <w:sz w:val="18"/>
        <w:szCs w:val="18"/>
      </w:rPr>
      <w:t xml:space="preserve">, jako služeb obecného hospodářského zájmu </w:t>
    </w:r>
  </w:p>
  <w:p w:rsidR="008E0926" w:rsidRDefault="008E092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32E3"/>
    <w:multiLevelType w:val="hybridMultilevel"/>
    <w:tmpl w:val="2258FE30"/>
    <w:lvl w:ilvl="0" w:tplc="9DB226F0">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04DC2AD6"/>
    <w:multiLevelType w:val="hybridMultilevel"/>
    <w:tmpl w:val="059A5A2C"/>
    <w:lvl w:ilvl="0" w:tplc="0405000F">
      <w:start w:val="1"/>
      <w:numFmt w:val="decimal"/>
      <w:lvlText w:val="%1."/>
      <w:lvlJc w:val="left"/>
      <w:pPr>
        <w:ind w:left="1070"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05F834A3"/>
    <w:multiLevelType w:val="hybridMultilevel"/>
    <w:tmpl w:val="8FCCF69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8043D12"/>
    <w:multiLevelType w:val="hybridMultilevel"/>
    <w:tmpl w:val="206291DA"/>
    <w:lvl w:ilvl="0" w:tplc="B15A4890">
      <w:start w:val="2"/>
      <w:numFmt w:val="upperRoman"/>
      <w:lvlText w:val="%1."/>
      <w:lvlJc w:val="left"/>
      <w:pPr>
        <w:ind w:left="2160" w:hanging="72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 w15:restartNumberingAfterBreak="0">
    <w:nsid w:val="08D21087"/>
    <w:multiLevelType w:val="hybridMultilevel"/>
    <w:tmpl w:val="B07C0FFA"/>
    <w:lvl w:ilvl="0" w:tplc="9DB226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1C2590"/>
    <w:multiLevelType w:val="hybridMultilevel"/>
    <w:tmpl w:val="E342F892"/>
    <w:lvl w:ilvl="0" w:tplc="CE5069DE">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0D2204BD"/>
    <w:multiLevelType w:val="hybridMultilevel"/>
    <w:tmpl w:val="1712733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D553719"/>
    <w:multiLevelType w:val="hybridMultilevel"/>
    <w:tmpl w:val="DE36441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21850F6"/>
    <w:multiLevelType w:val="hybridMultilevel"/>
    <w:tmpl w:val="3FD8A296"/>
    <w:lvl w:ilvl="0" w:tplc="BB52C050">
      <w:start w:val="1"/>
      <w:numFmt w:val="decimal"/>
      <w:lvlText w:val="%1."/>
      <w:lvlJc w:val="left"/>
      <w:pPr>
        <w:tabs>
          <w:tab w:val="num" w:pos="1353"/>
        </w:tabs>
        <w:ind w:left="1353" w:hanging="360"/>
      </w:pPr>
      <w:rPr>
        <w:rFonts w:ascii="Arial" w:hAnsi="Arial" w:cs="Arial" w:hint="default"/>
        <w:b/>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07186E"/>
    <w:multiLevelType w:val="hybridMultilevel"/>
    <w:tmpl w:val="EBCEFD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4A6851"/>
    <w:multiLevelType w:val="hybridMultilevel"/>
    <w:tmpl w:val="1F1A84A8"/>
    <w:lvl w:ilvl="0" w:tplc="3B4660D4">
      <w:start w:val="1"/>
      <w:numFmt w:val="upperRoman"/>
      <w:lvlText w:val="%1."/>
      <w:lvlJc w:val="left"/>
      <w:pPr>
        <w:ind w:left="777" w:hanging="720"/>
      </w:pPr>
      <w:rPr>
        <w:rFonts w:hint="default"/>
      </w:rPr>
    </w:lvl>
    <w:lvl w:ilvl="1" w:tplc="04050019" w:tentative="1">
      <w:start w:val="1"/>
      <w:numFmt w:val="lowerLetter"/>
      <w:lvlText w:val="%2."/>
      <w:lvlJc w:val="left"/>
      <w:pPr>
        <w:ind w:left="1137" w:hanging="360"/>
      </w:pPr>
    </w:lvl>
    <w:lvl w:ilvl="2" w:tplc="0405001B" w:tentative="1">
      <w:start w:val="1"/>
      <w:numFmt w:val="lowerRoman"/>
      <w:lvlText w:val="%3."/>
      <w:lvlJc w:val="right"/>
      <w:pPr>
        <w:ind w:left="1857" w:hanging="180"/>
      </w:pPr>
    </w:lvl>
    <w:lvl w:ilvl="3" w:tplc="0405000F" w:tentative="1">
      <w:start w:val="1"/>
      <w:numFmt w:val="decimal"/>
      <w:lvlText w:val="%4."/>
      <w:lvlJc w:val="left"/>
      <w:pPr>
        <w:ind w:left="2577" w:hanging="360"/>
      </w:pPr>
    </w:lvl>
    <w:lvl w:ilvl="4" w:tplc="04050019" w:tentative="1">
      <w:start w:val="1"/>
      <w:numFmt w:val="lowerLetter"/>
      <w:lvlText w:val="%5."/>
      <w:lvlJc w:val="left"/>
      <w:pPr>
        <w:ind w:left="3297" w:hanging="360"/>
      </w:pPr>
    </w:lvl>
    <w:lvl w:ilvl="5" w:tplc="0405001B" w:tentative="1">
      <w:start w:val="1"/>
      <w:numFmt w:val="lowerRoman"/>
      <w:lvlText w:val="%6."/>
      <w:lvlJc w:val="right"/>
      <w:pPr>
        <w:ind w:left="4017" w:hanging="180"/>
      </w:pPr>
    </w:lvl>
    <w:lvl w:ilvl="6" w:tplc="0405000F" w:tentative="1">
      <w:start w:val="1"/>
      <w:numFmt w:val="decimal"/>
      <w:lvlText w:val="%7."/>
      <w:lvlJc w:val="left"/>
      <w:pPr>
        <w:ind w:left="4737" w:hanging="360"/>
      </w:pPr>
    </w:lvl>
    <w:lvl w:ilvl="7" w:tplc="04050019" w:tentative="1">
      <w:start w:val="1"/>
      <w:numFmt w:val="lowerLetter"/>
      <w:lvlText w:val="%8."/>
      <w:lvlJc w:val="left"/>
      <w:pPr>
        <w:ind w:left="5457" w:hanging="360"/>
      </w:pPr>
    </w:lvl>
    <w:lvl w:ilvl="8" w:tplc="0405001B" w:tentative="1">
      <w:start w:val="1"/>
      <w:numFmt w:val="lowerRoman"/>
      <w:lvlText w:val="%9."/>
      <w:lvlJc w:val="right"/>
      <w:pPr>
        <w:ind w:left="6177" w:hanging="180"/>
      </w:pPr>
    </w:lvl>
  </w:abstractNum>
  <w:abstractNum w:abstractNumId="11" w15:restartNumberingAfterBreak="0">
    <w:nsid w:val="27397422"/>
    <w:multiLevelType w:val="hybridMultilevel"/>
    <w:tmpl w:val="5122E3EC"/>
    <w:lvl w:ilvl="0" w:tplc="D27440B8">
      <w:start w:val="2"/>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7CC6A0E"/>
    <w:multiLevelType w:val="hybridMultilevel"/>
    <w:tmpl w:val="0D3C1A0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2312A7"/>
    <w:multiLevelType w:val="hybridMultilevel"/>
    <w:tmpl w:val="C312174E"/>
    <w:lvl w:ilvl="0" w:tplc="C0087E6E">
      <w:start w:val="4"/>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A9710E2"/>
    <w:multiLevelType w:val="hybridMultilevel"/>
    <w:tmpl w:val="4468D12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EA416F5"/>
    <w:multiLevelType w:val="hybridMultilevel"/>
    <w:tmpl w:val="DF94E0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08D4AEB"/>
    <w:multiLevelType w:val="hybridMultilevel"/>
    <w:tmpl w:val="20BE9A94"/>
    <w:lvl w:ilvl="0" w:tplc="8168E75A">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A8472D"/>
    <w:multiLevelType w:val="hybridMultilevel"/>
    <w:tmpl w:val="9F9A6C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83334A"/>
    <w:multiLevelType w:val="hybridMultilevel"/>
    <w:tmpl w:val="DE8C4268"/>
    <w:name w:val="WW8Num6"/>
    <w:lvl w:ilvl="0" w:tplc="9E2ED044">
      <w:start w:val="11"/>
      <w:numFmt w:val="decimal"/>
      <w:lvlText w:val="%1."/>
      <w:lvlJc w:val="left"/>
      <w:pPr>
        <w:tabs>
          <w:tab w:val="num" w:pos="0"/>
        </w:tabs>
        <w:ind w:left="360" w:hanging="360"/>
      </w:pPr>
      <w:rPr>
        <w:rFonts w:cs="Times New Roman"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F706F0F"/>
    <w:multiLevelType w:val="hybridMultilevel"/>
    <w:tmpl w:val="527CED8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465C0BC8"/>
    <w:multiLevelType w:val="hybridMultilevel"/>
    <w:tmpl w:val="3F08914C"/>
    <w:lvl w:ilvl="0" w:tplc="35C8A1B6">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1" w15:restartNumberingAfterBreak="0">
    <w:nsid w:val="497148B8"/>
    <w:multiLevelType w:val="hybridMultilevel"/>
    <w:tmpl w:val="6BE215D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B9B4E94"/>
    <w:multiLevelType w:val="hybridMultilevel"/>
    <w:tmpl w:val="064C0A7A"/>
    <w:lvl w:ilvl="0" w:tplc="3684D658">
      <w:start w:val="18"/>
      <w:numFmt w:val="decimal"/>
      <w:lvlText w:val="%1."/>
      <w:lvlJc w:val="left"/>
      <w:pPr>
        <w:ind w:left="502"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BE0EB9"/>
    <w:multiLevelType w:val="hybridMultilevel"/>
    <w:tmpl w:val="B4500C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64738B9"/>
    <w:multiLevelType w:val="hybridMultilevel"/>
    <w:tmpl w:val="7108A74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5C80721F"/>
    <w:multiLevelType w:val="hybridMultilevel"/>
    <w:tmpl w:val="F8E03220"/>
    <w:lvl w:ilvl="0" w:tplc="04050017">
      <w:start w:val="1"/>
      <w:numFmt w:val="lowerLetter"/>
      <w:lvlText w:val="%1)"/>
      <w:lvlJc w:val="left"/>
      <w:pPr>
        <w:ind w:left="720" w:hanging="360"/>
      </w:pPr>
      <w:rPr>
        <w:rFonts w:hint="default"/>
      </w:rPr>
    </w:lvl>
    <w:lvl w:ilvl="1" w:tplc="3D24E428">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3F32F7A"/>
    <w:multiLevelType w:val="hybridMultilevel"/>
    <w:tmpl w:val="7472CF5A"/>
    <w:lvl w:ilvl="0" w:tplc="593A611E">
      <w:start w:val="1"/>
      <w:numFmt w:val="decimal"/>
      <w:lvlText w:val="%1."/>
      <w:lvlJc w:val="left"/>
      <w:pPr>
        <w:ind w:left="360" w:hanging="360"/>
      </w:pPr>
      <w:rPr>
        <w:rFonts w:ascii="Times New Roman" w:hAnsi="Times New Roman" w:cs="Times New Roman" w:hint="default"/>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790423C"/>
    <w:multiLevelType w:val="hybridMultilevel"/>
    <w:tmpl w:val="5DD4102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CF12907"/>
    <w:multiLevelType w:val="hybridMultilevel"/>
    <w:tmpl w:val="64AA6A0C"/>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9" w15:restartNumberingAfterBreak="0">
    <w:nsid w:val="6EB31225"/>
    <w:multiLevelType w:val="hybridMultilevel"/>
    <w:tmpl w:val="8CECA672"/>
    <w:lvl w:ilvl="0" w:tplc="0405000F">
      <w:start w:val="1"/>
      <w:numFmt w:val="decimal"/>
      <w:lvlText w:val="%1."/>
      <w:lvlJc w:val="left"/>
      <w:pPr>
        <w:ind w:left="2860" w:hanging="360"/>
      </w:pPr>
    </w:lvl>
    <w:lvl w:ilvl="1" w:tplc="04050019">
      <w:start w:val="1"/>
      <w:numFmt w:val="lowerLetter"/>
      <w:lvlText w:val="%2."/>
      <w:lvlJc w:val="left"/>
      <w:pPr>
        <w:ind w:left="3580" w:hanging="360"/>
      </w:pPr>
    </w:lvl>
    <w:lvl w:ilvl="2" w:tplc="0405001B" w:tentative="1">
      <w:start w:val="1"/>
      <w:numFmt w:val="lowerRoman"/>
      <w:lvlText w:val="%3."/>
      <w:lvlJc w:val="right"/>
      <w:pPr>
        <w:ind w:left="4300" w:hanging="180"/>
      </w:pPr>
    </w:lvl>
    <w:lvl w:ilvl="3" w:tplc="0405000F" w:tentative="1">
      <w:start w:val="1"/>
      <w:numFmt w:val="decimal"/>
      <w:lvlText w:val="%4."/>
      <w:lvlJc w:val="left"/>
      <w:pPr>
        <w:ind w:left="5020" w:hanging="360"/>
      </w:pPr>
    </w:lvl>
    <w:lvl w:ilvl="4" w:tplc="04050019" w:tentative="1">
      <w:start w:val="1"/>
      <w:numFmt w:val="lowerLetter"/>
      <w:lvlText w:val="%5."/>
      <w:lvlJc w:val="left"/>
      <w:pPr>
        <w:ind w:left="5740" w:hanging="360"/>
      </w:pPr>
    </w:lvl>
    <w:lvl w:ilvl="5" w:tplc="0405001B" w:tentative="1">
      <w:start w:val="1"/>
      <w:numFmt w:val="lowerRoman"/>
      <w:lvlText w:val="%6."/>
      <w:lvlJc w:val="right"/>
      <w:pPr>
        <w:ind w:left="6460" w:hanging="180"/>
      </w:pPr>
    </w:lvl>
    <w:lvl w:ilvl="6" w:tplc="0405000F" w:tentative="1">
      <w:start w:val="1"/>
      <w:numFmt w:val="decimal"/>
      <w:lvlText w:val="%7."/>
      <w:lvlJc w:val="left"/>
      <w:pPr>
        <w:ind w:left="7180" w:hanging="360"/>
      </w:pPr>
    </w:lvl>
    <w:lvl w:ilvl="7" w:tplc="04050019" w:tentative="1">
      <w:start w:val="1"/>
      <w:numFmt w:val="lowerLetter"/>
      <w:lvlText w:val="%8."/>
      <w:lvlJc w:val="left"/>
      <w:pPr>
        <w:ind w:left="7900" w:hanging="360"/>
      </w:pPr>
    </w:lvl>
    <w:lvl w:ilvl="8" w:tplc="0405001B" w:tentative="1">
      <w:start w:val="1"/>
      <w:numFmt w:val="lowerRoman"/>
      <w:lvlText w:val="%9."/>
      <w:lvlJc w:val="right"/>
      <w:pPr>
        <w:ind w:left="8620" w:hanging="180"/>
      </w:pPr>
    </w:lvl>
  </w:abstractNum>
  <w:abstractNum w:abstractNumId="30" w15:restartNumberingAfterBreak="0">
    <w:nsid w:val="7581395D"/>
    <w:multiLevelType w:val="hybridMultilevel"/>
    <w:tmpl w:val="43B4CF6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DE16A05"/>
    <w:multiLevelType w:val="hybridMultilevel"/>
    <w:tmpl w:val="360A99B6"/>
    <w:lvl w:ilvl="0" w:tplc="1C703F7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7B02CA"/>
    <w:multiLevelType w:val="multilevel"/>
    <w:tmpl w:val="B246DC70"/>
    <w:lvl w:ilvl="0">
      <w:start w:val="1"/>
      <w:numFmt w:val="decimal"/>
      <w:pStyle w:val="Nadpis1"/>
      <w:lvlText w:val="%1"/>
      <w:lvlJc w:val="left"/>
      <w:pPr>
        <w:tabs>
          <w:tab w:val="num" w:pos="432"/>
        </w:tabs>
        <w:ind w:left="432" w:hanging="432"/>
      </w:pPr>
      <w:rPr>
        <w:b/>
      </w:rPr>
    </w:lvl>
    <w:lvl w:ilvl="1">
      <w:start w:val="1"/>
      <w:numFmt w:val="decimal"/>
      <w:pStyle w:val="Nadpis2"/>
      <w:lvlText w:val="%1.%2"/>
      <w:lvlJc w:val="left"/>
      <w:pPr>
        <w:tabs>
          <w:tab w:val="num" w:pos="3412"/>
        </w:tabs>
        <w:ind w:left="3412" w:hanging="576"/>
      </w:pPr>
      <w:rPr>
        <w:i w:val="0"/>
      </w:rPr>
    </w:lvl>
    <w:lvl w:ilvl="2">
      <w:start w:val="1"/>
      <w:numFmt w:val="decimal"/>
      <w:pStyle w:val="Nadpis3"/>
      <w:lvlText w:val="%1.%2.%3"/>
      <w:lvlJc w:val="left"/>
      <w:pPr>
        <w:tabs>
          <w:tab w:val="num" w:pos="862"/>
        </w:tabs>
        <w:ind w:left="862" w:hanging="720"/>
      </w:pPr>
      <w:rPr>
        <w:i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6"/>
  </w:num>
  <w:num w:numId="3">
    <w:abstractNumId w:val="9"/>
  </w:num>
  <w:num w:numId="4">
    <w:abstractNumId w:val="25"/>
  </w:num>
  <w:num w:numId="5">
    <w:abstractNumId w:val="28"/>
  </w:num>
  <w:num w:numId="6">
    <w:abstractNumId w:val="27"/>
  </w:num>
  <w:num w:numId="7">
    <w:abstractNumId w:val="21"/>
  </w:num>
  <w:num w:numId="8">
    <w:abstractNumId w:val="24"/>
  </w:num>
  <w:num w:numId="9">
    <w:abstractNumId w:val="19"/>
  </w:num>
  <w:num w:numId="10">
    <w:abstractNumId w:val="30"/>
  </w:num>
  <w:num w:numId="11">
    <w:abstractNumId w:val="26"/>
  </w:num>
  <w:num w:numId="12">
    <w:abstractNumId w:val="13"/>
  </w:num>
  <w:num w:numId="13">
    <w:abstractNumId w:val="14"/>
  </w:num>
  <w:num w:numId="14">
    <w:abstractNumId w:val="16"/>
  </w:num>
  <w:num w:numId="15">
    <w:abstractNumId w:val="29"/>
  </w:num>
  <w:num w:numId="16">
    <w:abstractNumId w:val="18"/>
  </w:num>
  <w:num w:numId="17">
    <w:abstractNumId w:val="22"/>
  </w:num>
  <w:num w:numId="18">
    <w:abstractNumId w:val="1"/>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4"/>
  </w:num>
  <w:num w:numId="22">
    <w:abstractNumId w:val="31"/>
  </w:num>
  <w:num w:numId="23">
    <w:abstractNumId w:val="32"/>
  </w:num>
  <w:num w:numId="24">
    <w:abstractNumId w:val="7"/>
  </w:num>
  <w:num w:numId="25">
    <w:abstractNumId w:val="12"/>
  </w:num>
  <w:num w:numId="26">
    <w:abstractNumId w:val="8"/>
  </w:num>
  <w:num w:numId="27">
    <w:abstractNumId w:val="23"/>
  </w:num>
  <w:num w:numId="28">
    <w:abstractNumId w:val="17"/>
  </w:num>
  <w:num w:numId="29">
    <w:abstractNumId w:val="20"/>
  </w:num>
  <w:num w:numId="30">
    <w:abstractNumId w:val="5"/>
  </w:num>
  <w:num w:numId="31">
    <w:abstractNumId w:val="15"/>
  </w:num>
  <w:num w:numId="32">
    <w:abstractNumId w:val="11"/>
  </w:num>
  <w:num w:numId="33">
    <w:abstractNumId w:val="3"/>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8FF"/>
    <w:rsid w:val="00381AA2"/>
    <w:rsid w:val="003E5BA7"/>
    <w:rsid w:val="008E0926"/>
    <w:rsid w:val="00941C95"/>
    <w:rsid w:val="00EB3414"/>
    <w:rsid w:val="00FA7402"/>
    <w:rsid w:val="00FE08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EBDFF"/>
  <w15:chartTrackingRefBased/>
  <w15:docId w15:val="{2DDCF26F-AD2B-41E2-A78A-DD050308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E08FF"/>
    <w:pPr>
      <w:spacing w:after="0" w:line="240" w:lineRule="auto"/>
    </w:pPr>
    <w:rPr>
      <w:rFonts w:ascii="Times New Roman" w:eastAsia="Calibri" w:hAnsi="Times New Roman" w:cs="Times New Roman"/>
      <w:sz w:val="24"/>
    </w:rPr>
  </w:style>
  <w:style w:type="paragraph" w:styleId="Nadpis1">
    <w:name w:val="heading 1"/>
    <w:basedOn w:val="Normln"/>
    <w:next w:val="Normln"/>
    <w:link w:val="Nadpis1Char"/>
    <w:qFormat/>
    <w:rsid w:val="00FE08FF"/>
    <w:pPr>
      <w:keepNext/>
      <w:keepLines/>
      <w:numPr>
        <w:numId w:val="23"/>
      </w:numPr>
      <w:spacing w:before="240" w:after="60"/>
      <w:jc w:val="both"/>
      <w:outlineLvl w:val="0"/>
    </w:pPr>
    <w:rPr>
      <w:rFonts w:eastAsia="Times New Roman"/>
      <w:b/>
      <w:bCs/>
      <w:kern w:val="32"/>
      <w:sz w:val="32"/>
      <w:szCs w:val="32"/>
      <w:lang w:val="x-none" w:eastAsia="x-none"/>
    </w:rPr>
  </w:style>
  <w:style w:type="paragraph" w:styleId="Nadpis2">
    <w:name w:val="heading 2"/>
    <w:basedOn w:val="Normln"/>
    <w:next w:val="Normln"/>
    <w:link w:val="Nadpis2Char"/>
    <w:unhideWhenUsed/>
    <w:qFormat/>
    <w:rsid w:val="00FE08FF"/>
    <w:pPr>
      <w:keepNext/>
      <w:keepLines/>
      <w:numPr>
        <w:ilvl w:val="1"/>
        <w:numId w:val="23"/>
      </w:numPr>
      <w:spacing w:before="200" w:after="120"/>
      <w:jc w:val="both"/>
      <w:outlineLvl w:val="1"/>
    </w:pPr>
    <w:rPr>
      <w:rFonts w:eastAsia="Times New Roman"/>
      <w:b/>
      <w:bCs/>
      <w:sz w:val="28"/>
      <w:szCs w:val="26"/>
      <w:lang w:val="x-none" w:eastAsia="x-none"/>
    </w:rPr>
  </w:style>
  <w:style w:type="paragraph" w:styleId="Nadpis3">
    <w:name w:val="heading 3"/>
    <w:basedOn w:val="Normln"/>
    <w:next w:val="Normln"/>
    <w:link w:val="Nadpis3Char"/>
    <w:qFormat/>
    <w:rsid w:val="00FE08FF"/>
    <w:pPr>
      <w:keepNext/>
      <w:keepLines/>
      <w:numPr>
        <w:ilvl w:val="2"/>
        <w:numId w:val="23"/>
      </w:numPr>
      <w:spacing w:before="200" w:after="120" w:line="276" w:lineRule="auto"/>
      <w:jc w:val="both"/>
      <w:outlineLvl w:val="2"/>
    </w:pPr>
    <w:rPr>
      <w:rFonts w:eastAsia="Times New Roman"/>
      <w:b/>
      <w:bCs/>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E08FF"/>
    <w:rPr>
      <w:rFonts w:ascii="Times New Roman" w:eastAsia="Times New Roman" w:hAnsi="Times New Roman" w:cs="Times New Roman"/>
      <w:b/>
      <w:bCs/>
      <w:kern w:val="32"/>
      <w:sz w:val="32"/>
      <w:szCs w:val="32"/>
      <w:lang w:val="x-none" w:eastAsia="x-none"/>
    </w:rPr>
  </w:style>
  <w:style w:type="character" w:customStyle="1" w:styleId="Nadpis2Char">
    <w:name w:val="Nadpis 2 Char"/>
    <w:basedOn w:val="Standardnpsmoodstavce"/>
    <w:link w:val="Nadpis2"/>
    <w:rsid w:val="00FE08FF"/>
    <w:rPr>
      <w:rFonts w:ascii="Times New Roman" w:eastAsia="Times New Roman" w:hAnsi="Times New Roman" w:cs="Times New Roman"/>
      <w:b/>
      <w:bCs/>
      <w:sz w:val="28"/>
      <w:szCs w:val="26"/>
      <w:lang w:val="x-none" w:eastAsia="x-none"/>
    </w:rPr>
  </w:style>
  <w:style w:type="character" w:customStyle="1" w:styleId="Nadpis3Char">
    <w:name w:val="Nadpis 3 Char"/>
    <w:basedOn w:val="Standardnpsmoodstavce"/>
    <w:link w:val="Nadpis3"/>
    <w:rsid w:val="00FE08FF"/>
    <w:rPr>
      <w:rFonts w:ascii="Times New Roman" w:eastAsia="Times New Roman" w:hAnsi="Times New Roman" w:cs="Times New Roman"/>
      <w:b/>
      <w:bCs/>
      <w:sz w:val="24"/>
      <w:lang w:val="x-none"/>
    </w:rPr>
  </w:style>
  <w:style w:type="paragraph" w:customStyle="1" w:styleId="Styl1">
    <w:name w:val="Styl1"/>
    <w:basedOn w:val="Normln"/>
    <w:qFormat/>
    <w:rsid w:val="00FE08FF"/>
  </w:style>
  <w:style w:type="paragraph" w:styleId="Odstavecseseznamem">
    <w:name w:val="List Paragraph"/>
    <w:basedOn w:val="Normln"/>
    <w:uiPriority w:val="34"/>
    <w:qFormat/>
    <w:rsid w:val="00FE08FF"/>
    <w:pPr>
      <w:ind w:left="720"/>
      <w:contextualSpacing/>
    </w:pPr>
  </w:style>
  <w:style w:type="paragraph" w:styleId="Bezmezer">
    <w:name w:val="No Spacing"/>
    <w:uiPriority w:val="1"/>
    <w:qFormat/>
    <w:rsid w:val="00FE08FF"/>
    <w:pPr>
      <w:spacing w:after="0" w:line="240" w:lineRule="auto"/>
    </w:pPr>
    <w:rPr>
      <w:rFonts w:ascii="Times New Roman" w:eastAsia="Calibri" w:hAnsi="Times New Roman" w:cs="Times New Roman"/>
      <w:sz w:val="24"/>
    </w:rPr>
  </w:style>
  <w:style w:type="paragraph" w:styleId="Zhlav">
    <w:name w:val="header"/>
    <w:basedOn w:val="Normln"/>
    <w:link w:val="ZhlavChar"/>
    <w:uiPriority w:val="99"/>
    <w:rsid w:val="00FE08FF"/>
    <w:pPr>
      <w:tabs>
        <w:tab w:val="center" w:pos="4536"/>
        <w:tab w:val="right" w:pos="9072"/>
      </w:tabs>
    </w:pPr>
  </w:style>
  <w:style w:type="character" w:customStyle="1" w:styleId="ZhlavChar">
    <w:name w:val="Záhlaví Char"/>
    <w:basedOn w:val="Standardnpsmoodstavce"/>
    <w:link w:val="Zhlav"/>
    <w:uiPriority w:val="99"/>
    <w:rsid w:val="00FE08FF"/>
    <w:rPr>
      <w:rFonts w:ascii="Times New Roman" w:eastAsia="Calibri" w:hAnsi="Times New Roman" w:cs="Times New Roman"/>
      <w:sz w:val="24"/>
    </w:rPr>
  </w:style>
  <w:style w:type="paragraph" w:styleId="Zpat">
    <w:name w:val="footer"/>
    <w:basedOn w:val="Normln"/>
    <w:link w:val="ZpatChar"/>
    <w:uiPriority w:val="99"/>
    <w:rsid w:val="00FE08FF"/>
    <w:pPr>
      <w:tabs>
        <w:tab w:val="center" w:pos="4536"/>
        <w:tab w:val="right" w:pos="9072"/>
      </w:tabs>
    </w:pPr>
  </w:style>
  <w:style w:type="character" w:customStyle="1" w:styleId="ZpatChar">
    <w:name w:val="Zápatí Char"/>
    <w:basedOn w:val="Standardnpsmoodstavce"/>
    <w:link w:val="Zpat"/>
    <w:uiPriority w:val="99"/>
    <w:rsid w:val="00FE08FF"/>
    <w:rPr>
      <w:rFonts w:ascii="Times New Roman" w:eastAsia="Calibri" w:hAnsi="Times New Roman" w:cs="Times New Roman"/>
      <w:sz w:val="24"/>
    </w:rPr>
  </w:style>
  <w:style w:type="paragraph" w:customStyle="1" w:styleId="Odstavecseseznamem1">
    <w:name w:val="Odstavec se seznamem1"/>
    <w:basedOn w:val="Normln"/>
    <w:rsid w:val="00FE08FF"/>
    <w:pPr>
      <w:ind w:left="720"/>
      <w:contextualSpacing/>
    </w:pPr>
    <w:rPr>
      <w:rFonts w:eastAsia="Times New Roman"/>
    </w:rPr>
  </w:style>
  <w:style w:type="character" w:styleId="Odkaznakoment">
    <w:name w:val="annotation reference"/>
    <w:uiPriority w:val="99"/>
    <w:semiHidden/>
    <w:unhideWhenUsed/>
    <w:rsid w:val="00FE08FF"/>
    <w:rPr>
      <w:sz w:val="16"/>
      <w:szCs w:val="16"/>
    </w:rPr>
  </w:style>
  <w:style w:type="paragraph" w:styleId="Textkomente">
    <w:name w:val="annotation text"/>
    <w:basedOn w:val="Normln"/>
    <w:link w:val="TextkomenteChar"/>
    <w:uiPriority w:val="99"/>
    <w:semiHidden/>
    <w:unhideWhenUsed/>
    <w:rsid w:val="00FE08FF"/>
    <w:rPr>
      <w:sz w:val="20"/>
      <w:szCs w:val="20"/>
      <w:lang w:val="x-none"/>
    </w:rPr>
  </w:style>
  <w:style w:type="character" w:customStyle="1" w:styleId="TextkomenteChar">
    <w:name w:val="Text komentáře Char"/>
    <w:basedOn w:val="Standardnpsmoodstavce"/>
    <w:link w:val="Textkomente"/>
    <w:uiPriority w:val="99"/>
    <w:semiHidden/>
    <w:rsid w:val="00FE08FF"/>
    <w:rPr>
      <w:rFonts w:ascii="Times New Roman" w:eastAsia="Calibri" w:hAnsi="Times New Roman" w:cs="Times New Roman"/>
      <w:sz w:val="20"/>
      <w:szCs w:val="20"/>
      <w:lang w:val="x-none"/>
    </w:rPr>
  </w:style>
  <w:style w:type="paragraph" w:styleId="Pedmtkomente">
    <w:name w:val="annotation subject"/>
    <w:basedOn w:val="Textkomente"/>
    <w:next w:val="Textkomente"/>
    <w:link w:val="PedmtkomenteChar"/>
    <w:uiPriority w:val="99"/>
    <w:semiHidden/>
    <w:unhideWhenUsed/>
    <w:rsid w:val="00FE08FF"/>
    <w:rPr>
      <w:b/>
      <w:bCs/>
    </w:rPr>
  </w:style>
  <w:style w:type="character" w:customStyle="1" w:styleId="PedmtkomenteChar">
    <w:name w:val="Předmět komentáře Char"/>
    <w:basedOn w:val="TextkomenteChar"/>
    <w:link w:val="Pedmtkomente"/>
    <w:uiPriority w:val="99"/>
    <w:semiHidden/>
    <w:rsid w:val="00FE08FF"/>
    <w:rPr>
      <w:rFonts w:ascii="Times New Roman" w:eastAsia="Calibri" w:hAnsi="Times New Roman" w:cs="Times New Roman"/>
      <w:b/>
      <w:bCs/>
      <w:sz w:val="20"/>
      <w:szCs w:val="20"/>
      <w:lang w:val="x-none"/>
    </w:rPr>
  </w:style>
  <w:style w:type="paragraph" w:styleId="Textbubliny">
    <w:name w:val="Balloon Text"/>
    <w:basedOn w:val="Normln"/>
    <w:link w:val="TextbublinyChar"/>
    <w:uiPriority w:val="99"/>
    <w:semiHidden/>
    <w:unhideWhenUsed/>
    <w:rsid w:val="00FE08FF"/>
    <w:rPr>
      <w:rFonts w:ascii="Tahoma" w:hAnsi="Tahoma"/>
      <w:sz w:val="16"/>
      <w:szCs w:val="16"/>
      <w:lang w:val="x-none"/>
    </w:rPr>
  </w:style>
  <w:style w:type="character" w:customStyle="1" w:styleId="TextbublinyChar">
    <w:name w:val="Text bubliny Char"/>
    <w:basedOn w:val="Standardnpsmoodstavce"/>
    <w:link w:val="Textbubliny"/>
    <w:uiPriority w:val="99"/>
    <w:semiHidden/>
    <w:rsid w:val="00FE08FF"/>
    <w:rPr>
      <w:rFonts w:ascii="Tahoma" w:eastAsia="Calibri" w:hAnsi="Tahoma" w:cs="Times New Roman"/>
      <w:sz w:val="16"/>
      <w:szCs w:val="16"/>
      <w:lang w:val="x-none"/>
    </w:rPr>
  </w:style>
  <w:style w:type="paragraph" w:customStyle="1" w:styleId="PKNormal">
    <w:name w:val="PK_Normal"/>
    <w:basedOn w:val="Normln"/>
    <w:qFormat/>
    <w:rsid w:val="00FE08FF"/>
    <w:pPr>
      <w:jc w:val="both"/>
    </w:pPr>
    <w:rPr>
      <w:rFonts w:ascii="Arial" w:eastAsia="Times New Roman" w:hAnsi="Arial"/>
      <w:szCs w:val="24"/>
      <w:lang w:bidi="en-US"/>
    </w:rPr>
  </w:style>
  <w:style w:type="character" w:styleId="slostrnky">
    <w:name w:val="page number"/>
    <w:rsid w:val="00FE08FF"/>
  </w:style>
  <w:style w:type="paragraph" w:styleId="Nzev">
    <w:name w:val="Title"/>
    <w:basedOn w:val="Normln"/>
    <w:next w:val="Normln"/>
    <w:link w:val="NzevChar"/>
    <w:uiPriority w:val="10"/>
    <w:qFormat/>
    <w:rsid w:val="00FE08FF"/>
    <w:pPr>
      <w:keepLines/>
      <w:spacing w:before="480" w:after="120"/>
      <w:jc w:val="center"/>
      <w:outlineLvl w:val="0"/>
    </w:pPr>
    <w:rPr>
      <w:rFonts w:eastAsia="Times New Roman"/>
      <w:b/>
      <w:bCs/>
      <w:kern w:val="28"/>
      <w:sz w:val="36"/>
      <w:szCs w:val="32"/>
      <w:lang w:val="x-none" w:eastAsia="x-none"/>
    </w:rPr>
  </w:style>
  <w:style w:type="character" w:customStyle="1" w:styleId="NzevChar">
    <w:name w:val="Název Char"/>
    <w:basedOn w:val="Standardnpsmoodstavce"/>
    <w:link w:val="Nzev"/>
    <w:uiPriority w:val="10"/>
    <w:rsid w:val="00FE08FF"/>
    <w:rPr>
      <w:rFonts w:ascii="Times New Roman" w:eastAsia="Times New Roman" w:hAnsi="Times New Roman" w:cs="Times New Roman"/>
      <w:b/>
      <w:bCs/>
      <w:kern w:val="28"/>
      <w:sz w:val="36"/>
      <w:szCs w:val="32"/>
      <w:lang w:val="x-none" w:eastAsia="x-none"/>
    </w:rPr>
  </w:style>
  <w:style w:type="paragraph" w:styleId="Normlnweb">
    <w:name w:val="Normal (Web)"/>
    <w:basedOn w:val="Normln"/>
    <w:unhideWhenUsed/>
    <w:rsid w:val="00FE08FF"/>
    <w:pPr>
      <w:spacing w:before="100" w:beforeAutospacing="1" w:after="100" w:afterAutospacing="1"/>
    </w:pPr>
    <w:rPr>
      <w:rFonts w:eastAsia="Times New Roman"/>
      <w:szCs w:val="24"/>
      <w:lang w:eastAsia="cs-CZ"/>
    </w:rPr>
  </w:style>
  <w:style w:type="paragraph" w:customStyle="1" w:styleId="Default">
    <w:name w:val="Default"/>
    <w:rsid w:val="00FE08FF"/>
    <w:pPr>
      <w:autoSpaceDE w:val="0"/>
      <w:autoSpaceDN w:val="0"/>
      <w:adjustRightInd w:val="0"/>
      <w:spacing w:after="0" w:line="240" w:lineRule="auto"/>
    </w:pPr>
    <w:rPr>
      <w:rFonts w:ascii="Arial" w:eastAsia="Calibri" w:hAnsi="Arial" w:cs="Arial"/>
      <w:color w:val="000000"/>
      <w:sz w:val="24"/>
      <w:szCs w:val="24"/>
    </w:rPr>
  </w:style>
  <w:style w:type="paragraph" w:styleId="Nadpisobsahu">
    <w:name w:val="TOC Heading"/>
    <w:basedOn w:val="Nadpis1"/>
    <w:next w:val="Normln"/>
    <w:uiPriority w:val="39"/>
    <w:unhideWhenUsed/>
    <w:qFormat/>
    <w:rsid w:val="00FE08FF"/>
    <w:pPr>
      <w:numPr>
        <w:numId w:val="0"/>
      </w:numPr>
      <w:spacing w:before="480" w:after="0" w:line="276" w:lineRule="auto"/>
      <w:jc w:val="left"/>
      <w:outlineLvl w:val="9"/>
    </w:pPr>
    <w:rPr>
      <w:rFonts w:ascii="Cambria" w:hAnsi="Cambria"/>
      <w:color w:val="365F91"/>
      <w:kern w:val="0"/>
      <w:sz w:val="28"/>
      <w:szCs w:val="28"/>
      <w:lang w:val="cs-CZ" w:eastAsia="en-US"/>
    </w:rPr>
  </w:style>
  <w:style w:type="paragraph" w:styleId="Obsah1">
    <w:name w:val="toc 1"/>
    <w:basedOn w:val="Normln"/>
    <w:next w:val="Normln"/>
    <w:autoRedefine/>
    <w:uiPriority w:val="39"/>
    <w:unhideWhenUsed/>
    <w:qFormat/>
    <w:rsid w:val="00FE08FF"/>
    <w:pPr>
      <w:spacing w:after="100"/>
      <w:jc w:val="both"/>
    </w:pPr>
    <w:rPr>
      <w:rFonts w:eastAsia="Times New Roman"/>
      <w:szCs w:val="24"/>
      <w:lang w:eastAsia="cs-CZ"/>
    </w:rPr>
  </w:style>
  <w:style w:type="character" w:styleId="Hypertextovodkaz">
    <w:name w:val="Hyperlink"/>
    <w:uiPriority w:val="99"/>
    <w:unhideWhenUsed/>
    <w:rsid w:val="00FE08FF"/>
    <w:rPr>
      <w:color w:val="0000FF"/>
      <w:u w:val="single"/>
    </w:rPr>
  </w:style>
  <w:style w:type="table" w:styleId="Mkatabulky">
    <w:name w:val="Table Grid"/>
    <w:basedOn w:val="Normlntabulka"/>
    <w:uiPriority w:val="59"/>
    <w:rsid w:val="00FE08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cronav">
    <w:name w:val="micronav"/>
    <w:basedOn w:val="Normln"/>
    <w:rsid w:val="00FE08FF"/>
    <w:rPr>
      <w:rFonts w:eastAsia="Times New Roman"/>
      <w:szCs w:val="24"/>
      <w:lang w:eastAsia="cs-CZ"/>
    </w:rPr>
  </w:style>
  <w:style w:type="paragraph" w:customStyle="1" w:styleId="Style12">
    <w:name w:val="Style12"/>
    <w:basedOn w:val="Normln"/>
    <w:uiPriority w:val="99"/>
    <w:rsid w:val="00FE08FF"/>
    <w:pPr>
      <w:widowControl w:val="0"/>
      <w:autoSpaceDE w:val="0"/>
      <w:autoSpaceDN w:val="0"/>
      <w:adjustRightInd w:val="0"/>
      <w:spacing w:line="252" w:lineRule="exact"/>
      <w:jc w:val="both"/>
    </w:pPr>
    <w:rPr>
      <w:rFonts w:eastAsia="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24</Pages>
  <Words>7498</Words>
  <Characters>44242</Characters>
  <Application>Microsoft Office Word</Application>
  <DocSecurity>0</DocSecurity>
  <Lines>368</Lines>
  <Paragraphs>103</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51637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Buček Tomáš</dc:creator>
  <cp:keywords/>
  <dc:description/>
  <cp:lastModifiedBy>Šalingová Lucie</cp:lastModifiedBy>
  <cp:revision>4</cp:revision>
  <dcterms:created xsi:type="dcterms:W3CDTF">2019-02-14T13:25:00Z</dcterms:created>
  <dcterms:modified xsi:type="dcterms:W3CDTF">2019-03-13T09:35:00Z</dcterms:modified>
</cp:coreProperties>
</file>