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Aktualizace: 25. 05. 2018 – typ LC – F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519"/>
              <w:gridCol w:w="315"/>
              <w:gridCol w:w="5218"/>
              <w:gridCol w:w="2060"/>
              <w:gridCol w:w="65"/>
            </w:tblGrid>
            <w:tr w:rsidR="00C40907" w:rsidTr="00FC3D17">
              <w:trPr>
                <w:gridAfter w:val="2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Šabatce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2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5A758E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5A758E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5A758E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Tr="00FC3D17">
              <w:trPr>
                <w:gridAfter w:val="2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Vl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k dani podle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ust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. § 5 odst. 3 </w:t>
                  </w:r>
                  <w:proofErr w:type="spellStart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zák.č</w:t>
                  </w:r>
                  <w:proofErr w:type="spellEnd"/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. 235/2004 Sb., o DPH)</w:t>
                  </w:r>
                </w:p>
              </w:tc>
            </w:tr>
            <w:tr w:rsidR="00A43465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5A758E" w:rsidP="0014630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070FAF" w:rsidTr="00FC3D17">
              <w:trPr>
                <w:gridAfter w:val="2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5A758E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9B2B89" w:rsidTr="00FC3D17">
              <w:trPr>
                <w:gridAfter w:val="2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2D4AB6" w:rsidRDefault="005A758E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BB65F5" w:rsidTr="00FC3D17">
              <w:trPr>
                <w:gridAfter w:val="2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5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885754">
              <w:trPr>
                <w:gridAfter w:val="1"/>
                <w:wAfter w:w="32" w:type="pct"/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B10D4E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Bucek s.r.o.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B10D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Táborská 191/125, Židenice, 615 00 Brno</w:t>
                  </w:r>
                </w:p>
              </w:tc>
            </w:tr>
            <w:tr w:rsidR="009B2B89" w:rsidTr="00A84607">
              <w:trPr>
                <w:gridAfter w:val="1"/>
                <w:wAfter w:w="32" w:type="pct"/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B10D4E">
                    <w:rPr>
                      <w:rFonts w:ascii="Calibri" w:hAnsi="Calibri"/>
                      <w:sz w:val="22"/>
                      <w:szCs w:val="22"/>
                    </w:rPr>
                    <w:t>28266111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DIČ: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B10D4E">
                    <w:rPr>
                      <w:rFonts w:ascii="Calibri" w:hAnsi="Calibri"/>
                      <w:sz w:val="22"/>
                      <w:szCs w:val="22"/>
                    </w:rPr>
                    <w:t>CZ28266111</w:t>
                  </w:r>
                </w:p>
              </w:tc>
            </w:tr>
            <w:tr w:rsidR="00070FAF" w:rsidTr="00A84607">
              <w:trPr>
                <w:gridAfter w:val="1"/>
                <w:wAfter w:w="32" w:type="pct"/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5A758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End"/>
                  <w:r w:rsidR="005A758E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5A758E" w:rsidP="002D4AB6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2D4AB6" w:rsidP="00070F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  <w:r w:rsidR="00B10D4E">
                    <w:rPr>
                      <w:rFonts w:ascii="Calibri" w:hAnsi="Calibri"/>
                      <w:sz w:val="22"/>
                      <w:szCs w:val="22"/>
                    </w:rPr>
                    <w:t>v OR u Krajského soudu v Brně, v oddílu C, vložce č. 57221</w:t>
                  </w:r>
                </w:p>
                <w:p w:rsidR="002D4AB6" w:rsidRDefault="002D4AB6" w:rsidP="00B10D4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gridAfter w:val="1"/>
                <w:wAfter w:w="32" w:type="pct"/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A758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gridAfter w:val="1"/>
                <w:wAfter w:w="32" w:type="pct"/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A758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691CF1" w:rsidTr="00A84607">
              <w:trPr>
                <w:gridAfter w:val="1"/>
                <w:wAfter w:w="32" w:type="pct"/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A758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bookmarkStart w:id="0" w:name="_GoBack"/>
                  <w:bookmarkEnd w:id="0"/>
                </w:p>
              </w:tc>
            </w:tr>
            <w:tr w:rsidR="00070FAF" w:rsidTr="00A84607">
              <w:trPr>
                <w:gridAfter w:val="1"/>
                <w:wAfter w:w="32" w:type="pct"/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1" w:name="Ref68334084"/>
                  <w:bookmarkEnd w:id="1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proofErr w:type="spellStart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stabilitně</w:t>
                  </w:r>
                  <w:proofErr w:type="spellEnd"/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</w:t>
                  </w:r>
                  <w:proofErr w:type="spellStart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stabilitně</w:t>
                  </w:r>
                  <w:proofErr w:type="spellEnd"/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1E58B3">
                    <w:rPr>
                      <w:rFonts w:cs="Calibri"/>
                    </w:rPr>
                    <w:t>10</w:t>
                  </w:r>
                  <w:r w:rsidR="009E5C14">
                    <w:rPr>
                      <w:rFonts w:cs="Calibri"/>
                    </w:rPr>
                    <w:t xml:space="preserve"> 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1E58B3">
                    <w:rPr>
                      <w:rFonts w:cs="Calibri"/>
                    </w:rPr>
                    <w:t>62000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 w:rsidRPr="001E58B3">
                    <w:rPr>
                      <w:rFonts w:cs="Calibri"/>
                    </w:rPr>
                    <w:t xml:space="preserve"> </w:t>
                  </w:r>
                  <w:r w:rsidR="00436F5C" w:rsidRPr="001E58B3">
                    <w:rPr>
                      <w:rFonts w:cs="Calibri"/>
                      <w:i/>
                    </w:rPr>
                    <w:t>25</w:t>
                  </w:r>
                  <w:r w:rsidR="004A2D12" w:rsidRPr="001E58B3">
                    <w:rPr>
                      <w:rFonts w:cs="Calibri"/>
                      <w:i/>
                    </w:rPr>
                    <w:t> </w:t>
                  </w:r>
                  <w:r w:rsidR="00436F5C" w:rsidRPr="001E58B3">
                    <w:rPr>
                      <w:rFonts w:cs="Calibri"/>
                      <w:i/>
                    </w:rPr>
                    <w:t>%</w:t>
                  </w:r>
                  <w:r w:rsidR="00436F5C" w:rsidRPr="00436F5C">
                    <w:rPr>
                      <w:rFonts w:cs="Calibri"/>
                      <w:color w:val="FF0000"/>
                      <w:sz w:val="18"/>
                      <w:szCs w:val="18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1E58B3">
                    <w:rPr>
                      <w:rFonts w:cs="Calibri"/>
                    </w:rPr>
                    <w:t>46500</w:t>
                  </w:r>
                  <w:r w:rsidR="00436F5C">
                    <w:rPr>
                      <w:rFonts w:cs="Calibri"/>
                    </w:rPr>
                    <w:t>,- Kč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proofErr w:type="spellStart"/>
                  <w:r w:rsidR="001E58B3">
                    <w:rPr>
                      <w:rFonts w:cs="Calibri"/>
                    </w:rPr>
                    <w:t>čtyřicetšesttisícpětset</w:t>
                  </w:r>
                  <w:proofErr w:type="spellEnd"/>
                  <w:r w:rsidR="006D0091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>Kč)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lastRenderedPageBreak/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94597E">
                    <w:rPr>
                      <w:rFonts w:cs="Calibri"/>
                    </w:rPr>
                    <w:t>zasláním přes www.ulozto.chmi.cz</w:t>
                  </w:r>
                  <w:r w:rsidR="00D43F73" w:rsidRPr="0094597E">
                    <w:rPr>
                      <w:rFonts w:cs="Calibri"/>
                    </w:rPr>
                    <w:t xml:space="preserve">.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2" w:name="OLE_LINK1"/>
                  <w:bookmarkStart w:id="3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2"/>
                <w:bookmarkEnd w:id="3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 xml:space="preserve">Smluvní strany berou na vědomí, že ČHMÚ je bez ohledu na rozhodné právo smlouvy povinným subjektem ve smyslu § 2 odst. 1 zákona č. 340/2015 Sb. o registru smluv (dále jen „Zákon o </w:t>
                  </w:r>
                  <w:r w:rsidRPr="003B4319">
                    <w:rPr>
                      <w:rFonts w:cs="Calibri"/>
                    </w:rPr>
                    <w:lastRenderedPageBreak/>
                    <w:t>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9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V ___________,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dne _____._____.__                            V ___________, dne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_____._____.__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4" w:name="annex1"/>
                  <w:bookmarkStart w:id="5" w:name="annex2"/>
                  <w:bookmarkEnd w:id="4"/>
                  <w:bookmarkEnd w:id="5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B10D4E" w:rsidRDefault="00B10D4E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B10D4E" w:rsidRDefault="00B10D4E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B10D4E" w:rsidRDefault="00B10D4E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B10D4E" w:rsidRDefault="00B10D4E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1E58B3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37735">
              <w:rPr>
                <w:rFonts w:ascii="Calibri" w:hAnsi="Calibri" w:cs="Calibri"/>
                <w:sz w:val="22"/>
                <w:szCs w:val="22"/>
              </w:rPr>
              <w:t>stabilitně</w:t>
            </w:r>
            <w:proofErr w:type="spellEnd"/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</w:t>
                  </w:r>
                  <w:proofErr w:type="spellStart"/>
                  <w:r>
                    <w:t>superstabilní</w:t>
                  </w:r>
                  <w:proofErr w:type="spellEnd"/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proofErr w:type="gramStart"/>
                  <w:r>
                    <w:t>&gt;  0,8</w:t>
                  </w:r>
                  <w:proofErr w:type="gramEnd"/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B10D4E" w:rsidRDefault="00B10D4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1E58B3">
              <w:rPr>
                <w:rFonts w:ascii="Calibri" w:hAnsi="Calibri" w:cs="Calibri"/>
                <w:i/>
                <w:iCs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1E58B3">
              <w:rPr>
                <w:rFonts w:ascii="Calibri" w:hAnsi="Calibri" w:cs="Calibri"/>
                <w:sz w:val="22"/>
                <w:szCs w:val="22"/>
              </w:rPr>
              <w:t>62000</w:t>
            </w:r>
            <w:r w:rsidR="00E57A54">
              <w:rPr>
                <w:rFonts w:ascii="Calibri" w:hAnsi="Calibri" w:cs="Calibri"/>
                <w:sz w:val="22"/>
                <w:szCs w:val="22"/>
              </w:rPr>
              <w:t>,-Kč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Pr="001E58B3" w:rsidRDefault="001E58B3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proofErr w:type="gramStart"/>
            <w:r w:rsidRPr="001E58B3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25 %</w:t>
            </w:r>
            <w:r w:rsidR="00580508" w:rsidRPr="001E58B3">
              <w:rPr>
                <w:rFonts w:ascii="Calibri" w:hAnsi="Calibri" w:cs="Calibri"/>
                <w:i/>
                <w:iCs/>
                <w:color w:val="auto"/>
                <w:sz w:val="22"/>
                <w:szCs w:val="18"/>
              </w:rPr>
              <w:t xml:space="preserve"> :</w:t>
            </w:r>
            <w:proofErr w:type="gramEnd"/>
          </w:p>
          <w:p w:rsidR="00580508" w:rsidRP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předplatné 5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20 %)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 předplatné 10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25 %.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E57A54" w:rsidRDefault="008F2E64" w:rsidP="001E58B3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1E58B3">
              <w:rPr>
                <w:rFonts w:ascii="Calibri" w:hAnsi="Calibri" w:cs="Calibri"/>
                <w:sz w:val="22"/>
                <w:szCs w:val="22"/>
              </w:rPr>
              <w:t>46500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2A" w:rsidRDefault="000F232A">
      <w:r>
        <w:separator/>
      </w:r>
    </w:p>
  </w:endnote>
  <w:endnote w:type="continuationSeparator" w:id="0">
    <w:p w:rsidR="000F232A" w:rsidRDefault="000F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647CB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1647CB">
      <w:rPr>
        <w:rFonts w:ascii="Arial" w:hAnsi="Arial" w:cs="Arial"/>
        <w:b/>
        <w:noProof/>
        <w:color w:val="A6A6A6"/>
        <w:sz w:val="16"/>
        <w:szCs w:val="16"/>
      </w:rPr>
      <w:t>6</w:t>
    </w:r>
    <w:r w:rsidR="00091D05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2A" w:rsidRDefault="000F232A">
      <w:r>
        <w:separator/>
      </w:r>
    </w:p>
  </w:footnote>
  <w:footnote w:type="continuationSeparator" w:id="0">
    <w:p w:rsidR="000F232A" w:rsidRDefault="000F232A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 xml:space="preserve">“ v souvislosti s úpravou licenční smlouvy ve smyslu § 5 a násl. cit. </w:t>
      </w:r>
      <w:proofErr w:type="gramStart"/>
      <w:r w:rsidRPr="00BB65F5">
        <w:rPr>
          <w:rFonts w:cs="Calibri"/>
          <w:sz w:val="16"/>
          <w:szCs w:val="16"/>
        </w:rPr>
        <w:t>autorského</w:t>
      </w:r>
      <w:proofErr w:type="gramEnd"/>
      <w:r w:rsidRPr="00BB65F5">
        <w:rPr>
          <w:rFonts w:cs="Calibri"/>
          <w:sz w:val="16"/>
          <w:szCs w:val="16"/>
        </w:rPr>
        <w:t xml:space="preserve">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tdNm+hfDU9YsuK0w3chqbv8Lcw=" w:salt="Bby6CHghtBIif2b1fuVsS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424DA"/>
    <w:rsid w:val="00050CDB"/>
    <w:rsid w:val="000519FC"/>
    <w:rsid w:val="000620C0"/>
    <w:rsid w:val="00070FAF"/>
    <w:rsid w:val="0007687E"/>
    <w:rsid w:val="00091D05"/>
    <w:rsid w:val="000F232A"/>
    <w:rsid w:val="001156EB"/>
    <w:rsid w:val="00136ECF"/>
    <w:rsid w:val="0014630B"/>
    <w:rsid w:val="001647CB"/>
    <w:rsid w:val="00166B12"/>
    <w:rsid w:val="00196F33"/>
    <w:rsid w:val="001A35B3"/>
    <w:rsid w:val="001A4605"/>
    <w:rsid w:val="001C58A4"/>
    <w:rsid w:val="001D144A"/>
    <w:rsid w:val="001D60C2"/>
    <w:rsid w:val="001E1391"/>
    <w:rsid w:val="001E58B3"/>
    <w:rsid w:val="001E5934"/>
    <w:rsid w:val="001F6D8C"/>
    <w:rsid w:val="0020502A"/>
    <w:rsid w:val="00211C23"/>
    <w:rsid w:val="00226966"/>
    <w:rsid w:val="00231A5B"/>
    <w:rsid w:val="0024213A"/>
    <w:rsid w:val="00246470"/>
    <w:rsid w:val="00266FB3"/>
    <w:rsid w:val="00267D58"/>
    <w:rsid w:val="002777A8"/>
    <w:rsid w:val="0028519D"/>
    <w:rsid w:val="0029707F"/>
    <w:rsid w:val="002A7BBB"/>
    <w:rsid w:val="002C09BA"/>
    <w:rsid w:val="002C506C"/>
    <w:rsid w:val="002D106B"/>
    <w:rsid w:val="002D4AB6"/>
    <w:rsid w:val="002E2E34"/>
    <w:rsid w:val="002F5490"/>
    <w:rsid w:val="002F6C51"/>
    <w:rsid w:val="00311058"/>
    <w:rsid w:val="00337E43"/>
    <w:rsid w:val="0035359F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97065"/>
    <w:rsid w:val="004A078E"/>
    <w:rsid w:val="004A2D12"/>
    <w:rsid w:val="004B5267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80508"/>
    <w:rsid w:val="005810F0"/>
    <w:rsid w:val="0058242B"/>
    <w:rsid w:val="005A1389"/>
    <w:rsid w:val="005A758E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61EA0"/>
    <w:rsid w:val="007C1B94"/>
    <w:rsid w:val="007C4DBE"/>
    <w:rsid w:val="007D3A0E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F2E64"/>
    <w:rsid w:val="00910E5F"/>
    <w:rsid w:val="00914A9E"/>
    <w:rsid w:val="0093009B"/>
    <w:rsid w:val="009423E0"/>
    <w:rsid w:val="0094597E"/>
    <w:rsid w:val="0097476C"/>
    <w:rsid w:val="0098027A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10D4E"/>
    <w:rsid w:val="00B21A74"/>
    <w:rsid w:val="00B3751E"/>
    <w:rsid w:val="00B44719"/>
    <w:rsid w:val="00B45212"/>
    <w:rsid w:val="00B54F40"/>
    <w:rsid w:val="00B562AB"/>
    <w:rsid w:val="00B7153F"/>
    <w:rsid w:val="00B75877"/>
    <w:rsid w:val="00B861E8"/>
    <w:rsid w:val="00BA53A5"/>
    <w:rsid w:val="00BB65F5"/>
    <w:rsid w:val="00BB7347"/>
    <w:rsid w:val="00C12865"/>
    <w:rsid w:val="00C13633"/>
    <w:rsid w:val="00C31228"/>
    <w:rsid w:val="00C35B30"/>
    <w:rsid w:val="00C40907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70"/>
    <w:rsid w:val="00F80FBB"/>
    <w:rsid w:val="00FC22A3"/>
    <w:rsid w:val="00FC3D17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chmi.cz/o-nas/ochrana-osobnich-udaj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DCD0A-0CA1-4BFB-8E80-F1B20476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8188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4</cp:revision>
  <cp:lastPrinted>2019-03-12T14:03:00Z</cp:lastPrinted>
  <dcterms:created xsi:type="dcterms:W3CDTF">2019-03-12T14:04:00Z</dcterms:created>
  <dcterms:modified xsi:type="dcterms:W3CDTF">2019-03-12T14:05:00Z</dcterms:modified>
</cp:coreProperties>
</file>