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CF" w:rsidRDefault="004756FA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266825" cy="1295400"/>
            <wp:effectExtent l="0" t="0" r="9525" b="0"/>
            <wp:docPr id="4" name="obrázek 1" descr="C:\Users\JANOSK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K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CF" w:rsidRDefault="00987C44">
      <w:pPr>
        <w:pStyle w:val="Nadpis50"/>
        <w:keepNext/>
        <w:keepLines/>
        <w:shd w:val="clear" w:color="auto" w:fill="auto"/>
        <w:jc w:val="left"/>
      </w:pPr>
      <w:bookmarkStart w:id="1" w:name="bookmark0"/>
      <w:r>
        <w:t>Smlouva o účasti na řešení projektu</w:t>
      </w:r>
      <w:bookmarkEnd w:id="1"/>
    </w:p>
    <w:p w:rsidR="00F516CF" w:rsidRDefault="00987C44">
      <w:pPr>
        <w:pStyle w:val="Zkladntext30"/>
        <w:shd w:val="clear" w:color="auto" w:fill="auto"/>
        <w:jc w:val="left"/>
      </w:pPr>
      <w:r>
        <w:t>„Platforma pro identifikaci a interpretaci stresových faktorů v rostlinné produkci"</w:t>
      </w:r>
    </w:p>
    <w:p w:rsidR="00F516CF" w:rsidRDefault="00987C44">
      <w:pPr>
        <w:pStyle w:val="Zkladntext20"/>
        <w:shd w:val="clear" w:color="auto" w:fill="auto"/>
        <w:ind w:firstLine="0"/>
      </w:pPr>
      <w:r>
        <w:t xml:space="preserve">fivřená v </w:t>
      </w:r>
      <w:r>
        <w:t>souladu se zákonem č. 130/2002 Sb., o podpoře výzkumu, experimentálního vývoje a inovací z veřejných prostředků a o změně některých souvisejících zákonů (zákon o podpoře</w:t>
      </w:r>
    </w:p>
    <w:p w:rsidR="00F516CF" w:rsidRDefault="00987C44">
      <w:pPr>
        <w:pStyle w:val="Zkladntext20"/>
        <w:shd w:val="clear" w:color="auto" w:fill="auto"/>
        <w:ind w:firstLine="0"/>
      </w:pPr>
      <w:r>
        <w:t>výzkumu a vývoje), v platném znění dále jen "Smlouva"</w:t>
      </w:r>
    </w:p>
    <w:p w:rsidR="00F516CF" w:rsidRDefault="00987C44">
      <w:pPr>
        <w:pStyle w:val="Nadpis50"/>
        <w:keepNext/>
        <w:keepLines/>
        <w:shd w:val="clear" w:color="auto" w:fill="auto"/>
        <w:spacing w:line="536" w:lineRule="exact"/>
        <w:jc w:val="left"/>
      </w:pPr>
      <w:bookmarkStart w:id="2" w:name="bookmark1"/>
      <w:r>
        <w:t>Článek I Smluvní strany</w:t>
      </w:r>
      <w:bookmarkEnd w:id="2"/>
    </w:p>
    <w:p w:rsidR="00F516CF" w:rsidRDefault="00987C44">
      <w:pPr>
        <w:pStyle w:val="Nadpis50"/>
        <w:keepNext/>
        <w:keepLines/>
        <w:shd w:val="clear" w:color="auto" w:fill="auto"/>
        <w:jc w:val="left"/>
      </w:pPr>
      <w:bookmarkStart w:id="3" w:name="bookmark2"/>
      <w:r>
        <w:t>1. Příje</w:t>
      </w:r>
      <w:r>
        <w:t>mce podpory</w:t>
      </w:r>
      <w:bookmarkEnd w:id="3"/>
    </w:p>
    <w:p w:rsidR="00F516CF" w:rsidRDefault="00987C44">
      <w:pPr>
        <w:pStyle w:val="Zkladntext30"/>
        <w:shd w:val="clear" w:color="auto" w:fill="auto"/>
        <w:tabs>
          <w:tab w:val="left" w:pos="1572"/>
        </w:tabs>
        <w:jc w:val="left"/>
      </w:pPr>
      <w:r>
        <w:rPr>
          <w:rStyle w:val="Zkladntext3Netun"/>
        </w:rPr>
        <w:t>Název:</w:t>
      </w:r>
      <w:r>
        <w:rPr>
          <w:rStyle w:val="Zkladntext3Netun"/>
        </w:rPr>
        <w:tab/>
      </w:r>
      <w:r>
        <w:t>Workswell s.r.o.</w:t>
      </w:r>
    </w:p>
    <w:p w:rsidR="00F516CF" w:rsidRDefault="00987C44">
      <w:pPr>
        <w:pStyle w:val="Zkladntext20"/>
        <w:shd w:val="clear" w:color="auto" w:fill="auto"/>
        <w:tabs>
          <w:tab w:val="left" w:pos="1572"/>
          <w:tab w:val="left" w:pos="3325"/>
        </w:tabs>
        <w:ind w:firstLine="0"/>
      </w:pPr>
      <w:r>
        <w:t>se sídlem:</w:t>
      </w:r>
      <w:r>
        <w:tab/>
        <w:t>Libocká 653/51b,</w:t>
      </w:r>
      <w:r>
        <w:tab/>
        <w:t>16100 Praha 6</w:t>
      </w:r>
    </w:p>
    <w:p w:rsidR="00F516CF" w:rsidRDefault="00987C44">
      <w:pPr>
        <w:pStyle w:val="Zkladntext20"/>
        <w:shd w:val="clear" w:color="auto" w:fill="auto"/>
        <w:tabs>
          <w:tab w:val="left" w:pos="1572"/>
        </w:tabs>
        <w:ind w:firstLine="0"/>
      </w:pPr>
      <w:r>
        <w:t>IČ:</w:t>
      </w:r>
      <w:r>
        <w:tab/>
        <w:t>290 48 575</w:t>
      </w:r>
    </w:p>
    <w:p w:rsidR="00F516CF" w:rsidRDefault="00987C44">
      <w:pPr>
        <w:pStyle w:val="Zkladntext20"/>
        <w:shd w:val="clear" w:color="auto" w:fill="auto"/>
        <w:tabs>
          <w:tab w:val="left" w:pos="1572"/>
        </w:tabs>
        <w:ind w:firstLine="0"/>
      </w:pPr>
      <w:r>
        <w:t>DIČ:</w:t>
      </w:r>
      <w:r>
        <w:tab/>
        <w:t>CZ 290 48 575</w:t>
      </w:r>
    </w:p>
    <w:p w:rsidR="00F516CF" w:rsidRDefault="00987C44">
      <w:pPr>
        <w:pStyle w:val="Zkladntext20"/>
        <w:shd w:val="clear" w:color="auto" w:fill="auto"/>
        <w:tabs>
          <w:tab w:val="left" w:pos="1572"/>
          <w:tab w:val="left" w:pos="3300"/>
        </w:tabs>
        <w:ind w:firstLine="0"/>
      </w:pPr>
      <w:r>
        <w:t>Bank. spojení:</w:t>
      </w:r>
      <w:r>
        <w:tab/>
        <w:t>MONETA Money</w:t>
      </w:r>
      <w:r>
        <w:tab/>
        <w:t>Bank, a.s., Vítězné náměstí 577/2, Praha 6</w:t>
      </w:r>
    </w:p>
    <w:p w:rsidR="00F516CF" w:rsidRDefault="00987C44">
      <w:pPr>
        <w:pStyle w:val="Zkladntext20"/>
        <w:shd w:val="clear" w:color="auto" w:fill="auto"/>
        <w:tabs>
          <w:tab w:val="left" w:pos="1572"/>
        </w:tabs>
        <w:ind w:firstLine="0"/>
      </w:pPr>
      <w:r>
        <w:t>Číslo samostatného bankovního účtu: 221430987/0600 Zastoupen:</w:t>
      </w:r>
      <w:r>
        <w:tab/>
        <w:t xml:space="preserve">Ing. Janem </w:t>
      </w:r>
      <w:r>
        <w:t>Sovou</w:t>
      </w:r>
    </w:p>
    <w:p w:rsidR="00F516CF" w:rsidRDefault="00987C44">
      <w:pPr>
        <w:pStyle w:val="Zkladntext20"/>
        <w:shd w:val="clear" w:color="auto" w:fill="auto"/>
        <w:ind w:firstLine="0"/>
      </w:pPr>
      <w:r>
        <w:t xml:space="preserve">Zapsán u rejstříkového soudu KS v Praze, oddíl C, vložka 162737 (dále jen </w:t>
      </w:r>
      <w:r>
        <w:rPr>
          <w:rStyle w:val="Zkladntext3"/>
        </w:rPr>
        <w:t>„Příjemce")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4" w:name="bookmark3"/>
      <w:r>
        <w:t>A</w:t>
      </w:r>
      <w:bookmarkEnd w:id="4"/>
    </w:p>
    <w:p w:rsidR="00F516CF" w:rsidRDefault="00987C44">
      <w:pPr>
        <w:pStyle w:val="Nadpis50"/>
        <w:keepNext/>
        <w:keepLines/>
        <w:shd w:val="clear" w:color="auto" w:fill="auto"/>
        <w:jc w:val="left"/>
      </w:pPr>
      <w:bookmarkStart w:id="5" w:name="bookmark4"/>
      <w:r>
        <w:t>2. Další účastník projektu</w:t>
      </w:r>
      <w:bookmarkEnd w:id="5"/>
    </w:p>
    <w:p w:rsidR="00F516CF" w:rsidRDefault="00987C44">
      <w:pPr>
        <w:pStyle w:val="Zkladntext30"/>
        <w:shd w:val="clear" w:color="auto" w:fill="auto"/>
        <w:tabs>
          <w:tab w:val="left" w:pos="1572"/>
        </w:tabs>
        <w:jc w:val="left"/>
      </w:pPr>
      <w:r>
        <w:rPr>
          <w:rStyle w:val="Zkladntext3Netun"/>
        </w:rPr>
        <w:t>Název:</w:t>
      </w:r>
      <w:r>
        <w:rPr>
          <w:rStyle w:val="Zkladntext3Netun"/>
        </w:rPr>
        <w:tab/>
      </w:r>
      <w:r>
        <w:t>Výzkumný ústav rostlinné výroby, v.v.i.</w:t>
      </w:r>
    </w:p>
    <w:p w:rsidR="00F516CF" w:rsidRDefault="00987C44">
      <w:pPr>
        <w:pStyle w:val="Zkladntext20"/>
        <w:shd w:val="clear" w:color="auto" w:fill="auto"/>
        <w:tabs>
          <w:tab w:val="left" w:pos="1572"/>
        </w:tabs>
        <w:ind w:firstLine="0"/>
      </w:pPr>
      <w:r>
        <w:t>se sídlem:</w:t>
      </w:r>
      <w:r>
        <w:tab/>
        <w:t>Drnovská 507/73,16106 Praha 6</w:t>
      </w:r>
    </w:p>
    <w:p w:rsidR="00F516CF" w:rsidRDefault="00987C44">
      <w:pPr>
        <w:pStyle w:val="Zkladntext20"/>
        <w:shd w:val="clear" w:color="auto" w:fill="auto"/>
        <w:tabs>
          <w:tab w:val="left" w:pos="1572"/>
        </w:tabs>
        <w:ind w:firstLine="0"/>
      </w:pPr>
      <w:r>
        <w:t>IČ:</w:t>
      </w:r>
      <w:r>
        <w:tab/>
        <w:t>00027006</w:t>
      </w:r>
    </w:p>
    <w:p w:rsidR="00F516CF" w:rsidRDefault="00987C44">
      <w:pPr>
        <w:pStyle w:val="Zkladntext20"/>
        <w:shd w:val="clear" w:color="auto" w:fill="auto"/>
        <w:tabs>
          <w:tab w:val="left" w:pos="1572"/>
        </w:tabs>
        <w:ind w:firstLine="0"/>
      </w:pPr>
      <w:r>
        <w:t>DIČ:</w:t>
      </w:r>
      <w:r>
        <w:tab/>
        <w:t>CZ00027006</w:t>
      </w:r>
    </w:p>
    <w:p w:rsidR="00F516CF" w:rsidRDefault="00987C44">
      <w:pPr>
        <w:pStyle w:val="Zkladntext20"/>
        <w:shd w:val="clear" w:color="auto" w:fill="auto"/>
        <w:ind w:firstLine="0"/>
      </w:pPr>
      <w:r>
        <w:t xml:space="preserve">Statutární </w:t>
      </w:r>
      <w:r>
        <w:t>zástupce: Dr. Ing. Pavel Čermák, ředitel</w:t>
      </w:r>
    </w:p>
    <w:p w:rsidR="00F516CF" w:rsidRDefault="00987C44">
      <w:pPr>
        <w:pStyle w:val="Zkladntext20"/>
        <w:shd w:val="clear" w:color="auto" w:fill="auto"/>
        <w:ind w:firstLine="0"/>
      </w:pPr>
      <w:r>
        <w:t>Bank. spojení: Komerční banka, a.s., Na Příkopě 33, č.p. 969,114 07 Praha 1 Číslo samostatného bankovního účtu: 43-6854650207/0100</w:t>
      </w:r>
    </w:p>
    <w:p w:rsidR="00F516CF" w:rsidRDefault="00987C44">
      <w:pPr>
        <w:pStyle w:val="Zkladntext30"/>
        <w:shd w:val="clear" w:color="auto" w:fill="auto"/>
        <w:spacing w:line="220" w:lineRule="exact"/>
        <w:jc w:val="left"/>
      </w:pPr>
      <w:r>
        <w:rPr>
          <w:rStyle w:val="Zkladntext3Netun"/>
        </w:rPr>
        <w:t xml:space="preserve">(dále jen </w:t>
      </w:r>
      <w:r>
        <w:t>„Další účastník")</w:t>
      </w:r>
    </w:p>
    <w:p w:rsidR="00F516CF" w:rsidRDefault="00987C44">
      <w:pPr>
        <w:pStyle w:val="Zkladntext30"/>
        <w:shd w:val="clear" w:color="auto" w:fill="auto"/>
        <w:spacing w:line="220" w:lineRule="exact"/>
        <w:jc w:val="left"/>
      </w:pPr>
      <w:r>
        <w:rPr>
          <w:rStyle w:val="Zkladntext3Netun"/>
        </w:rPr>
        <w:t xml:space="preserve">společně pak </w:t>
      </w:r>
      <w:r>
        <w:t>"Smluvní strany"</w:t>
      </w:r>
    </w:p>
    <w:p w:rsidR="00F516CF" w:rsidRDefault="00987C44">
      <w:pPr>
        <w:pStyle w:val="Nadpis50"/>
        <w:keepNext/>
        <w:keepLines/>
        <w:shd w:val="clear" w:color="auto" w:fill="auto"/>
        <w:jc w:val="left"/>
      </w:pPr>
      <w:bookmarkStart w:id="6" w:name="bookmark5"/>
      <w:r>
        <w:t>Preambule</w:t>
      </w:r>
      <w:bookmarkEnd w:id="6"/>
    </w:p>
    <w:p w:rsidR="00F516CF" w:rsidRDefault="00987C44">
      <w:pPr>
        <w:pStyle w:val="Zkladntext20"/>
        <w:shd w:val="clear" w:color="auto" w:fill="auto"/>
        <w:ind w:firstLine="0"/>
      </w:pPr>
      <w:r>
        <w:t>Smluvní strany s</w:t>
      </w:r>
      <w:r>
        <w:t xml:space="preserve">e zavazují spolupracovat na realizaci projektu č. FV </w:t>
      </w:r>
      <w:r>
        <w:rPr>
          <w:rStyle w:val="Zkladntext2Tun0"/>
        </w:rPr>
        <w:t xml:space="preserve">FV10213 </w:t>
      </w:r>
      <w:r>
        <w:t xml:space="preserve">s názvem </w:t>
      </w:r>
      <w:r>
        <w:rPr>
          <w:rStyle w:val="Zkladntext2Tun0"/>
        </w:rPr>
        <w:t xml:space="preserve">„Platforma pro identifikaci a interpretaci stresových faktorů v rostlinné produkci" </w:t>
      </w:r>
      <w:r>
        <w:t>(dále jen „Projekt"), který Příjemce podal do 1. veřejné soutěže ve výzkumu a vývoji programu „TRIO" (</w:t>
      </w:r>
      <w:r>
        <w:t>dále jen „program podpory") vyhlášené Ministerstvem průmyslu a obchodu (MPO, dále jen Poskytovatel).</w:t>
      </w:r>
    </w:p>
    <w:p w:rsidR="00F516CF" w:rsidRDefault="00987C44">
      <w:pPr>
        <w:pStyle w:val="Zkladntext20"/>
        <w:shd w:val="clear" w:color="auto" w:fill="auto"/>
        <w:ind w:firstLine="0"/>
      </w:pPr>
      <w:r>
        <w:t>Smluvní strany se touto Smlouvou zavazují ke spolupráci na využití výsledků Projektu v souladu se zákonem č. 130/2002 Sb., o podpoře výzkumu, experimentáln</w:t>
      </w:r>
      <w:r>
        <w:t>ího vývoje a inovací z veřejných prostředků a o změně některých souvisejících zákonů (zákon o podpoře výzkumu, experimentálního vývoje a inovací), ve znění pozdějších předpisů; zákonem č. 218/2000 Sb., o rozpočtových pravidlech a o změně některých souvisej</w:t>
      </w:r>
      <w:r>
        <w:t>ících zákonů (rozpočtová pravidla); Nařízením Komise (EU) č. 651/2014 ze dne 17. června 2014, kterým se v souladu s články 107 a 108 Smlouvy prohlašují určité kategorie podpory za slučitelné s vnitřním trhem - Úřední věstník Evropské unie L 187, 26. června</w:t>
      </w:r>
      <w:r>
        <w:t xml:space="preserve"> 2014 (dále jen</w:t>
      </w:r>
    </w:p>
    <w:p w:rsidR="00F516CF" w:rsidRDefault="00987C44">
      <w:pPr>
        <w:pStyle w:val="Zkladntext20"/>
        <w:shd w:val="clear" w:color="auto" w:fill="auto"/>
        <w:spacing w:line="263" w:lineRule="exact"/>
        <w:ind w:firstLine="0"/>
      </w:pPr>
      <w:r>
        <w:t>„Nařízení"), zejm. čl. 25,28 a 29; Rámcem pro státní podporu výzkumu, vývoje a inovací- Úřední věstník Evropské unie C 198, 27. června 2014 (dále jen „Rámec").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7" w:name="bookmark6"/>
      <w:r>
        <w:t>Článek II</w:t>
      </w:r>
      <w:bookmarkEnd w:id="7"/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8" w:name="bookmark7"/>
      <w:r>
        <w:t>Předmět Smlouvy</w:t>
      </w:r>
      <w:bookmarkEnd w:id="8"/>
    </w:p>
    <w:p w:rsidR="00F516CF" w:rsidRDefault="00987C44">
      <w:pPr>
        <w:pStyle w:val="Zkladntext20"/>
        <w:numPr>
          <w:ilvl w:val="0"/>
          <w:numId w:val="1"/>
        </w:numPr>
        <w:shd w:val="clear" w:color="auto" w:fill="auto"/>
        <w:tabs>
          <w:tab w:val="left" w:pos="537"/>
        </w:tabs>
        <w:ind w:left="360" w:hanging="360"/>
      </w:pPr>
      <w:r>
        <w:t xml:space="preserve">Předmětem Smlouvy je vymezení vzájemných práv a </w:t>
      </w:r>
      <w:r>
        <w:t>povinností Smluvních stran, tedy Příjemce na straně jedné a Dalšího účastníka na straně druhé, při jejich vzájemné spolupráci na řešení Projektu.</w:t>
      </w:r>
    </w:p>
    <w:p w:rsidR="00F516CF" w:rsidRDefault="00987C44">
      <w:pPr>
        <w:pStyle w:val="Zkladntext20"/>
        <w:numPr>
          <w:ilvl w:val="0"/>
          <w:numId w:val="1"/>
        </w:numPr>
        <w:shd w:val="clear" w:color="auto" w:fill="auto"/>
        <w:tabs>
          <w:tab w:val="left" w:pos="537"/>
        </w:tabs>
        <w:ind w:left="360" w:hanging="360"/>
      </w:pPr>
      <w:r>
        <w:t>Předmětem Smlouvy je dále vymezení podmínek, za kterých bude Příjemcem poskytnuta část účelové podpory Dalšímu</w:t>
      </w:r>
      <w:r>
        <w:t xml:space="preserve"> účastníkovi, a to poté, co bude uzavřena Smlouva o poskytnutí podpory </w:t>
      </w:r>
      <w:r>
        <w:lastRenderedPageBreak/>
        <w:t>mezi Poskytovatelem a Příjemcem.</w:t>
      </w:r>
    </w:p>
    <w:p w:rsidR="00F516CF" w:rsidRDefault="00987C44">
      <w:pPr>
        <w:pStyle w:val="Zkladntext20"/>
        <w:numPr>
          <w:ilvl w:val="0"/>
          <w:numId w:val="1"/>
        </w:numPr>
        <w:shd w:val="clear" w:color="auto" w:fill="auto"/>
        <w:tabs>
          <w:tab w:val="left" w:pos="537"/>
        </w:tabs>
        <w:ind w:left="360" w:hanging="360"/>
      </w:pPr>
      <w:r>
        <w:t xml:space="preserve">Předmětem Smlouvy je úprava vzájemných práv a povinností Smluvních stran k hmotnému a nehmotnému majetku nutnému k řešení Projektu a nabytému účastníky </w:t>
      </w:r>
      <w:r>
        <w:t>Projektu a dále k výsledkům Projektu a využití výsledků Projektu.</w:t>
      </w:r>
    </w:p>
    <w:p w:rsidR="00F516CF" w:rsidRDefault="00987C44">
      <w:pPr>
        <w:pStyle w:val="Zkladntext20"/>
        <w:numPr>
          <w:ilvl w:val="0"/>
          <w:numId w:val="1"/>
        </w:numPr>
        <w:shd w:val="clear" w:color="auto" w:fill="auto"/>
        <w:tabs>
          <w:tab w:val="left" w:pos="537"/>
        </w:tabs>
        <w:ind w:left="360" w:hanging="360"/>
      </w:pPr>
      <w:r>
        <w:t>Povaha, účel, cíl a výsledky Projektu jsou podrobně specifikovány v návrhu Projektu, který tvoří přílohu č. 2 Smlouvy.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9" w:name="bookmark8"/>
      <w:r>
        <w:t>Článek III</w:t>
      </w:r>
      <w:bookmarkEnd w:id="9"/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0" w:name="bookmark9"/>
      <w:r>
        <w:t>Podmínky spolupráce stran</w:t>
      </w:r>
      <w:bookmarkEnd w:id="10"/>
    </w:p>
    <w:p w:rsidR="00F516CF" w:rsidRDefault="00987C44">
      <w:pPr>
        <w:pStyle w:val="Zkladntext20"/>
        <w:numPr>
          <w:ilvl w:val="0"/>
          <w:numId w:val="2"/>
        </w:numPr>
        <w:shd w:val="clear" w:color="auto" w:fill="auto"/>
        <w:tabs>
          <w:tab w:val="left" w:pos="537"/>
        </w:tabs>
        <w:ind w:left="360" w:hanging="360"/>
      </w:pPr>
      <w:r>
        <w:t>Spolupráce Smluvních stran bude re</w:t>
      </w:r>
      <w:r>
        <w:t>alizována v souladu s navrženým Projektem, Zadávací dokumentací, pravidly poskytnutí podpory, dalšími podmínkami a dokumenty závaznými pro Projekt, a také v souladu s podmínkami Smlouvy o poskytnutí podpory, o jejímž uzavření bude Příjemce Dalšího účastník</w:t>
      </w:r>
      <w:r>
        <w:t>a bez zbytečného odkladu informovat.</w:t>
      </w:r>
    </w:p>
    <w:p w:rsidR="00F516CF" w:rsidRDefault="00987C44">
      <w:pPr>
        <w:pStyle w:val="Zkladntext20"/>
        <w:numPr>
          <w:ilvl w:val="0"/>
          <w:numId w:val="2"/>
        </w:numPr>
        <w:shd w:val="clear" w:color="auto" w:fill="auto"/>
        <w:tabs>
          <w:tab w:val="left" w:pos="537"/>
        </w:tabs>
        <w:ind w:left="360" w:hanging="360"/>
      </w:pPr>
      <w:r>
        <w:t>Další účastník prohlašuje, že se seznámil se Zadávací dokumentací, se všemi podmínkami programu podpory a příslušnými dokumenty, a zavazuje se jimi řídit a bude Příjemci poskytovat veškerou potřebnou součinnost k zajišt</w:t>
      </w:r>
      <w:r>
        <w:t>ění jejich dodržování Příjemcem.</w:t>
      </w:r>
    </w:p>
    <w:p w:rsidR="00F516CF" w:rsidRDefault="00987C44">
      <w:pPr>
        <w:pStyle w:val="Zkladntext20"/>
        <w:numPr>
          <w:ilvl w:val="0"/>
          <w:numId w:val="2"/>
        </w:numPr>
        <w:shd w:val="clear" w:color="auto" w:fill="auto"/>
        <w:tabs>
          <w:tab w:val="left" w:pos="537"/>
        </w:tabs>
        <w:ind w:left="360" w:hanging="360"/>
      </w:pPr>
      <w:r>
        <w:t>Smluvní strany se zavazují jednat způsobem, který neohrožuje realizaci Projektu a zájmy jednotlivých Smluvních stran.</w:t>
      </w:r>
    </w:p>
    <w:p w:rsidR="00F516CF" w:rsidRDefault="00987C44">
      <w:pPr>
        <w:pStyle w:val="Zkladntext20"/>
        <w:numPr>
          <w:ilvl w:val="0"/>
          <w:numId w:val="2"/>
        </w:numPr>
        <w:shd w:val="clear" w:color="auto" w:fill="auto"/>
        <w:tabs>
          <w:tab w:val="left" w:pos="537"/>
        </w:tabs>
        <w:ind w:left="360" w:hanging="360"/>
      </w:pPr>
      <w:r>
        <w:t xml:space="preserve">Smluvní strany jsou povinny zpracovat vlastní závazný interní předpis upravující v souladu se Smlouvou o </w:t>
      </w:r>
      <w:r>
        <w:t>poskytnutí podpory a obecně závaznými právními předpisy použití a účtování finančních prostředků na řešení projektu v členění na neveřejné zdroje a poskytnutou účelovou podporu a dále upravující postup při plnění dalších povinností vyplývajících ze Smlouvy</w:t>
      </w:r>
      <w:r>
        <w:t xml:space="preserve"> o poskytnutí podpory.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1" w:name="bookmark10"/>
      <w:r>
        <w:t>Článek IV</w:t>
      </w:r>
      <w:bookmarkEnd w:id="11"/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2" w:name="bookmark11"/>
      <w:r>
        <w:t>Složení projektu - Příjemce a Další účastník</w:t>
      </w:r>
      <w:bookmarkEnd w:id="12"/>
    </w:p>
    <w:p w:rsidR="00F516CF" w:rsidRDefault="00987C44">
      <w:pPr>
        <w:pStyle w:val="Zkladntext20"/>
        <w:numPr>
          <w:ilvl w:val="1"/>
          <w:numId w:val="2"/>
        </w:numPr>
        <w:shd w:val="clear" w:color="auto" w:fill="auto"/>
        <w:tabs>
          <w:tab w:val="left" w:pos="537"/>
        </w:tabs>
        <w:ind w:left="360" w:hanging="360"/>
      </w:pPr>
      <w:r>
        <w:t>Osobou, která odpovídá za řešení Projektu na straně Příjemce, je řešitel:</w:t>
      </w:r>
    </w:p>
    <w:p w:rsidR="00F516CF" w:rsidRDefault="00987C44">
      <w:pPr>
        <w:pStyle w:val="Zkladntext20"/>
        <w:shd w:val="clear" w:color="auto" w:fill="auto"/>
        <w:ind w:firstLine="0"/>
      </w:pPr>
      <w:r>
        <w:t>Ing. Jan Sova, telefon: 736 408 005.</w:t>
      </w:r>
    </w:p>
    <w:p w:rsidR="00F516CF" w:rsidRDefault="00987C44">
      <w:pPr>
        <w:pStyle w:val="Zkladntext20"/>
        <w:numPr>
          <w:ilvl w:val="1"/>
          <w:numId w:val="2"/>
        </w:numPr>
        <w:shd w:val="clear" w:color="auto" w:fill="auto"/>
        <w:tabs>
          <w:tab w:val="left" w:pos="537"/>
        </w:tabs>
        <w:ind w:left="360" w:hanging="360"/>
      </w:pPr>
      <w:r>
        <w:t>Osobou, která odpovídá za řešení Projektu na straně Dalšího účastní</w:t>
      </w:r>
      <w:r>
        <w:t>ka, je odpovědný řešitel:</w:t>
      </w:r>
    </w:p>
    <w:p w:rsidR="00F516CF" w:rsidRDefault="00987C44">
      <w:pPr>
        <w:pStyle w:val="Zkladntext20"/>
        <w:shd w:val="clear" w:color="auto" w:fill="auto"/>
        <w:ind w:firstLine="0"/>
      </w:pPr>
      <w:r>
        <w:t>Ing. Jan Lukáš, Ph.D., telefon: 233022371.</w:t>
      </w:r>
    </w:p>
    <w:p w:rsidR="00F516CF" w:rsidRDefault="00987C44">
      <w:pPr>
        <w:pStyle w:val="Zkladntext20"/>
        <w:numPr>
          <w:ilvl w:val="1"/>
          <w:numId w:val="2"/>
        </w:numPr>
        <w:shd w:val="clear" w:color="auto" w:fill="auto"/>
        <w:tabs>
          <w:tab w:val="left" w:pos="537"/>
        </w:tabs>
        <w:ind w:left="360" w:hanging="360"/>
      </w:pPr>
      <w:r>
        <w:t>Řešitel Příjemce je odpovědný za celkovou odbornou úroveň Projektu.</w:t>
      </w:r>
    </w:p>
    <w:p w:rsidR="00F516CF" w:rsidRDefault="00987C44">
      <w:pPr>
        <w:pStyle w:val="Zkladntext20"/>
        <w:numPr>
          <w:ilvl w:val="1"/>
          <w:numId w:val="2"/>
        </w:numPr>
        <w:shd w:val="clear" w:color="auto" w:fill="auto"/>
        <w:tabs>
          <w:tab w:val="left" w:pos="537"/>
        </w:tabs>
        <w:ind w:left="360" w:hanging="360"/>
      </w:pPr>
      <w:r>
        <w:t xml:space="preserve">Řešitel Dalšího účastníka je odpovědný Dalšímu účastníkovi za celkovou odbornou úroveň Projektu. Řešitel Dalšího </w:t>
      </w:r>
      <w:r>
        <w:t>účastníka musí být k Dalšímu účastníkovi v pracovním poměru nebo v poměru pracovnímu poměru obdobném.</w:t>
      </w:r>
    </w:p>
    <w:p w:rsidR="00F516CF" w:rsidRDefault="00987C44">
      <w:pPr>
        <w:pStyle w:val="Zkladntext20"/>
        <w:numPr>
          <w:ilvl w:val="1"/>
          <w:numId w:val="2"/>
        </w:numPr>
        <w:shd w:val="clear" w:color="auto" w:fill="auto"/>
        <w:tabs>
          <w:tab w:val="left" w:pos="537"/>
        </w:tabs>
        <w:ind w:left="360" w:hanging="360"/>
      </w:pPr>
      <w:r>
        <w:t>Výše uvedení řešitelé se podílejí na činnostech nezbytných pro úspěšné řešení Projektu v souladu se schváleným návrhem Projektu.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3" w:name="bookmark12"/>
      <w:r>
        <w:t>Článek V</w:t>
      </w:r>
      <w:bookmarkEnd w:id="13"/>
    </w:p>
    <w:p w:rsidR="00F516CF" w:rsidRDefault="00987C44">
      <w:pPr>
        <w:pStyle w:val="Zkladntext30"/>
        <w:shd w:val="clear" w:color="auto" w:fill="auto"/>
        <w:spacing w:line="220" w:lineRule="exact"/>
        <w:jc w:val="left"/>
      </w:pPr>
      <w:r>
        <w:t>Řízení Projektu,</w:t>
      </w:r>
      <w:r>
        <w:t xml:space="preserve"> způsob zapojení jednotlivých Smluvních stran do Projektu</w:t>
      </w:r>
    </w:p>
    <w:p w:rsidR="00F516CF" w:rsidRDefault="00987C44">
      <w:pPr>
        <w:pStyle w:val="Zkladntext20"/>
        <w:numPr>
          <w:ilvl w:val="0"/>
          <w:numId w:val="3"/>
        </w:numPr>
        <w:shd w:val="clear" w:color="auto" w:fill="auto"/>
        <w:tabs>
          <w:tab w:val="left" w:pos="546"/>
        </w:tabs>
        <w:ind w:left="360" w:hanging="360"/>
      </w:pPr>
      <w:r>
        <w:t>Příjemce je předkladatelem Projektu a žadatelem o poskytnutí podpory. Příjemce uzavřel s Poskytovatelem Smlouvu o poskytnutí podpory. Příjemce plní funkci koordinátora Projektu a zajišťuje administr</w:t>
      </w:r>
      <w:r>
        <w:t>ativní spolupráci s Poskytovatelem.</w:t>
      </w:r>
    </w:p>
    <w:p w:rsidR="00F516CF" w:rsidRDefault="00987C44">
      <w:pPr>
        <w:pStyle w:val="Zkladntext20"/>
        <w:numPr>
          <w:ilvl w:val="0"/>
          <w:numId w:val="3"/>
        </w:numPr>
        <w:shd w:val="clear" w:color="auto" w:fill="auto"/>
        <w:tabs>
          <w:tab w:val="left" w:pos="546"/>
        </w:tabs>
        <w:ind w:left="360" w:hanging="360"/>
      </w:pPr>
      <w:r>
        <w:t>Další účastník se při provádění činností dle Smlouvy zavazuje konat tak, aby umožnil Příjemci plnit jeho závazky vyplývající z obecně závazných právních předpisů ČR týkajících se účelové podpory výzkumu a vývoje (zejména</w:t>
      </w:r>
      <w:r>
        <w:t xml:space="preserve"> zák. č. 130/2002 Sb., o podpoře výzkumu, experimentálního vývoje a inovací v platném znění) a jím uzavřených smluv. Dále se Další účastník zavazuje, že vyvine veškeré nezbytné úsilí k realizaci Projektu, že bude jednat způsobem, který neohrožuje realizaci</w:t>
      </w:r>
      <w:r>
        <w:t xml:space="preserve"> Projektu a zájmy Příjemce. Veškeré činnosti Dalšího účastníka, na které je podpora poskytována, musí směřovat k dosažení cílů Projektu a naplnění účelu podpory.</w:t>
      </w:r>
    </w:p>
    <w:p w:rsidR="00F516CF" w:rsidRDefault="00987C44">
      <w:pPr>
        <w:pStyle w:val="Zkladntext20"/>
        <w:numPr>
          <w:ilvl w:val="0"/>
          <w:numId w:val="3"/>
        </w:numPr>
        <w:shd w:val="clear" w:color="auto" w:fill="auto"/>
        <w:ind w:left="360" w:hanging="360"/>
      </w:pPr>
      <w:r>
        <w:t xml:space="preserve"> Smluvní strany se zavazují, že v rámci spolupráce na řešení Projektu budou provádět ve stanov</w:t>
      </w:r>
      <w:r>
        <w:t>ených termínech a ve stanoveném rozsahu úkony konkrétně určené v Projektu, směřující k realizaci Projektu, popřípadě i další úkony nutné nebo potřebné pro realizaci Projektu.</w:t>
      </w:r>
    </w:p>
    <w:p w:rsidR="00F516CF" w:rsidRDefault="00987C44">
      <w:pPr>
        <w:pStyle w:val="Zkladntext20"/>
        <w:numPr>
          <w:ilvl w:val="0"/>
          <w:numId w:val="3"/>
        </w:numPr>
        <w:shd w:val="clear" w:color="auto" w:fill="auto"/>
        <w:tabs>
          <w:tab w:val="left" w:pos="546"/>
        </w:tabs>
        <w:ind w:left="360" w:hanging="360"/>
      </w:pPr>
      <w:r>
        <w:t>Za řízení Projektu ve smyslu Smlouvy odpovídá řešitel.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4" w:name="bookmark13"/>
      <w:r>
        <w:t>Článek VI</w:t>
      </w:r>
      <w:bookmarkEnd w:id="14"/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5" w:name="bookmark14"/>
      <w:r>
        <w:t>Hodnocení Projek</w:t>
      </w:r>
      <w:r>
        <w:t>tu</w:t>
      </w:r>
      <w:bookmarkEnd w:id="15"/>
    </w:p>
    <w:p w:rsidR="00F516CF" w:rsidRDefault="00987C44">
      <w:pPr>
        <w:pStyle w:val="Zkladntext20"/>
        <w:numPr>
          <w:ilvl w:val="0"/>
          <w:numId w:val="4"/>
        </w:numPr>
        <w:shd w:val="clear" w:color="auto" w:fill="auto"/>
        <w:tabs>
          <w:tab w:val="left" w:pos="546"/>
        </w:tabs>
        <w:ind w:left="360" w:hanging="360"/>
      </w:pPr>
      <w:r>
        <w:t>Za účelem ověření a zhodnocení postupu spolupráce Příjemce a Dalšího účastníka na řešení Projektuje Příjemce povinen předložit Poskytovateli zejména:</w:t>
      </w:r>
    </w:p>
    <w:p w:rsidR="00F516CF" w:rsidRDefault="00987C44">
      <w:pPr>
        <w:pStyle w:val="Zkladntext20"/>
        <w:numPr>
          <w:ilvl w:val="0"/>
          <w:numId w:val="5"/>
        </w:numPr>
        <w:shd w:val="clear" w:color="auto" w:fill="auto"/>
        <w:tabs>
          <w:tab w:val="left" w:pos="1473"/>
        </w:tabs>
        <w:ind w:firstLine="0"/>
      </w:pPr>
      <w:r>
        <w:lastRenderedPageBreak/>
        <w:t>vyúčtování uznaných nákladů vč. ověření nezávislým auditorem,</w:t>
      </w:r>
    </w:p>
    <w:p w:rsidR="00F516CF" w:rsidRDefault="00987C44">
      <w:pPr>
        <w:pStyle w:val="Zkladntext20"/>
        <w:numPr>
          <w:ilvl w:val="0"/>
          <w:numId w:val="5"/>
        </w:numPr>
        <w:shd w:val="clear" w:color="auto" w:fill="auto"/>
        <w:tabs>
          <w:tab w:val="left" w:pos="1473"/>
        </w:tabs>
        <w:ind w:firstLine="0"/>
      </w:pPr>
      <w:r>
        <w:t xml:space="preserve">roční zprávu o realizaci a výsledcích </w:t>
      </w:r>
      <w:r>
        <w:t>projektu,</w:t>
      </w:r>
    </w:p>
    <w:p w:rsidR="00F516CF" w:rsidRDefault="00987C44">
      <w:pPr>
        <w:pStyle w:val="Zkladntext20"/>
        <w:numPr>
          <w:ilvl w:val="0"/>
          <w:numId w:val="5"/>
        </w:numPr>
        <w:shd w:val="clear" w:color="auto" w:fill="auto"/>
        <w:tabs>
          <w:tab w:val="left" w:pos="1473"/>
        </w:tabs>
        <w:ind w:firstLine="0"/>
      </w:pPr>
      <w:r>
        <w:t>závěrečnou zprávu o realizaci a výsledcích projektu,</w:t>
      </w:r>
    </w:p>
    <w:p w:rsidR="00F516CF" w:rsidRDefault="00987C44">
      <w:pPr>
        <w:pStyle w:val="Zkladntext20"/>
        <w:numPr>
          <w:ilvl w:val="0"/>
          <w:numId w:val="5"/>
        </w:numPr>
        <w:shd w:val="clear" w:color="auto" w:fill="auto"/>
        <w:tabs>
          <w:tab w:val="left" w:pos="1473"/>
        </w:tabs>
        <w:ind w:firstLine="0"/>
      </w:pPr>
      <w:r>
        <w:t>oponentní posudky k ročním zprávám,</w:t>
      </w:r>
    </w:p>
    <w:p w:rsidR="00F516CF" w:rsidRDefault="00987C44">
      <w:pPr>
        <w:pStyle w:val="Zkladntext20"/>
        <w:numPr>
          <w:ilvl w:val="0"/>
          <w:numId w:val="5"/>
        </w:numPr>
        <w:shd w:val="clear" w:color="auto" w:fill="auto"/>
        <w:tabs>
          <w:tab w:val="left" w:pos="1473"/>
        </w:tabs>
        <w:ind w:left="360" w:hanging="360"/>
      </w:pPr>
      <w:r>
        <w:t>aktualizované údaje o projektu pro jejich předání do Informačního systému výzkumu, vývoje a inovací,</w:t>
      </w:r>
    </w:p>
    <w:p w:rsidR="00F516CF" w:rsidRDefault="00987C44">
      <w:pPr>
        <w:pStyle w:val="Zkladntext20"/>
        <w:numPr>
          <w:ilvl w:val="0"/>
          <w:numId w:val="5"/>
        </w:numPr>
        <w:shd w:val="clear" w:color="auto" w:fill="auto"/>
        <w:tabs>
          <w:tab w:val="left" w:pos="1473"/>
        </w:tabs>
        <w:ind w:left="360" w:hanging="360"/>
      </w:pPr>
      <w:r>
        <w:t>zprávu o skutečně dosažených přínosech projektu, a to ka</w:t>
      </w:r>
      <w:r>
        <w:t>ždoročně po dobu 3 let po ukončení řešení projektu,</w:t>
      </w:r>
    </w:p>
    <w:p w:rsidR="00F516CF" w:rsidRDefault="00987C44">
      <w:pPr>
        <w:pStyle w:val="Zkladntext20"/>
        <w:numPr>
          <w:ilvl w:val="0"/>
          <w:numId w:val="5"/>
        </w:numPr>
        <w:shd w:val="clear" w:color="auto" w:fill="auto"/>
        <w:tabs>
          <w:tab w:val="left" w:pos="1473"/>
        </w:tabs>
        <w:ind w:firstLine="0"/>
      </w:pPr>
      <w:r>
        <w:t>další zprávy, informace a dokumenty, pokud tak stanoví Poskytovatel.</w:t>
      </w:r>
    </w:p>
    <w:p w:rsidR="00F516CF" w:rsidRDefault="00987C44">
      <w:pPr>
        <w:pStyle w:val="Zkladntext20"/>
        <w:numPr>
          <w:ilvl w:val="0"/>
          <w:numId w:val="4"/>
        </w:numPr>
        <w:shd w:val="clear" w:color="auto" w:fill="auto"/>
        <w:tabs>
          <w:tab w:val="left" w:pos="546"/>
        </w:tabs>
        <w:ind w:left="360" w:hanging="360"/>
      </w:pPr>
      <w:r>
        <w:t>Podklady pro dokumenty uvedené v bodě 6.1. tohoto článku je další účastník povinen poskytovat příjemci v elektronické podobě v případě,</w:t>
      </w:r>
      <w:r>
        <w:t xml:space="preserve"> že toto předání umožňuje charakter dokumentů. Další účastník je povinen respektovat podmínky poskytnutí dotace a hodnotící procesy Poskytovatele a pokyny příjemce týkající se obsahu, struktury dokumentů a lhůt pro jejich odevzdání a dále pak předkládat do</w:t>
      </w:r>
      <w:r>
        <w:t>kumenty v takové vhodné formě, aby mohly být hlavním příjemcem nebo Poskytovatelem publikovány.</w:t>
      </w:r>
    </w:p>
    <w:p w:rsidR="00F516CF" w:rsidRDefault="00987C44">
      <w:pPr>
        <w:pStyle w:val="Zkladntext20"/>
        <w:numPr>
          <w:ilvl w:val="0"/>
          <w:numId w:val="4"/>
        </w:numPr>
        <w:shd w:val="clear" w:color="auto" w:fill="auto"/>
        <w:tabs>
          <w:tab w:val="left" w:pos="546"/>
        </w:tabs>
        <w:ind w:left="360" w:hanging="360"/>
      </w:pPr>
      <w:r>
        <w:t xml:space="preserve">Další účastník předává hlavnímu příjemci dokumenty za jím provedené činnosti v rámci projektu dle předchozích odstavců. Příjemce zodpovídá za konsolidaci všech </w:t>
      </w:r>
      <w:r>
        <w:t>podkladů včetně jím zpracovaných a předložení dokumentů Poskytovateli.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6" w:name="bookmark15"/>
      <w:r>
        <w:t>Článek VII</w:t>
      </w:r>
      <w:bookmarkEnd w:id="16"/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7" w:name="bookmark16"/>
      <w:r>
        <w:t>Práva a povinnosti Smluvních stran</w:t>
      </w:r>
      <w:bookmarkEnd w:id="17"/>
    </w:p>
    <w:p w:rsidR="00F516CF" w:rsidRDefault="00987C44">
      <w:pPr>
        <w:pStyle w:val="Zkladntext20"/>
        <w:numPr>
          <w:ilvl w:val="0"/>
          <w:numId w:val="6"/>
        </w:numPr>
        <w:shd w:val="clear" w:color="auto" w:fill="auto"/>
        <w:tabs>
          <w:tab w:val="left" w:pos="546"/>
        </w:tabs>
        <w:spacing w:line="270" w:lineRule="exact"/>
        <w:ind w:left="360" w:hanging="360"/>
      </w:pPr>
      <w:r>
        <w:t>Smluvní strany jsou povinny se navzájem informovat o veškerých změnách týkajících se Projektu,</w:t>
      </w:r>
    </w:p>
    <w:p w:rsidR="00F516CF" w:rsidRDefault="00987C44">
      <w:pPr>
        <w:pStyle w:val="Zkladntext20"/>
        <w:shd w:val="clear" w:color="auto" w:fill="auto"/>
        <w:spacing w:line="270" w:lineRule="exact"/>
        <w:ind w:firstLine="0"/>
      </w:pPr>
      <w:r>
        <w:t xml:space="preserve">dále o případné neschopnosti plnit řádně a </w:t>
      </w:r>
      <w:r>
        <w:t>včas povinnosti vyplývající ze Smlouvy a o všech významných změnách a skutečnostech, které by mohly mít vliv na řešení a cíle Projektu. Nastane-li podstatná změna okolností týkajících se řešení projektu, kterou příjemce nemohl předvídat, ani ji nezpůsobil,</w:t>
      </w:r>
      <w:r>
        <w:t xml:space="preserve"> požádá písemně o změnu výše uznaných nákladů nejpozději do 7 kalendářních dnů ode dne, kdy se o takové skutečnosti dozvěděl. Smluvní strany jsou dále povinny kdykoliv prokázat, že jsou stále způsobilé pro řešení Projektu a splňují podmínky kvalifikace a p</w:t>
      </w:r>
      <w:r>
        <w:t>odmínky pravidel poskytnutí podpory.</w:t>
      </w:r>
    </w:p>
    <w:p w:rsidR="00F516CF" w:rsidRDefault="00987C44">
      <w:pPr>
        <w:pStyle w:val="Zkladntext20"/>
        <w:numPr>
          <w:ilvl w:val="0"/>
          <w:numId w:val="6"/>
        </w:numPr>
        <w:shd w:val="clear" w:color="auto" w:fill="auto"/>
        <w:tabs>
          <w:tab w:val="left" w:pos="547"/>
        </w:tabs>
        <w:ind w:left="360" w:hanging="360"/>
      </w:pPr>
      <w:r>
        <w:t>Každá ze Smluvních stran vede oddělenou účetní evidenci všech účetních případů vztahujících se k Projektu. V rámci této evidence jsou Smluvní strany povinny sledovat výdaje nebo náklady hrazené z poskytnuté účelové podp</w:t>
      </w:r>
      <w:r>
        <w:t>ory. Tuto evidenci jsou Smluvní strany povinny uchovávat nejméně po dobu deseti let ode dne ukončení řešení projektu.</w:t>
      </w:r>
    </w:p>
    <w:p w:rsidR="00F516CF" w:rsidRDefault="00987C44">
      <w:pPr>
        <w:pStyle w:val="Zkladntext20"/>
        <w:numPr>
          <w:ilvl w:val="0"/>
          <w:numId w:val="6"/>
        </w:numPr>
        <w:shd w:val="clear" w:color="auto" w:fill="auto"/>
        <w:tabs>
          <w:tab w:val="left" w:pos="547"/>
        </w:tabs>
        <w:ind w:left="360" w:hanging="360"/>
      </w:pPr>
      <w:r>
        <w:t>Každá ze Smluvních stran je povinná strpět pravidelnou kontrolu Projektu ze strany Poskytovatele a dalších kontrolních subjektů a při těch</w:t>
      </w:r>
      <w:r>
        <w:t>to kontrolách poskytovat odpovídající součinnost, a to i po skončení účinnosti této Smlouvy.</w:t>
      </w:r>
    </w:p>
    <w:p w:rsidR="00F516CF" w:rsidRDefault="00987C44">
      <w:pPr>
        <w:pStyle w:val="Zkladntext20"/>
        <w:numPr>
          <w:ilvl w:val="0"/>
          <w:numId w:val="6"/>
        </w:numPr>
        <w:shd w:val="clear" w:color="auto" w:fill="auto"/>
        <w:tabs>
          <w:tab w:val="left" w:pos="547"/>
        </w:tabs>
        <w:ind w:left="360" w:hanging="360"/>
      </w:pPr>
      <w:r>
        <w:t>Další účastník má povinnost zavést tuto smlouvu do registru smluv.</w:t>
      </w:r>
    </w:p>
    <w:p w:rsidR="00F516CF" w:rsidRDefault="00987C44">
      <w:pPr>
        <w:pStyle w:val="Zkladntext20"/>
        <w:numPr>
          <w:ilvl w:val="0"/>
          <w:numId w:val="6"/>
        </w:numPr>
        <w:shd w:val="clear" w:color="auto" w:fill="auto"/>
        <w:tabs>
          <w:tab w:val="left" w:pos="547"/>
        </w:tabs>
        <w:ind w:left="360" w:hanging="360"/>
      </w:pPr>
      <w:r>
        <w:t>Další účastník je povinen strpět pravidelnou kontrolu nakládání s účelovou podporou Příjemcem, a</w:t>
      </w:r>
      <w:r>
        <w:t xml:space="preserve"> to ve stejném rozsahu jako má poskytovatel vůči Příjemci.</w:t>
      </w:r>
    </w:p>
    <w:p w:rsidR="00F516CF" w:rsidRDefault="00987C44">
      <w:pPr>
        <w:pStyle w:val="Zkladntext20"/>
        <w:numPr>
          <w:ilvl w:val="0"/>
          <w:numId w:val="6"/>
        </w:numPr>
        <w:shd w:val="clear" w:color="auto" w:fill="auto"/>
        <w:tabs>
          <w:tab w:val="left" w:pos="547"/>
        </w:tabs>
        <w:ind w:left="360" w:hanging="360"/>
      </w:pPr>
      <w:r>
        <w:t>Každá ze Smluvních stran se zavazuje řádně dokončit a finančně uzavřít Projekt ve stanoveném termínu, včetně finančního vypořádání.</w:t>
      </w:r>
    </w:p>
    <w:p w:rsidR="00F516CF" w:rsidRDefault="00987C44">
      <w:pPr>
        <w:pStyle w:val="Zkladntext20"/>
        <w:numPr>
          <w:ilvl w:val="0"/>
          <w:numId w:val="6"/>
        </w:numPr>
        <w:shd w:val="clear" w:color="auto" w:fill="auto"/>
        <w:tabs>
          <w:tab w:val="left" w:pos="547"/>
        </w:tabs>
        <w:ind w:left="360" w:hanging="360"/>
      </w:pPr>
      <w:r>
        <w:t>Další účastník je odpovědný Příjemci za řešení jím prováděné část</w:t>
      </w:r>
      <w:r>
        <w:t>i Projektu a za hospodaření s přidělenou částí účelových finančních prostředků v plném rozsahu.</w:t>
      </w:r>
    </w:p>
    <w:p w:rsidR="00F516CF" w:rsidRDefault="00987C44">
      <w:pPr>
        <w:pStyle w:val="Zkladntext20"/>
        <w:numPr>
          <w:ilvl w:val="0"/>
          <w:numId w:val="6"/>
        </w:numPr>
        <w:shd w:val="clear" w:color="auto" w:fill="auto"/>
        <w:tabs>
          <w:tab w:val="left" w:pos="547"/>
        </w:tabs>
        <w:ind w:left="360" w:hanging="360"/>
      </w:pPr>
      <w:r>
        <w:t>Každá ze Smluvních stran se zavazuje archivovat dokumenty související s Projektem po dobu nejméně 10 let od ukončení Projektu.</w:t>
      </w:r>
    </w:p>
    <w:p w:rsidR="00F516CF" w:rsidRDefault="00987C44">
      <w:pPr>
        <w:pStyle w:val="Zkladntext20"/>
        <w:numPr>
          <w:ilvl w:val="0"/>
          <w:numId w:val="6"/>
        </w:numPr>
        <w:shd w:val="clear" w:color="auto" w:fill="auto"/>
        <w:tabs>
          <w:tab w:val="left" w:pos="547"/>
        </w:tabs>
        <w:ind w:left="360" w:hanging="360"/>
      </w:pPr>
      <w:r>
        <w:t xml:space="preserve">Smluvní strany jsou povinny </w:t>
      </w:r>
      <w:r>
        <w:t>zajistit, aby v informacích zveřejňovaných v souvislosti s projektem bylo vždy uvedeno: „Tento projekt byl realizován za finanční podpory z prostředků státního rozpočtu prostřednictvím Ministerstva průmyslu a obchodu", včetně čísla projektu.</w:t>
      </w:r>
    </w:p>
    <w:p w:rsidR="00F516CF" w:rsidRDefault="00987C44">
      <w:pPr>
        <w:pStyle w:val="Zkladntext20"/>
        <w:numPr>
          <w:ilvl w:val="0"/>
          <w:numId w:val="6"/>
        </w:numPr>
        <w:shd w:val="clear" w:color="auto" w:fill="auto"/>
        <w:tabs>
          <w:tab w:val="left" w:pos="547"/>
        </w:tabs>
        <w:ind w:left="360" w:hanging="360"/>
      </w:pPr>
      <w:r>
        <w:t>Pro případ, že</w:t>
      </w:r>
      <w:r>
        <w:t xml:space="preserve"> je Smluvní strana příjemcem státní pomoci (veřejné podpory) dle článku 107 Smlouvy o fungování Evropské unie („SFEU"), zavazuje se, že nebude kumulovat tuto veřejnou podporu vyňatou podle Nařízení Komise (EU) č. 651/2014 (dále jen „Nařízení") s jinou veře</w:t>
      </w:r>
      <w:r>
        <w:t xml:space="preserve">jnou podporou na úhradu týchž - částečně či plně se překrývajících - způsobilých nákladů, vede-li taková kumulace k překročení nejvyšší intenzity nebo výše podpory, která se na danou podporu použije podle Nařízení. Veřejnou podporu vyňatou tímto nařízením </w:t>
      </w:r>
      <w:r>
        <w:t xml:space="preserve">nebude kumulovat ani s podporou de </w:t>
      </w:r>
      <w:r>
        <w:lastRenderedPageBreak/>
        <w:t xml:space="preserve">minimis na tytéž způsobilé náklady, pokud by taková kumulace vedla k překročení intenzity podpory stanovené v kapitole III Nařízení. Smluvní strany berou na vědomí, že podpora použitá v rozporu s pravidly veřejné podpory </w:t>
      </w:r>
      <w:r>
        <w:t>(např. čl. 107 SFEU) může být považována ze strany orgánů Evropské unie za tzv. nepovolenou veřejnou podporou, která může být vymáhána.</w:t>
      </w:r>
    </w:p>
    <w:p w:rsidR="00F516CF" w:rsidRDefault="00987C44">
      <w:pPr>
        <w:pStyle w:val="Zkladntext30"/>
        <w:shd w:val="clear" w:color="auto" w:fill="auto"/>
        <w:jc w:val="left"/>
      </w:pPr>
      <w:r>
        <w:t>Článek Vlil</w:t>
      </w:r>
    </w:p>
    <w:p w:rsidR="00F516CF" w:rsidRDefault="00987C44">
      <w:pPr>
        <w:pStyle w:val="Zkladntext30"/>
        <w:shd w:val="clear" w:color="auto" w:fill="auto"/>
        <w:jc w:val="left"/>
      </w:pPr>
      <w:r>
        <w:t>Práva a povinnosti Smluvní stran ve věcech finančních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47"/>
        </w:tabs>
        <w:ind w:left="360" w:hanging="360"/>
      </w:pPr>
      <w:r>
        <w:t xml:space="preserve">Uznanými náklady Projektu se rozumí způsobilé náklady </w:t>
      </w:r>
      <w:r>
        <w:t>vynaložené na činnosti uvedené v ust. § 2 odst. 2 písm. I) zákona č. 130/2002 Sb., o podpoře výzkumu, experimentálního vývoje a inovací v platném znění, které Poskytovatel schválil a které jsou zdůvodněné.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47"/>
        </w:tabs>
        <w:spacing w:line="263" w:lineRule="exact"/>
        <w:ind w:left="360" w:hanging="360"/>
      </w:pPr>
      <w:r>
        <w:t>Celkové uznané náklady Projektu za celou dobu řeše</w:t>
      </w:r>
      <w:r>
        <w:t xml:space="preserve">ní </w:t>
      </w:r>
      <w:r>
        <w:rPr>
          <w:rStyle w:val="Zkladntext2Tun0"/>
        </w:rPr>
        <w:t xml:space="preserve">činí 19 448 330,- </w:t>
      </w:r>
      <w:r>
        <w:t>Kč.</w:t>
      </w:r>
    </w:p>
    <w:p w:rsidR="00F516CF" w:rsidRDefault="00987C44">
      <w:pPr>
        <w:pStyle w:val="Zkladntext20"/>
        <w:numPr>
          <w:ilvl w:val="0"/>
          <w:numId w:val="8"/>
        </w:numPr>
        <w:shd w:val="clear" w:color="auto" w:fill="auto"/>
        <w:tabs>
          <w:tab w:val="left" w:pos="1308"/>
        </w:tabs>
        <w:spacing w:line="263" w:lineRule="exact"/>
        <w:ind w:firstLine="0"/>
      </w:pPr>
      <w:r>
        <w:t>Z toho podíl Dalšího účastníka činí 6 500 000,- Kč na celou dobu řešení projektu</w:t>
      </w:r>
    </w:p>
    <w:p w:rsidR="00F516CF" w:rsidRDefault="00987C44">
      <w:pPr>
        <w:pStyle w:val="Zkladntext20"/>
        <w:numPr>
          <w:ilvl w:val="0"/>
          <w:numId w:val="8"/>
        </w:numPr>
        <w:shd w:val="clear" w:color="auto" w:fill="auto"/>
        <w:tabs>
          <w:tab w:val="left" w:pos="1308"/>
        </w:tabs>
        <w:spacing w:line="263" w:lineRule="exact"/>
        <w:ind w:firstLine="0"/>
      </w:pPr>
      <w:r>
        <w:rPr>
          <w:rStyle w:val="Zkladntext23"/>
        </w:rPr>
        <w:t>Výše účelové podpory pro Dalšího účastníka v jednotlivých letech řešení viz tabulka: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326"/>
        <w:gridCol w:w="1966"/>
        <w:gridCol w:w="2912"/>
      </w:tblGrid>
      <w:tr w:rsidR="00F516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CF" w:rsidRDefault="00F516CF">
            <w:pPr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Účelová podpora (v Kč)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Vlastní zdroje (v Kč)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 xml:space="preserve">Uznané náklady </w:t>
            </w:r>
            <w:r>
              <w:rPr>
                <w:rStyle w:val="Zkladntext21"/>
              </w:rPr>
              <w:t>celkem (v Kč)</w:t>
            </w:r>
          </w:p>
        </w:tc>
      </w:tr>
      <w:tr w:rsidR="00F516C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2016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1 926 000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214 000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2 140 000</w:t>
            </w:r>
          </w:p>
        </w:tc>
      </w:tr>
      <w:tr w:rsidR="00F516C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2017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1 971 000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219 000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2 190 000</w:t>
            </w:r>
          </w:p>
        </w:tc>
      </w:tr>
      <w:tr w:rsidR="00F516C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2018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1 953 000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217 000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2 170 000</w:t>
            </w:r>
          </w:p>
        </w:tc>
      </w:tr>
      <w:tr w:rsidR="00F516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Celkem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5 850 000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650 000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6CF" w:rsidRDefault="00987C44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6 500 000</w:t>
            </w:r>
          </w:p>
        </w:tc>
      </w:tr>
    </w:tbl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27"/>
        </w:tabs>
        <w:ind w:left="360" w:hanging="360"/>
      </w:pPr>
      <w:r>
        <w:t xml:space="preserve">Plánovanou část podpory převede Příjemce Dalšímu účastníku po podpisu Smlouvy do 14 dnů po doručení </w:t>
      </w:r>
      <w:r>
        <w:t>podpory pro příslušný kalendářní rok na účet Příjemce na základě Smlouvy o poskytnutí podpory mezi Poskytovatelem a Příjemcem.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27"/>
        </w:tabs>
        <w:ind w:left="360" w:hanging="360"/>
      </w:pPr>
      <w:r>
        <w:t xml:space="preserve">Podpora bude poskytována převodem na samostatný bankovní účet, který je Příjemce/Další účastník projektu povinen vést zvlášť pro </w:t>
      </w:r>
      <w:r>
        <w:t>každý jednotlivý projekt.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27"/>
        </w:tabs>
        <w:ind w:left="360" w:hanging="360"/>
      </w:pPr>
      <w:r>
        <w:t>Bankovní spojení Dalšího účastníka je uvedeno v čl. I Smlouvy. Pro identifikaci platby je Další účastník povinen Příjemci oznámit variabilní symbol před avízovanou platbou ze strany Příjemce.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27"/>
        </w:tabs>
        <w:ind w:left="360" w:hanging="360"/>
      </w:pPr>
      <w:r>
        <w:t>Smluvní strany upraví svůj podíl na po</w:t>
      </w:r>
      <w:r>
        <w:t>dpoře ze strany Poskytovatele, celkových nákladech na řešení Projektu i technické náplni řešení Projektu, pokud bude rozhodnutím Poskytovatele změněna výše čerpané podpory požadované v žádosti o podporu Projektu.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27"/>
        </w:tabs>
        <w:ind w:left="360" w:hanging="360"/>
      </w:pPr>
      <w:r>
        <w:t>Smluvní strany se zavazují, že při realizac</w:t>
      </w:r>
      <w:r>
        <w:t>i Projektu budou při nákupu veškerého zboží nebo služeb od třetích osob postupovat v souladu se zákonem č. 134/2016 Sb., o zadávání veřejných zakázek, ve znění pozdějších předpisů nebo předpisů jej měnících či nahrazujících, nelze-li aplikovat výjimku podl</w:t>
      </w:r>
      <w:r>
        <w:t>e §8 odst. 5 zákona č. 130/2002 Sb., o podpoře výzkumu, experimentálního vývoje a inovací.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27"/>
        </w:tabs>
        <w:ind w:left="360" w:hanging="360"/>
      </w:pPr>
      <w:r>
        <w:t>Smluvní strany se zavazují použít účelovou podporu v souladu se zákonem č. 218/2000 Sb., o rozpočtových pravidlech a o změně některých souvisejících zákonů (rozpočto</w:t>
      </w:r>
      <w:r>
        <w:t>vá pravidla), ve znění pozdějších předpisů a zákona č. 130/2002 Sb., o podpoře výzkumu, experimentálního vývoje a inovací v platném znění, vždy do konce příslušného kalendářního roku výhradně k úhradě prokazatelných, nezbytně nutných nákladů přímo souvisej</w:t>
      </w:r>
      <w:r>
        <w:t>ících s plněním cílů a parametrů předmětného Projektu, a to přímou platbou dodavatelům z bankovního účtu.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27"/>
        </w:tabs>
        <w:ind w:left="360" w:hanging="360"/>
      </w:pPr>
      <w:r>
        <w:t>Smluvní strany se zavazují vést o uznaných nákladech samostatnou účetní evidenci podle zákona č. 563/1991 Sb., o účetnictví ve znění pozdějších předpi</w:t>
      </w:r>
      <w:r>
        <w:t>sů, a v rámci této evidence sledovat výdaje nebo náklady hrazené z poskytnuté účelové podpory. V rámci této evidence jsou Smluvní strany povinny vést i evidenci o užití pořízeného dlouhodobého nehmotného majetku a na základě ročního využití tyto prostředky</w:t>
      </w:r>
      <w:r>
        <w:t xml:space="preserve"> vyúčtovat. Tuto evidenci budou Smluvní strany uchovávat po dobu 10 let od ukončení řešení Projektu. Při vedení této účetní evidence jsou Smluvní strany povinny dodržovat běžné účetní zvyklosti a příslušné závazné podmínky uvedené v zásadách, pokynech, smě</w:t>
      </w:r>
      <w:r>
        <w:t>rnicích nebo v jiných předpisech, uveřejněných ve Finančním zpravodaji Ministerstva financí, nebo jiným obdobným způsobem. Stanoví-li tak Příjemce, je Další účastník Projektu povinen předložit účetnictví k auditu.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27"/>
        </w:tabs>
        <w:ind w:left="360" w:hanging="360"/>
      </w:pPr>
      <w:r>
        <w:t>Nedojde-li k poskytnutí příslušné části po</w:t>
      </w:r>
      <w:r>
        <w:t>dpory Poskytovatelem Příjemci nebo dojde-li k opožděnému poskytnutí příslušné části podpory Poskytovatelem Příjemci v důsledku rozpočtového provizoria podle zvláštního právního předpisu nebo v důsledku aplikace jiného právního předpisu, Příjemce neodpovídá</w:t>
      </w:r>
      <w:r>
        <w:t xml:space="preserve"> Dalšímu účastníkovi za škodu, která vznikla Dalšímu účastníkovi jako důsledek této situace.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27"/>
        </w:tabs>
        <w:ind w:left="360" w:hanging="360"/>
      </w:pPr>
      <w:r>
        <w:lastRenderedPageBreak/>
        <w:t>Pokud vznikne při provádění Projektu finanční ztráta, tuto ztrátu nese každá ze Smluvních stran sama za tu část Projektu, za níž nese odpovědnost.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27"/>
        </w:tabs>
        <w:ind w:left="360" w:hanging="360"/>
      </w:pPr>
      <w:r>
        <w:t xml:space="preserve">Smluvní strany, </w:t>
      </w:r>
      <w:r>
        <w:t>které jsou veřejné vysoké školy nebo veřejné výzkumné instituce, mají možnost převést jimi nevyčerpanou část podpory v daném kalendářním roce, a to do výše 5 %, do fondu účelově určených prostředků.</w:t>
      </w:r>
    </w:p>
    <w:p w:rsidR="00F516CF" w:rsidRDefault="00987C44">
      <w:pPr>
        <w:pStyle w:val="Zkladntext20"/>
        <w:numPr>
          <w:ilvl w:val="0"/>
          <w:numId w:val="7"/>
        </w:numPr>
        <w:shd w:val="clear" w:color="auto" w:fill="auto"/>
        <w:tabs>
          <w:tab w:val="left" w:pos="527"/>
        </w:tabs>
        <w:ind w:left="360" w:hanging="360"/>
      </w:pPr>
      <w:r>
        <w:t>Smluvní strany se dohodly, že náklady vzniklé v souvislos</w:t>
      </w:r>
      <w:r>
        <w:t>ti s kontrolní činností k projektu si budou</w:t>
      </w:r>
    </w:p>
    <w:p w:rsidR="00F516CF" w:rsidRDefault="00987C44">
      <w:pPr>
        <w:pStyle w:val="Zkladntext20"/>
        <w:shd w:val="clear" w:color="auto" w:fill="auto"/>
        <w:ind w:firstLine="0"/>
      </w:pPr>
      <w:r>
        <w:t>hradit samostatně.</w:t>
      </w:r>
    </w:p>
    <w:p w:rsidR="00F516CF" w:rsidRDefault="00987C44">
      <w:pPr>
        <w:pStyle w:val="Zkladntext30"/>
        <w:shd w:val="clear" w:color="auto" w:fill="auto"/>
        <w:spacing w:line="220" w:lineRule="exact"/>
        <w:jc w:val="left"/>
      </w:pPr>
      <w:r>
        <w:t>Článek IX</w:t>
      </w:r>
    </w:p>
    <w:p w:rsidR="00F516CF" w:rsidRDefault="00987C44">
      <w:pPr>
        <w:pStyle w:val="Zkladntext30"/>
        <w:shd w:val="clear" w:color="auto" w:fill="auto"/>
        <w:spacing w:line="220" w:lineRule="exact"/>
        <w:jc w:val="left"/>
      </w:pPr>
      <w:r>
        <w:t>Práva k hmotnému majetku</w:t>
      </w:r>
    </w:p>
    <w:p w:rsidR="00F516CF" w:rsidRDefault="00987C44">
      <w:pPr>
        <w:pStyle w:val="Zkladntext20"/>
        <w:numPr>
          <w:ilvl w:val="0"/>
          <w:numId w:val="9"/>
        </w:numPr>
        <w:shd w:val="clear" w:color="auto" w:fill="auto"/>
        <w:tabs>
          <w:tab w:val="left" w:pos="527"/>
        </w:tabs>
        <w:ind w:left="360" w:hanging="360"/>
      </w:pPr>
      <w:r>
        <w:t xml:space="preserve">Vlastníkem hmotného majetku (infrastruktury), nutného k řešení části Projektu a pořízeného z poskytnuté podpory je ta Smluvní strana, která se na řešení dané </w:t>
      </w:r>
      <w:r>
        <w:t>části Projektu podílí. Pokud došlo k pořízení hmotného majetku společně více Smluvními stranami je předmětný hmotný majetek v podílovém spoluvlastnictví těchto Smluvních stran, přičemž jejich podíl na vlastnictví hmotného majetku se stanoví podle poměru fi</w:t>
      </w:r>
      <w:r>
        <w:t>nančních prostředků vynaložených na pořízení předmětného hmotného majetku.</w:t>
      </w:r>
    </w:p>
    <w:p w:rsidR="00F516CF" w:rsidRDefault="00987C44">
      <w:pPr>
        <w:pStyle w:val="Zkladntext20"/>
        <w:numPr>
          <w:ilvl w:val="0"/>
          <w:numId w:val="9"/>
        </w:numPr>
        <w:shd w:val="clear" w:color="auto" w:fill="auto"/>
        <w:tabs>
          <w:tab w:val="left" w:pos="535"/>
        </w:tabs>
        <w:ind w:left="360" w:hanging="360"/>
      </w:pPr>
      <w:r>
        <w:t>Po dobu realizace Projektu nejsou Smluvní strany oprávněny bez souhlasu Poskytovatele s hmotným majetkem podle odst. 9.1 tohoto článku disponovat ve prospěch třetí osoby, zejména pa</w:t>
      </w:r>
      <w:r>
        <w:t>k nejsou oprávněny tento hmotný majetek zcizit, převést, zatížit, pronajmout, půjčit či zapůjčit.</w:t>
      </w:r>
    </w:p>
    <w:p w:rsidR="00F516CF" w:rsidRDefault="00987C44">
      <w:pPr>
        <w:pStyle w:val="Zkladntext20"/>
        <w:numPr>
          <w:ilvl w:val="0"/>
          <w:numId w:val="9"/>
        </w:numPr>
        <w:shd w:val="clear" w:color="auto" w:fill="auto"/>
        <w:tabs>
          <w:tab w:val="left" w:pos="535"/>
        </w:tabs>
        <w:ind w:left="360" w:hanging="360"/>
      </w:pPr>
      <w:r>
        <w:t>Hmotný majetek podle odst. 9.1 jsou Smluvní strany oprávněny využívat pro řešení Projektu bezplatně.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8" w:name="bookmark17"/>
      <w:r>
        <w:t>Článek X</w:t>
      </w:r>
      <w:bookmarkEnd w:id="18"/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9" w:name="bookmark18"/>
      <w:r>
        <w:t>Duševní vlastnictví</w:t>
      </w:r>
      <w:bookmarkEnd w:id="19"/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ind w:left="360" w:hanging="360"/>
      </w:pPr>
      <w:r>
        <w:t>Právní vztahy vzniklé v souv</w:t>
      </w:r>
      <w:r>
        <w:t>islosti s ochranou duševního vlastnictví vytvořeného při plnění účelu Smlouvy se řídí obecně závaznými právními předpisy České republiky, zejména zákonem č. 527/1990 Sb., o vynálezech a zlepšovacích návrzích, ve znění pozdějších předpisů, zákonem č. 207/20</w:t>
      </w:r>
      <w:r>
        <w:t>00 Sb., o ochraně průmyslových vzorů, ve znění pozdějších předpisů, zákonem č. 478/1992 Sb., o užitných vzorech, ve znění pozdějších předpisů, zákonem č. 221/2006 Sb., o vymáhání práv z průmyslového vlastnictví a o změně zákonů na ochranu průmyslového vlas</w:t>
      </w:r>
      <w:r>
        <w:t>tnictví, zákonem č. 206/2000 Sb., o ochraně biotechnologických vynálezů, zákonem č. 441/2003 Sb., o ochranných známkách, ve znění pozdějších předpisů, zákonem č. 121/2000 Sb. o právu autorském, o právech souvisejících s právem autorským a o změně některých</w:t>
      </w:r>
      <w:r>
        <w:t xml:space="preserve"> zákonů (autorský zákon), zákonem č. 130/2002 Sb., o podpoře výzkumu experimentálního vývoje a inovací z veřejných prostředků a o změně některých souvisejících zákonů (zákon o podpoře výzkumu a vývoje), ve znění pozdějších předpisů.</w:t>
      </w:r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ind w:left="360" w:hanging="360"/>
      </w:pPr>
      <w:r>
        <w:t>Tato Smlouva upravuje p</w:t>
      </w:r>
      <w:r>
        <w:t>ráva Smluvních stran k předmětům duševního vlastnictví existujícím před uzavřením Smlouvy a stanoví pravidla užití těchto předmětů pro účely realizace Projektu, dále Smlouva upravuje práva na vytvořené předměty duševního vlastnictví, které vzniknou v průbě</w:t>
      </w:r>
      <w:r>
        <w:t>hu trvání Smlouvy a stanou se vlastnictvím Smluvních stran, které je vytvoří.</w:t>
      </w:r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ind w:left="360" w:hanging="360"/>
      </w:pPr>
      <w:r>
        <w:t>Předmětem duševního vlastnictví se pro účely Smlouvy rozumí jakýkoli výsledek duševní činnosti, na jehož základě vznikne nehmotný nebo hmotný statek, který je objektivně zachytit</w:t>
      </w:r>
      <w:r>
        <w:t>elný, který má faktickou či potencionální výrobní, průmyslovou či vědeckou hodnotu. Jedná se zejména o vynálezy, technická řešení chráněná užitným vzorem, průmyslové vzory, zlepšovací návrhy, biotechnologické vynálezy, ochranné známky, díla podle práva aut</w:t>
      </w:r>
      <w:r>
        <w:t>orského, know-how, a další výsledky duševní a průmyslové činnosti.</w:t>
      </w:r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ind w:left="360" w:hanging="360"/>
      </w:pPr>
      <w:r>
        <w:t>Předměty duševního vlastnictví, které jsou ve vlastnictví jednotlivých Smluvních stran před uzavřením Smlouvy a které jsou potřebné pro realizaci Projektu nebo pro užívání jeho výsledků, zů</w:t>
      </w:r>
      <w:r>
        <w:t>stávají ve vlastnictví Příjemce nebo Dalšího účastníka nebo Smluvní strana umožní využívání předmětů duševního vlastnictví jí náležících druhé Smluvní straně v rozsahu potřebném pro účely realizace Projektu.</w:t>
      </w:r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ind w:left="360" w:hanging="360"/>
      </w:pPr>
      <w:r>
        <w:t>Smluvní strany se dohodly na tom, že duševní vla</w:t>
      </w:r>
      <w:r>
        <w:t xml:space="preserve">stnictví vzniklé při plnění úkolů v rámci Projektu je majetkem té Smluvní strany, jejíž pracovníci duševní vlastnictví vytvořili. Smluvní strany si navzájem oznámí vytvoření duševního vlastnictví a Smluvní strana, která je majitelem takového </w:t>
      </w:r>
      <w:r>
        <w:lastRenderedPageBreak/>
        <w:t>duševního vlas</w:t>
      </w:r>
      <w:r>
        <w:t>tnictví nese náklady spojené s podáním přihlášek a vedením příslušných řízení.</w:t>
      </w:r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ind w:left="360" w:hanging="360"/>
      </w:pPr>
      <w:r>
        <w:t>Vznikne-li duševní vlastnictví při plnění úkolů v rámci Projektu prokazatelně spoluprací pracovníků obou Smluvních stran, je toto duševní vlastnictví společným majetkem obou Sml</w:t>
      </w:r>
      <w:r>
        <w:t xml:space="preserve">uvních stran, a to v tom poměru majetkových podílů, v jakém se na vytvoření duševního vlastnictví podíleli pracovníci každé ze Smluvních stran. Smluvní strany jsou si vzájemně nápomocny při přípravě podání přihlášek, a to i zahraničních. Smluvní strany se </w:t>
      </w:r>
      <w:r>
        <w:t>v poměru jejich spoluvlastnických podílů podílejí na nákladech spojených s podáním přihlášek a vedením příslušných řízení.</w:t>
      </w:r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550"/>
        </w:tabs>
        <w:ind w:left="360" w:hanging="360"/>
      </w:pPr>
      <w:r>
        <w:t xml:space="preserve">Nebude-li jedna ze Smluvních stran mít zájem na podání přihlášky, může druhá Smluvní strana požádat o převedení práva na podání </w:t>
      </w:r>
      <w:r>
        <w:t xml:space="preserve">takové přihlášky na sebe. Smluvní strany před převodem projednají podmínky převedení práva podat přihlášku. Smluvní strany jsou si vzájemně nápomocny při přípravě podání přihlášek, a to i zahraničních. Smluvní strana, na kterou je převedeno právo k podání </w:t>
      </w:r>
      <w:r>
        <w:t>přihlášky nese náklady spojené s podáním přihlášky a vedením příslušných řízení.</w:t>
      </w:r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550"/>
        </w:tabs>
        <w:ind w:left="360" w:hanging="360"/>
      </w:pPr>
      <w:r>
        <w:t>Prohlášení o vytvoření předmětu duševního vlastnictví, např. o vytvoření vynálezu, vzniklého v rámci Projektu je nutné provést písemně, provede jej ta Smluvní strana, která se</w:t>
      </w:r>
      <w:r>
        <w:t xml:space="preserve"> na vytvoření předmětu duševního vlastnictví podílela, v případě rovnosti podílů provede přihlášení Příjemce.</w:t>
      </w:r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550"/>
        </w:tabs>
        <w:ind w:left="360" w:hanging="360"/>
      </w:pPr>
      <w:r>
        <w:t>Práva původců budou Smluvními stranami řešena dle §9 zák. č. 527/1990 Sb., o vynálezech a zlepšovacích návrzích, ve znění pozdějších předpisů nebo</w:t>
      </w:r>
      <w:r>
        <w:t xml:space="preserve"> dle obdobných předpisů.</w:t>
      </w:r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619"/>
        </w:tabs>
        <w:ind w:left="360" w:hanging="360"/>
      </w:pPr>
      <w:r>
        <w:t>Smluvní strany jsou oprávněny využívat know-how získané při provádění Projektu a přenést výsledky tohoto know-how do praxe.</w:t>
      </w:r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619"/>
        </w:tabs>
        <w:ind w:left="360" w:hanging="360"/>
      </w:pPr>
      <w:r>
        <w:t>Pokud práva z předmětu duševního vlastnictví, které bude vytvořeno při realizaci Projektu, náleží v souladu</w:t>
      </w:r>
      <w:r>
        <w:t xml:space="preserve"> s ustanoveními Smlouvy oběma Smluvním stranám, o využití těchto práv rozhodnou všichni spolumajitelé jednomyslně, žádný ze spolumajitelů není oprávněn využívat tato práva bez souhlasu ostatních spolumajitelů. Smluvní strany se zavazují vynaložit maximální</w:t>
      </w:r>
      <w:r>
        <w:t xml:space="preserve"> úsilí o dohodu na společném využití práv z předmětu duševního vlastnictví. K platnému uzavření licenční smlouvy je třeba souhlasu všech spolumajitelů. K převodu práv z předmětu duševního vlastnictví na třetí osobu je zapotřebí jednomyslného souhlasu všech</w:t>
      </w:r>
      <w:r>
        <w:t xml:space="preserve"> spolumajitelů. K převodu podílu některého ze spolumajitelů na jiného spolumajitele se souhlas ostatních nevyžaduje. Na třetí osobu může některý ze spolumajitelů převést svůj podíl jen v případě, že žádný ze spolumajitelů nepřijme ve lhůtě jednoho měsíce p</w:t>
      </w:r>
      <w:r>
        <w:t>ísemnou nabídku převodu. V ostatních otázkách se vzájemné vztahy mezi spolumajiteli řídí obecnými předpisy o podílovém spoluvlastnictví.</w:t>
      </w:r>
    </w:p>
    <w:p w:rsidR="00F516CF" w:rsidRDefault="00987C44">
      <w:pPr>
        <w:pStyle w:val="Zkladntext20"/>
        <w:numPr>
          <w:ilvl w:val="0"/>
          <w:numId w:val="10"/>
        </w:numPr>
        <w:shd w:val="clear" w:color="auto" w:fill="auto"/>
        <w:tabs>
          <w:tab w:val="left" w:pos="619"/>
        </w:tabs>
        <w:ind w:left="360" w:hanging="360"/>
      </w:pPr>
      <w:r>
        <w:t>Smluvní strany jsou povinny upravit způsob nakládání s výsledky Projektu svým vnitřním předpisem.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20" w:name="bookmark19"/>
      <w:r>
        <w:t>Článek XI</w:t>
      </w:r>
      <w:bookmarkEnd w:id="20"/>
    </w:p>
    <w:p w:rsidR="00F516CF" w:rsidRDefault="00987C44">
      <w:pPr>
        <w:pStyle w:val="Zkladntext30"/>
        <w:shd w:val="clear" w:color="auto" w:fill="auto"/>
        <w:spacing w:line="220" w:lineRule="exact"/>
        <w:jc w:val="left"/>
      </w:pPr>
      <w:r>
        <w:t>Zajištění o</w:t>
      </w:r>
      <w:r>
        <w:t>chrany výsledků výzkumu a vývoje uskutečněných v souvislosti s Projektem</w:t>
      </w:r>
    </w:p>
    <w:p w:rsidR="00F516CF" w:rsidRDefault="00987C44">
      <w:pPr>
        <w:pStyle w:val="Zkladntext20"/>
        <w:numPr>
          <w:ilvl w:val="0"/>
          <w:numId w:val="11"/>
        </w:numPr>
        <w:shd w:val="clear" w:color="auto" w:fill="auto"/>
        <w:tabs>
          <w:tab w:val="left" w:pos="716"/>
        </w:tabs>
        <w:ind w:left="360" w:hanging="360"/>
      </w:pPr>
      <w:r>
        <w:t>Smluvní strany se dohodly na tom, že informace, dokumentace a výsledky práce, předané a vzniklé v souvislosti s plněním Smlouvy, jakož i jednotlivých následných smluv, budou pokládány</w:t>
      </w:r>
      <w:r>
        <w:t xml:space="preserve"> za důvěrné a nebudou poskytnuty třetí straně ani využity jinak než pro účel Smlouvy. Toto ustanovení neplatí ve vztahu k Poskytovateli.</w:t>
      </w:r>
    </w:p>
    <w:p w:rsidR="00F516CF" w:rsidRDefault="00987C44">
      <w:pPr>
        <w:pStyle w:val="Zkladntext20"/>
        <w:numPr>
          <w:ilvl w:val="0"/>
          <w:numId w:val="11"/>
        </w:numPr>
        <w:shd w:val="clear" w:color="auto" w:fill="auto"/>
        <w:tabs>
          <w:tab w:val="left" w:pos="716"/>
        </w:tabs>
        <w:ind w:left="360" w:hanging="360"/>
      </w:pPr>
      <w:r>
        <w:t>Smluvní strany se zavazují si vzájemně poskytovat veškeré informace nutné pro vykonávání činností podle Smlouvy, inform</w:t>
      </w:r>
      <w:r>
        <w:t>ace o činnostech v Projektu a o jejich výsledcích.</w:t>
      </w:r>
    </w:p>
    <w:p w:rsidR="00F516CF" w:rsidRDefault="00987C44">
      <w:pPr>
        <w:pStyle w:val="Zkladntext20"/>
        <w:numPr>
          <w:ilvl w:val="0"/>
          <w:numId w:val="11"/>
        </w:numPr>
        <w:shd w:val="clear" w:color="auto" w:fill="auto"/>
        <w:tabs>
          <w:tab w:val="left" w:pos="716"/>
        </w:tabs>
        <w:ind w:left="360" w:hanging="360"/>
      </w:pPr>
      <w:r>
        <w:t>Nedohodnou-li se Smluvní strany v konkrétním případě jinak, jsou veškeré informace, které získá jedna smluvní strana od druhé smluvní strany dle odstavce 11.2, a které nejsou obecně známé, považovány za dů</w:t>
      </w:r>
      <w:r>
        <w:t>věrné (dále jen „důvěrné informace") a strana, která je získala je povinna důvěrné informace uchovat v tajnosti a zajistit dostatečnou ochranu před přístupem nepovolaných osob k nim, nesmí důvěrné informace sdělit žádné další osobě, s výjimkou svých zaměst</w:t>
      </w:r>
      <w:r>
        <w:t xml:space="preserve">nanců a jiných osob, které jsou pověřeny činnostmi v rámci Smlouvy a se kterými dotyčná Smluvní strana uzavřela dohodu o zachování mlčenlivosti v obdobném rozsahu, jako stanoví Smlouva Smluvním stranám, a nesmí důvěrné informace použít za jiným účelem než </w:t>
      </w:r>
      <w:r>
        <w:t xml:space="preserve">k výkonu činností podle Smlouvy. V případě porušení povinnosti uvedené v tomto ustanovení Smlouvy se za každé jednotlivé porušení povinnosti Smlouvy Smluvní stranou sjednává smluvní pokuta ve výši 50.000,- Kč splatná na účet druhé Smluvní strany uvedený v </w:t>
      </w:r>
      <w:r>
        <w:t>čl. I Smlouvy.</w:t>
      </w:r>
    </w:p>
    <w:p w:rsidR="00F516CF" w:rsidRDefault="00987C44">
      <w:pPr>
        <w:pStyle w:val="Zkladntext20"/>
        <w:numPr>
          <w:ilvl w:val="0"/>
          <w:numId w:val="11"/>
        </w:numPr>
        <w:shd w:val="clear" w:color="auto" w:fill="auto"/>
        <w:tabs>
          <w:tab w:val="left" w:pos="716"/>
        </w:tabs>
        <w:ind w:left="360" w:hanging="360"/>
      </w:pPr>
      <w:r>
        <w:t>Povinnosti podle odstavce 11.3 platí beze změny po dobu dalších 10 let po skončení účinnosti ostatních ustanovení Smlouvy, ať k němu dojde z jakéhokoliv důvodu.</w:t>
      </w:r>
    </w:p>
    <w:p w:rsidR="00F516CF" w:rsidRDefault="00987C44">
      <w:pPr>
        <w:pStyle w:val="Zkladntext20"/>
        <w:numPr>
          <w:ilvl w:val="0"/>
          <w:numId w:val="11"/>
        </w:numPr>
        <w:shd w:val="clear" w:color="auto" w:fill="auto"/>
        <w:tabs>
          <w:tab w:val="left" w:pos="703"/>
        </w:tabs>
        <w:ind w:left="360" w:hanging="360"/>
      </w:pPr>
      <w:r>
        <w:lastRenderedPageBreak/>
        <w:t>Zveřejňuje-li kterákoliv ze Smluvních stran informace o Projektu nebo o výsledcí</w:t>
      </w:r>
      <w:r>
        <w:t>ch Projektu je povinna důsledně uvádět identifikační kód Projektu podle Centrální evidence projektů a dále tu skutečnost, že výsledek Projektu byl získán za finančního přispění Poskytovatele v rámci účelové podpory výzkumu, vývoje a inovací (tj. musí být u</w:t>
      </w:r>
      <w:r>
        <w:t>vedeno: „Tento projekt byl realizován za finanční podpory z prostředků státního rozpočtu prostřednictvím Ministerstva průmyslu a obchodu"). Současně je pak povinen uvést, že se jedná o Projekt řešený ve spolupráci s druhou Smluvní stranou a uvést její iden</w:t>
      </w:r>
      <w:r>
        <w:t>tifikační znaky. Zveřejněním nesmí být dotčena nebo ohrožena ochrana výsledků Projektu, jinak Smluvní strana odpovídá druhé Smluvní straně za způsobenou škodu.</w:t>
      </w:r>
    </w:p>
    <w:p w:rsidR="00F516CF" w:rsidRDefault="00987C44">
      <w:pPr>
        <w:pStyle w:val="Zkladntext20"/>
        <w:numPr>
          <w:ilvl w:val="0"/>
          <w:numId w:val="11"/>
        </w:numPr>
        <w:shd w:val="clear" w:color="auto" w:fill="auto"/>
        <w:tabs>
          <w:tab w:val="left" w:pos="703"/>
        </w:tabs>
        <w:ind w:left="360" w:hanging="360"/>
      </w:pPr>
      <w:r>
        <w:t xml:space="preserve">Smluvní strany se dohodly na níže uvedeném způsobu předávání výsledků do Rejstříku informací o </w:t>
      </w:r>
      <w:r>
        <w:t>výsledcích (dále jen „RIV") podle zákona č. 130/2002 Sb., o podpoře výzkumu, experimentálního vývoje a inovací z veřejných prostředků a o změně některých souvisejících zákonů, ve znění pozdějších předpisů:</w:t>
      </w:r>
    </w:p>
    <w:p w:rsidR="00F516CF" w:rsidRDefault="00987C44">
      <w:pPr>
        <w:pStyle w:val="Zkladntext20"/>
        <w:numPr>
          <w:ilvl w:val="0"/>
          <w:numId w:val="12"/>
        </w:numPr>
        <w:shd w:val="clear" w:color="auto" w:fill="auto"/>
        <w:tabs>
          <w:tab w:val="left" w:pos="1058"/>
        </w:tabs>
        <w:ind w:firstLine="0"/>
      </w:pPr>
      <w:r>
        <w:t>Příjemce a Další účastník projektu se zavazují sam</w:t>
      </w:r>
      <w:r>
        <w:t>ostatně předávat údaje o výsledcích vytvořených při realizaci Projektu do RIV v termínech a ve formě požadované zákonem o podpoře výzkumu a vývoje, pokud se obě Smluvní strany nedohodnou jinak.</w:t>
      </w:r>
    </w:p>
    <w:p w:rsidR="00F516CF" w:rsidRDefault="00987C44">
      <w:pPr>
        <w:pStyle w:val="Zkladntext20"/>
        <w:numPr>
          <w:ilvl w:val="0"/>
          <w:numId w:val="12"/>
        </w:numPr>
        <w:shd w:val="clear" w:color="auto" w:fill="auto"/>
        <w:tabs>
          <w:tab w:val="left" w:pos="1058"/>
        </w:tabs>
        <w:ind w:firstLine="0"/>
      </w:pPr>
      <w:r>
        <w:t>Způsob započítávání výsledků a podíl dedikací v rámci Projektu</w:t>
      </w:r>
      <w:r>
        <w:t xml:space="preserve"> bude stanoven na základě podílu, jímž Příjemce a Další účastník přispěli k dosažení započitatelných výsledků při realizaci Projektu. Pokud se Smluvní strany na výše uvedeném nedohodnou, zavazují se respektovat rozhodnutí, které v této věci vydá Poskytovat</w:t>
      </w:r>
      <w:r>
        <w:t>el nebo jiný věcně příslušný rozhodčí orgán.</w:t>
      </w:r>
    </w:p>
    <w:p w:rsidR="00F516CF" w:rsidRDefault="00987C44">
      <w:pPr>
        <w:pStyle w:val="Zkladntext20"/>
        <w:numPr>
          <w:ilvl w:val="0"/>
          <w:numId w:val="11"/>
        </w:numPr>
        <w:shd w:val="clear" w:color="auto" w:fill="auto"/>
        <w:tabs>
          <w:tab w:val="left" w:pos="703"/>
        </w:tabs>
        <w:ind w:left="360" w:hanging="360"/>
      </w:pPr>
      <w:r>
        <w:t>Podrobnosti využití výsledků Projektu nad rámec ujednání v této Smlouvě budou stanoveny ve Smlouvě o využití výsledků a případně v Poskytovatelem schváleném implementačním plánu výsledků projektu.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21" w:name="bookmark20"/>
      <w:r>
        <w:t>Článek XII</w:t>
      </w:r>
      <w:bookmarkEnd w:id="21"/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22" w:name="bookmark21"/>
      <w:r>
        <w:t>Odp</w:t>
      </w:r>
      <w:r>
        <w:t>ovědnost za škodu</w:t>
      </w:r>
      <w:bookmarkEnd w:id="22"/>
    </w:p>
    <w:p w:rsidR="00F516CF" w:rsidRDefault="00987C44">
      <w:pPr>
        <w:pStyle w:val="Zkladntext20"/>
        <w:shd w:val="clear" w:color="auto" w:fill="auto"/>
        <w:ind w:left="360" w:hanging="360"/>
      </w:pPr>
      <w:r>
        <w:t>0.1. Příjemce odpovídá Poskytovateli za zákonné použití poskytnuté podpory. Další účastník odpovídá Příjemci za škodu způsobenou porušením povinností vyplývajících z této Smlouvy a Smlouvy o poskytnutí podpory, a dalších dokumentů Poskyto</w:t>
      </w:r>
      <w:r>
        <w:t>vatele závazných pro program podpory.</w:t>
      </w:r>
    </w:p>
    <w:p w:rsidR="00F516CF" w:rsidRDefault="00987C44">
      <w:pPr>
        <w:pStyle w:val="Zkladntext20"/>
        <w:shd w:val="clear" w:color="auto" w:fill="auto"/>
        <w:ind w:left="360" w:hanging="360"/>
      </w:pPr>
      <w:r>
        <w:t>0.2. Další účastník bere na vědomí, že porušení některé z povinností Dalším účastníkem má za následek uplatnění sankčních ustanovení Smlouvy o poskytnutí podpory vůči Příjemci. V případě, že v důsledku porušení povinno</w:t>
      </w:r>
      <w:r>
        <w:t>sti Dalším účastníkem bude ze strany Poskytovatele Příjemci udělena pokuta nebo jiná peněžitá sankce, je Další účastník povinen tuto sankci Příjemci uhradit, a to do 30 dnů od doručení písemné výzvy k úhradě.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23" w:name="bookmark22"/>
      <w:r>
        <w:t>Článek XIII</w:t>
      </w:r>
      <w:bookmarkEnd w:id="23"/>
    </w:p>
    <w:p w:rsidR="00F516CF" w:rsidRDefault="00987C44">
      <w:pPr>
        <w:pStyle w:val="Zkladntext30"/>
        <w:shd w:val="clear" w:color="auto" w:fill="auto"/>
        <w:spacing w:line="220" w:lineRule="exact"/>
        <w:jc w:val="left"/>
      </w:pPr>
      <w:r>
        <w:t xml:space="preserve">Doba trvání Smlouvy, odstoupení od </w:t>
      </w:r>
      <w:r>
        <w:t>Smlouvy a smluvní sankce</w:t>
      </w:r>
    </w:p>
    <w:p w:rsidR="00F516CF" w:rsidRDefault="00987C44">
      <w:pPr>
        <w:pStyle w:val="Zkladntext20"/>
        <w:numPr>
          <w:ilvl w:val="0"/>
          <w:numId w:val="13"/>
        </w:numPr>
        <w:shd w:val="clear" w:color="auto" w:fill="auto"/>
        <w:tabs>
          <w:tab w:val="left" w:pos="533"/>
        </w:tabs>
        <w:ind w:left="360" w:hanging="360"/>
      </w:pPr>
      <w:r>
        <w:t>Smlouva nabývá účinnosti dnem jejího podpisu zástupci obou Smluvních stran. Smlouva se uzavírá na dobu určitou, a to do úplného splnění všech závazků obou smluvních stran vyplývajících z této smlouvy, nejpozději však do 180 dní ode</w:t>
      </w:r>
      <w:r>
        <w:t xml:space="preserve"> dne ukončení řešení projektu. Smluvní strany se dohodly, že v případě zániku právního vztahu založeného touto Smlouvou zůstávají v platnosti a účinnosti i nadále ustanovení, z jejichž povahy vyplývá, že mají zůstat nedotčena zánikem právního vztahu založe</w:t>
      </w:r>
      <w:r>
        <w:t>ného touto smlouvou.</w:t>
      </w:r>
    </w:p>
    <w:p w:rsidR="00F516CF" w:rsidRDefault="00987C44">
      <w:pPr>
        <w:pStyle w:val="Zkladntext20"/>
        <w:numPr>
          <w:ilvl w:val="0"/>
          <w:numId w:val="13"/>
        </w:numPr>
        <w:shd w:val="clear" w:color="auto" w:fill="auto"/>
        <w:tabs>
          <w:tab w:val="left" w:pos="533"/>
        </w:tabs>
        <w:ind w:left="360" w:hanging="360"/>
      </w:pPr>
      <w:r>
        <w:t>Příjemce je oprávněn od Smlouvy odstoupit v případě, kdy se prokáže, že údaje předané Dalším účastníkem projektu před uzavřením Smlouvy, které představovaly podmínky, na jejichž splnění bylo vázáno uzavření Smlouvy, jsou nepravdivé, ne</w:t>
      </w:r>
      <w:r>
        <w:t>bo v případě, že další účastník neplní své povinnosti ze Smlouvy ani na základě písemné výzvy k plnění zaslané Příjemcem.</w:t>
      </w:r>
    </w:p>
    <w:p w:rsidR="00F516CF" w:rsidRDefault="00987C44">
      <w:pPr>
        <w:pStyle w:val="Zkladntext20"/>
        <w:numPr>
          <w:ilvl w:val="0"/>
          <w:numId w:val="13"/>
        </w:numPr>
        <w:shd w:val="clear" w:color="auto" w:fill="auto"/>
        <w:tabs>
          <w:tab w:val="left" w:pos="592"/>
        </w:tabs>
        <w:ind w:left="360" w:hanging="360"/>
      </w:pPr>
      <w:r>
        <w:t>Další účastník je oprávněn od Smlouvy odstoupit v případě, kdy se prokáže, že údaje předané Příjemcem projektu před uzavřením Smlouvy,</w:t>
      </w:r>
      <w:r>
        <w:t xml:space="preserve"> které představovaly podmínky, na jejichž splnění bylo vázáno uzavření Smlouvy, jsou nepravdivé, nebo v případě, že Příjemce neplní své povinnosti ze Smlouvy ani na základě písemné výzvy k plnění zaslané Dalším účastníkem.</w:t>
      </w:r>
    </w:p>
    <w:p w:rsidR="00F516CF" w:rsidRDefault="00987C44">
      <w:pPr>
        <w:pStyle w:val="Zkladntext20"/>
        <w:numPr>
          <w:ilvl w:val="0"/>
          <w:numId w:val="13"/>
        </w:numPr>
        <w:shd w:val="clear" w:color="auto" w:fill="auto"/>
        <w:tabs>
          <w:tab w:val="left" w:pos="592"/>
        </w:tabs>
        <w:ind w:left="360" w:hanging="360"/>
      </w:pPr>
      <w:r>
        <w:t xml:space="preserve">Pokud Další účastník odstoupí od </w:t>
      </w:r>
      <w:r>
        <w:t>Smlouvy dle předchozího odstavce, Příjemce nebude po Dalším účastníkovi požadovat část dotace, která mu byla na základě Smlouvy poskytnuta, a to včetně případného majetkového prospěchu získaného v souvislosti s použitím této dotace.</w:t>
      </w:r>
    </w:p>
    <w:p w:rsidR="00F516CF" w:rsidRDefault="00987C44">
      <w:pPr>
        <w:pStyle w:val="Zkladntext20"/>
        <w:numPr>
          <w:ilvl w:val="0"/>
          <w:numId w:val="13"/>
        </w:numPr>
        <w:shd w:val="clear" w:color="auto" w:fill="auto"/>
        <w:tabs>
          <w:tab w:val="left" w:pos="592"/>
        </w:tabs>
        <w:ind w:left="360" w:hanging="360"/>
      </w:pPr>
      <w:r>
        <w:t>Další účastník projektu</w:t>
      </w:r>
      <w:r>
        <w:t xml:space="preserve"> je dále oprávněn odstoupit od Smlouvy z toho důvodu, že Příjemce neplní podmínky vyplývající ze Smlouvy nebo že Příjemce není schopen prokázat, že je stále </w:t>
      </w:r>
      <w:r>
        <w:lastRenderedPageBreak/>
        <w:t xml:space="preserve">způsobilý pro řešení projektu. V takovém případě Další účastník projektu veškerou dotaci, která mu </w:t>
      </w:r>
      <w:r>
        <w:t>byla na základě Smlouvy poskytnuta, včetně případného majetkového prospěchu získaného v souvislosti s použitím této účelové podpory, Příjemci nevrací.</w:t>
      </w:r>
    </w:p>
    <w:p w:rsidR="00F516CF" w:rsidRDefault="00987C44">
      <w:pPr>
        <w:pStyle w:val="Zkladntext20"/>
        <w:numPr>
          <w:ilvl w:val="0"/>
          <w:numId w:val="13"/>
        </w:numPr>
        <w:shd w:val="clear" w:color="auto" w:fill="auto"/>
        <w:tabs>
          <w:tab w:val="left" w:pos="592"/>
        </w:tabs>
        <w:ind w:left="360" w:hanging="360"/>
      </w:pPr>
      <w:r>
        <w:t>Odstoupení od Smlouvy je účinné uplynutím 2 měsíců od jeho doručení druhé Smluvní straně. O ukončení řeše</w:t>
      </w:r>
      <w:r>
        <w:t>ní projektu však rozhoduje Poskytovatel.</w:t>
      </w:r>
    </w:p>
    <w:p w:rsidR="00F516CF" w:rsidRDefault="00987C44">
      <w:pPr>
        <w:pStyle w:val="Zkladntext20"/>
        <w:numPr>
          <w:ilvl w:val="0"/>
          <w:numId w:val="13"/>
        </w:numPr>
        <w:shd w:val="clear" w:color="auto" w:fill="auto"/>
        <w:tabs>
          <w:tab w:val="left" w:pos="592"/>
        </w:tabs>
        <w:ind w:left="360" w:hanging="360"/>
      </w:pPr>
      <w:r>
        <w:t xml:space="preserve">Poruší-li Příjemce povinnost poskytnout Dalšímu účastníkovi projektu část dotace pro daný kalendářní rok nebo poskytne-li část dotace pro daný kalendářní rok opožděně, je Příjemce s výjimkou případu popsaného v čl. </w:t>
      </w:r>
      <w:r>
        <w:t>8.11 Smlouvy povinen uhradit Dalšímu účastníkovi projektu smluvní pokutu ve výši 1 promile za každý den prodlení z částky, která měla být Dalšímu účastníkovi projektu poskytnuta. Lhůta prodlení počíná běžet následující den po doručení výzvy k poskytnutí čá</w:t>
      </w:r>
      <w:r>
        <w:t>sti dotace.</w:t>
      </w:r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24" w:name="bookmark23"/>
      <w:r>
        <w:t>Článek XIV</w:t>
      </w:r>
      <w:bookmarkEnd w:id="24"/>
    </w:p>
    <w:p w:rsidR="00F516CF" w:rsidRDefault="00987C4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25" w:name="bookmark24"/>
      <w:r>
        <w:t>Závěrečná ustanovení</w:t>
      </w:r>
      <w:bookmarkEnd w:id="25"/>
    </w:p>
    <w:p w:rsidR="00F516CF" w:rsidRDefault="00987C44">
      <w:pPr>
        <w:pStyle w:val="Zkladntext20"/>
        <w:numPr>
          <w:ilvl w:val="0"/>
          <w:numId w:val="14"/>
        </w:numPr>
        <w:shd w:val="clear" w:color="auto" w:fill="auto"/>
        <w:tabs>
          <w:tab w:val="left" w:pos="592"/>
        </w:tabs>
        <w:ind w:left="360" w:hanging="360"/>
      </w:pPr>
      <w:r>
        <w:t>Údaje o Projektu musí být označené kódem důvěrnosti: C - předmět řešení projektu podléhá obchodnímu tajemství.</w:t>
      </w:r>
    </w:p>
    <w:p w:rsidR="00F516CF" w:rsidRDefault="00987C44">
      <w:pPr>
        <w:pStyle w:val="Zkladntext20"/>
        <w:numPr>
          <w:ilvl w:val="0"/>
          <w:numId w:val="14"/>
        </w:numPr>
        <w:shd w:val="clear" w:color="auto" w:fill="auto"/>
        <w:tabs>
          <w:tab w:val="left" w:pos="592"/>
        </w:tabs>
        <w:ind w:left="360" w:hanging="360"/>
      </w:pPr>
      <w:r>
        <w:t>Smluvní strany se dohodly, že případné spory vzniklé při realizaci Smlouvy budou řešit vzájemnou doho</w:t>
      </w:r>
      <w:r>
        <w:t>dou. Pokud by se nepodařilo dosáhnout smírného řešení v přiměřené době, má kterákoli ze Smluvních stran právo předložit spornou záležitost soudu.</w:t>
      </w:r>
    </w:p>
    <w:p w:rsidR="00F516CF" w:rsidRDefault="00987C44">
      <w:pPr>
        <w:pStyle w:val="Zkladntext20"/>
        <w:numPr>
          <w:ilvl w:val="0"/>
          <w:numId w:val="14"/>
        </w:numPr>
        <w:shd w:val="clear" w:color="auto" w:fill="auto"/>
        <w:tabs>
          <w:tab w:val="left" w:pos="592"/>
        </w:tabs>
        <w:ind w:left="360" w:hanging="360"/>
      </w:pPr>
      <w:r>
        <w:t xml:space="preserve">Smlouva může zaniknout úplným splněním všech závazků všech smluvních stran, které z ní vyplývají, odstoupením </w:t>
      </w:r>
      <w:r>
        <w:t xml:space="preserve">od Smlouvy podle ustanovení čl. XIII. Smlouvy a/nebo písemnou dohodou Smluvních stran, ve které budou mezi Příjemcem a Dalším účastníkem sjednány podmínky ukončení Smlouvy. Nedílnou součástí dohody o ukončení Smlouvy bude řádné vyúčtování všech finančních </w:t>
      </w:r>
      <w:r>
        <w:t>prostředků, které byly na řešení Projektu Smluvními stranami vynaloženy.</w:t>
      </w:r>
    </w:p>
    <w:p w:rsidR="00F516CF" w:rsidRDefault="00987C44">
      <w:pPr>
        <w:pStyle w:val="Zkladntext20"/>
        <w:numPr>
          <w:ilvl w:val="0"/>
          <w:numId w:val="14"/>
        </w:numPr>
        <w:shd w:val="clear" w:color="auto" w:fill="auto"/>
        <w:tabs>
          <w:tab w:val="left" w:pos="592"/>
        </w:tabs>
        <w:ind w:left="360" w:hanging="360"/>
      </w:pPr>
      <w:r>
        <w:t>Příjemce i další účastník souhlasí s tím, že údaje o projektu budou uloženy v Informačním systému výzkumu, vývoje a inovací v souladu s obsahem HLAVY VII zákona č. 130/2002Sb.</w:t>
      </w:r>
    </w:p>
    <w:p w:rsidR="00F516CF" w:rsidRDefault="00987C44">
      <w:pPr>
        <w:pStyle w:val="Zkladntext20"/>
        <w:numPr>
          <w:ilvl w:val="0"/>
          <w:numId w:val="14"/>
        </w:numPr>
        <w:shd w:val="clear" w:color="auto" w:fill="auto"/>
        <w:tabs>
          <w:tab w:val="left" w:pos="592"/>
        </w:tabs>
        <w:ind w:left="360" w:hanging="360"/>
      </w:pPr>
      <w:r>
        <w:t xml:space="preserve">Vztahy </w:t>
      </w:r>
      <w:r>
        <w:t>Smlouvou neupravené se řídí právními předpisy platnými v České republice, zejména zák. č. 89/2012 Sb., občanský zákoník a zák. č. 130/2002 Sb., o podpoře výzkumu, experimentálního vývoje a inovací z veřejných prostředků a o změně některých souvisejících zá</w:t>
      </w:r>
      <w:r>
        <w:t>konů, v platném znění.</w:t>
      </w:r>
    </w:p>
    <w:p w:rsidR="00F516CF" w:rsidRDefault="00987C44">
      <w:pPr>
        <w:pStyle w:val="Zkladntext20"/>
        <w:numPr>
          <w:ilvl w:val="0"/>
          <w:numId w:val="14"/>
        </w:numPr>
        <w:shd w:val="clear" w:color="auto" w:fill="auto"/>
        <w:tabs>
          <w:tab w:val="left" w:pos="592"/>
        </w:tabs>
        <w:ind w:firstLine="0"/>
      </w:pPr>
      <w:r>
        <w:t>Ačkoliv v době uzavření této smlouvy ještě není podmínkou její platnosti a účinnosti její uveřejnění v registru smluv podle zákona č. 340/2015 Sb., o registru smluv, souhlasí smluvní strany s jejím uveřejněním v tomto registru, které</w:t>
      </w:r>
      <w:r>
        <w:t xml:space="preserve"> je oprávněno zajistit VÚRV, v.v.i.; pro účely jejího uveřejnění nepovažují smluvní strany nic z obsahu této smlouvy ani z metadat k ní se vážících za vyloučené z uveřejnění.</w:t>
      </w:r>
    </w:p>
    <w:p w:rsidR="00F516CF" w:rsidRDefault="00987C44">
      <w:pPr>
        <w:pStyle w:val="Zkladntext20"/>
        <w:numPr>
          <w:ilvl w:val="0"/>
          <w:numId w:val="14"/>
        </w:numPr>
        <w:shd w:val="clear" w:color="auto" w:fill="auto"/>
        <w:tabs>
          <w:tab w:val="left" w:pos="592"/>
        </w:tabs>
        <w:ind w:left="360" w:hanging="360"/>
      </w:pPr>
      <w:r>
        <w:t>Změny a doplňky Smlouvy mohou být prováděny pouze dohodou Smluvních stran, a to f</w:t>
      </w:r>
      <w:r>
        <w:t>ormou písemných číslovaných dodatků ke Smlouvě. Práva a povinnosti dle této Smlouvy není Další účastník oprávněn převést na třetí osobu bez předchozího písemného souhlasu Příjemce.</w:t>
      </w:r>
    </w:p>
    <w:p w:rsidR="00F516CF" w:rsidRDefault="00987C44">
      <w:pPr>
        <w:pStyle w:val="Zkladntext20"/>
        <w:numPr>
          <w:ilvl w:val="0"/>
          <w:numId w:val="14"/>
        </w:numPr>
        <w:shd w:val="clear" w:color="auto" w:fill="auto"/>
        <w:tabs>
          <w:tab w:val="left" w:pos="592"/>
        </w:tabs>
        <w:ind w:left="360" w:hanging="360"/>
      </w:pPr>
      <w:r>
        <w:t>Smlouva je vyhotovena ve 3 vyhotoveních s platností originálu, z nichž 1 vy</w:t>
      </w:r>
      <w:r>
        <w:t>hotovení obdrží Příjemce, 1 vyhotovení Další účastník a 1 vyhotovení je určeno pro Poskytovatele.</w:t>
      </w:r>
    </w:p>
    <w:p w:rsidR="00F516CF" w:rsidRDefault="00987C44">
      <w:pPr>
        <w:pStyle w:val="Zkladntext20"/>
        <w:numPr>
          <w:ilvl w:val="0"/>
          <w:numId w:val="14"/>
        </w:numPr>
        <w:shd w:val="clear" w:color="auto" w:fill="auto"/>
        <w:tabs>
          <w:tab w:val="left" w:pos="641"/>
        </w:tabs>
        <w:ind w:left="360" w:hanging="360"/>
      </w:pPr>
      <w:r>
        <w:t xml:space="preserve">Příjemce a Další účastník tímto prohlašují, že uzavření této Smlouvy proběhlo plně v souladu s jejich interními předpisy a jsou si plně vědomy závazků, které </w:t>
      </w:r>
      <w:r>
        <w:t>uzavřením této Smlouvy přebírají.</w:t>
      </w:r>
    </w:p>
    <w:p w:rsidR="00F516CF" w:rsidRDefault="00987C44">
      <w:pPr>
        <w:pStyle w:val="Zkladntext20"/>
        <w:shd w:val="clear" w:color="auto" w:fill="auto"/>
        <w:ind w:left="360" w:hanging="360"/>
      </w:pPr>
      <w:r>
        <w:t>Seznam příloh:</w:t>
      </w:r>
    </w:p>
    <w:p w:rsidR="00F516CF" w:rsidRDefault="00987C44">
      <w:pPr>
        <w:pStyle w:val="Zkladntext20"/>
        <w:shd w:val="clear" w:color="auto" w:fill="auto"/>
        <w:ind w:firstLine="0"/>
      </w:pPr>
      <w:r>
        <w:t>Příloha č. 1 - Smlouva č. FV10213 uzavřená mezi MPO (poskytovatel) a Workswell s.r.o. (příjemce) Příloha č. 2 - Návrh Projektu</w:t>
      </w:r>
    </w:p>
    <w:p w:rsidR="00F516CF" w:rsidRDefault="00987C44">
      <w:pPr>
        <w:pStyle w:val="Nadpis40"/>
        <w:keepNext/>
        <w:keepLines/>
        <w:shd w:val="clear" w:color="auto" w:fill="auto"/>
        <w:spacing w:line="280" w:lineRule="exact"/>
      </w:pPr>
      <w:bookmarkStart w:id="26" w:name="bookmark25"/>
      <w:r>
        <w:t>2</w:t>
      </w:r>
      <w:r>
        <w:rPr>
          <w:rStyle w:val="Nadpis4Calibri4ptMtko100"/>
        </w:rPr>
        <w:t xml:space="preserve"> </w:t>
      </w:r>
      <w:r>
        <w:t>8</w:t>
      </w:r>
      <w:r>
        <w:rPr>
          <w:rStyle w:val="Nadpis4Calibri4ptMtko100"/>
        </w:rPr>
        <w:t xml:space="preserve"> -</w:t>
      </w:r>
      <w:r>
        <w:t>11</w:t>
      </w:r>
      <w:r>
        <w:rPr>
          <w:rStyle w:val="Nadpis4Calibri4ptMtko100"/>
        </w:rPr>
        <w:t xml:space="preserve">- </w:t>
      </w:r>
      <w:r>
        <w:t>2016</w:t>
      </w:r>
      <w:bookmarkEnd w:id="26"/>
    </w:p>
    <w:p w:rsidR="00F516CF" w:rsidRDefault="00987C44">
      <w:pPr>
        <w:pStyle w:val="Zkladntext20"/>
        <w:shd w:val="clear" w:color="auto" w:fill="auto"/>
        <w:spacing w:line="220" w:lineRule="exact"/>
        <w:ind w:firstLine="0"/>
      </w:pPr>
      <w:r>
        <w:rPr>
          <w:rStyle w:val="Zkladntext22"/>
        </w:rPr>
        <w:t>V Praze, dne</w:t>
      </w:r>
    </w:p>
    <w:p w:rsidR="00F516CF" w:rsidRDefault="00987C44">
      <w:pPr>
        <w:pStyle w:val="Zkladntext20"/>
        <w:shd w:val="clear" w:color="auto" w:fill="auto"/>
        <w:spacing w:line="220" w:lineRule="exact"/>
        <w:ind w:firstLine="0"/>
      </w:pPr>
      <w:r>
        <w:rPr>
          <w:rStyle w:val="Zkladntext22"/>
        </w:rPr>
        <w:t>2016</w:t>
      </w:r>
    </w:p>
    <w:p w:rsidR="00F516CF" w:rsidRDefault="00987C44">
      <w:pPr>
        <w:pStyle w:val="Zkladntext20"/>
        <w:shd w:val="clear" w:color="auto" w:fill="auto"/>
        <w:tabs>
          <w:tab w:val="left" w:leader="dot" w:pos="1951"/>
        </w:tabs>
        <w:spacing w:line="220" w:lineRule="exact"/>
        <w:ind w:firstLine="0"/>
      </w:pPr>
      <w:r>
        <w:rPr>
          <w:rStyle w:val="Zkladntext22"/>
        </w:rPr>
        <w:t>V Praze, dne</w:t>
      </w:r>
      <w:r>
        <w:rPr>
          <w:rStyle w:val="Zkladntext22"/>
        </w:rPr>
        <w:tab/>
        <w:t xml:space="preserve"> 2016</w:t>
      </w:r>
    </w:p>
    <w:p w:rsidR="00F516CF" w:rsidRDefault="00987C44">
      <w:pPr>
        <w:pStyle w:val="Zkladntext20"/>
        <w:shd w:val="clear" w:color="auto" w:fill="auto"/>
        <w:spacing w:line="220" w:lineRule="exact"/>
        <w:ind w:firstLine="0"/>
        <w:sectPr w:rsidR="00F516CF">
          <w:footerReference w:type="default" r:id="rId8"/>
          <w:pgSz w:w="11909" w:h="16840"/>
          <w:pgMar w:top="1430" w:right="1390" w:bottom="1360" w:left="1327" w:header="0" w:footer="3" w:gutter="0"/>
          <w:cols w:space="720"/>
          <w:noEndnote/>
          <w:titlePg/>
          <w:docGrid w:linePitch="360"/>
        </w:sectPr>
      </w:pPr>
      <w:r>
        <w:t>za Příjemce:</w:t>
      </w:r>
    </w:p>
    <w:p w:rsidR="00F516CF" w:rsidRDefault="00987C44">
      <w:pPr>
        <w:pStyle w:val="Nadpis30"/>
        <w:keepNext/>
        <w:keepLines/>
        <w:shd w:val="clear" w:color="auto" w:fill="auto"/>
        <w:spacing w:line="260" w:lineRule="exact"/>
      </w:pPr>
      <w:bookmarkStart w:id="27" w:name="bookmark26"/>
      <w:r>
        <w:t>CU-"</w:t>
      </w:r>
      <w:bookmarkEnd w:id="27"/>
    </w:p>
    <w:p w:rsidR="00F516CF" w:rsidRDefault="00987C44">
      <w:pPr>
        <w:pStyle w:val="Zkladntext20"/>
        <w:shd w:val="clear" w:color="auto" w:fill="auto"/>
        <w:spacing w:line="263" w:lineRule="exact"/>
        <w:ind w:firstLine="0"/>
      </w:pPr>
      <w:r>
        <w:rPr>
          <w:rStyle w:val="Zkladntext22"/>
        </w:rPr>
        <w:t>Ing. Jan Sova jednatel společnosti, Workswell s.r.o.</w:t>
      </w:r>
    </w:p>
    <w:p w:rsidR="00F516CF" w:rsidRDefault="00987C44">
      <w:pPr>
        <w:pStyle w:val="Nadpis10"/>
        <w:keepNext/>
        <w:keepLines/>
        <w:shd w:val="clear" w:color="auto" w:fill="auto"/>
        <w:spacing w:line="360" w:lineRule="exact"/>
      </w:pPr>
      <w:bookmarkStart w:id="28" w:name="bookmark27"/>
      <w:r>
        <w:rPr>
          <w:rStyle w:val="Nadpis1Garamond18ptTun"/>
        </w:rPr>
        <w:lastRenderedPageBreak/>
        <w:t>ft%Vo</w:t>
      </w:r>
      <w:r>
        <w:t>^</w:t>
      </w:r>
      <w:r>
        <w:rPr>
          <w:vertAlign w:val="subscript"/>
        </w:rPr>
        <w:t>o(itaha6</w:t>
      </w:r>
      <w:bookmarkEnd w:id="28"/>
    </w:p>
    <w:p w:rsidR="00F516CF" w:rsidRDefault="00987C44">
      <w:pPr>
        <w:pStyle w:val="Nadpis20"/>
        <w:keepNext/>
        <w:keepLines/>
        <w:shd w:val="clear" w:color="auto" w:fill="auto"/>
        <w:spacing w:line="170" w:lineRule="exact"/>
      </w:pPr>
      <w:bookmarkStart w:id="29" w:name="bookmark28"/>
      <w:r>
        <w:t>,</w:t>
      </w:r>
      <w:r>
        <w:rPr>
          <w:vertAlign w:val="subscript"/>
        </w:rPr>
        <w:t>t</w:t>
      </w:r>
      <w:r>
        <w:rPr>
          <w:vertAlign w:val="superscript"/>
        </w:rPr>
        <w:t>£</w:t>
      </w:r>
      <w:r>
        <w:rPr>
          <w:vertAlign w:val="subscript"/>
        </w:rPr>
        <w:t>29</w:t>
      </w:r>
      <w:r>
        <w:t>tsS7Š°</w:t>
      </w:r>
      <w:r>
        <w:rPr>
          <w:vertAlign w:val="subscript"/>
        </w:rPr>
        <w:t>D</w:t>
      </w:r>
      <w:r>
        <w:t>'</w:t>
      </w:r>
      <w:r>
        <w:rPr>
          <w:vertAlign w:val="superscript"/>
        </w:rPr>
        <w:t>£</w:t>
      </w:r>
      <w:r>
        <w:t>--</w:t>
      </w:r>
      <w:r>
        <w:rPr>
          <w:vertAlign w:val="superscript"/>
        </w:rPr>
        <w:t>CW9048575</w:t>
      </w:r>
      <w:bookmarkEnd w:id="29"/>
    </w:p>
    <w:p w:rsidR="00F516CF" w:rsidRDefault="004756FA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390525"/>
            <wp:effectExtent l="0" t="0" r="9525" b="9525"/>
            <wp:docPr id="2" name="obrázek 2" descr="C:\Users\JANOSK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OSK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CF" w:rsidRDefault="00987C44">
      <w:pPr>
        <w:pStyle w:val="Titulekobrzku0"/>
        <w:shd w:val="clear" w:color="auto" w:fill="auto"/>
        <w:spacing w:line="220" w:lineRule="exact"/>
      </w:pPr>
      <w:r>
        <w:t>za Dalšího účastníka:</w:t>
      </w:r>
    </w:p>
    <w:p w:rsidR="00F516CF" w:rsidRDefault="004756FA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0725" cy="1752600"/>
            <wp:effectExtent l="0" t="0" r="9525" b="0"/>
            <wp:docPr id="3" name="obrázek 3" descr="C:\Users\JANOSK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OSK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CF" w:rsidRDefault="00F516CF">
      <w:pPr>
        <w:rPr>
          <w:sz w:val="2"/>
          <w:szCs w:val="2"/>
        </w:rPr>
      </w:pPr>
    </w:p>
    <w:sectPr w:rsidR="00F516CF">
      <w:type w:val="continuous"/>
      <w:pgSz w:w="11909" w:h="16840"/>
      <w:pgMar w:top="1400" w:right="1440" w:bottom="1022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44" w:rsidRDefault="00987C44">
      <w:r>
        <w:separator/>
      </w:r>
    </w:p>
  </w:endnote>
  <w:endnote w:type="continuationSeparator" w:id="0">
    <w:p w:rsidR="00987C44" w:rsidRDefault="0098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F" w:rsidRDefault="004756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10212705</wp:posOffset>
              </wp:positionV>
              <wp:extent cx="756920" cy="162560"/>
              <wp:effectExtent l="254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CF" w:rsidRDefault="00987C4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56FA" w:rsidRPr="004756FA">
                            <w:rPr>
                              <w:rStyle w:val="ZhlavneboZpat1"/>
                              <w:noProof/>
                            </w:rPr>
                            <w:t>9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2pt;margin-top:804.15pt;width:59.6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SXqAIAAKY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" filled="f" stroked="f">
              <v:textbox style="mso-fit-shape-to-text:t" inset="0,0,0,0">
                <w:txbxContent>
                  <w:p w:rsidR="00F516CF" w:rsidRDefault="00987C4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56FA" w:rsidRPr="004756FA">
                      <w:rPr>
                        <w:rStyle w:val="ZhlavneboZpat1"/>
                        <w:noProof/>
                      </w:rPr>
                      <w:t>9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44" w:rsidRDefault="00987C44"/>
  </w:footnote>
  <w:footnote w:type="continuationSeparator" w:id="0">
    <w:p w:rsidR="00987C44" w:rsidRDefault="00987C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735A"/>
    <w:multiLevelType w:val="multilevel"/>
    <w:tmpl w:val="39249620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20394"/>
    <w:multiLevelType w:val="multilevel"/>
    <w:tmpl w:val="E7DED964"/>
    <w:lvl w:ilvl="0">
      <w:start w:val="1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A7199"/>
    <w:multiLevelType w:val="multilevel"/>
    <w:tmpl w:val="A188606C"/>
    <w:lvl w:ilvl="0">
      <w:start w:val="1"/>
      <w:numFmt w:val="decimal"/>
      <w:lvlText w:val="8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111E99"/>
    <w:multiLevelType w:val="multilevel"/>
    <w:tmpl w:val="334EA468"/>
    <w:lvl w:ilvl="0">
      <w:start w:val="1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14A40"/>
    <w:multiLevelType w:val="multilevel"/>
    <w:tmpl w:val="7EAAD5F8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0938C0"/>
    <w:multiLevelType w:val="multilevel"/>
    <w:tmpl w:val="C4FA3154"/>
    <w:lvl w:ilvl="0">
      <w:start w:val="1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1D079C"/>
    <w:multiLevelType w:val="multilevel"/>
    <w:tmpl w:val="26C01E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D62147"/>
    <w:multiLevelType w:val="multilevel"/>
    <w:tmpl w:val="B59A4808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4700EC"/>
    <w:multiLevelType w:val="multilevel"/>
    <w:tmpl w:val="2ACC40BC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17C6B"/>
    <w:multiLevelType w:val="multilevel"/>
    <w:tmpl w:val="BB4621B8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0B357D"/>
    <w:multiLevelType w:val="multilevel"/>
    <w:tmpl w:val="8976F5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397B85"/>
    <w:multiLevelType w:val="multilevel"/>
    <w:tmpl w:val="D8D88CC8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AE74E9"/>
    <w:multiLevelType w:val="multilevel"/>
    <w:tmpl w:val="9B00C03E"/>
    <w:lvl w:ilvl="0">
      <w:start w:val="1"/>
      <w:numFmt w:val="decimal"/>
      <w:lvlText w:val="1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39757D"/>
    <w:multiLevelType w:val="multilevel"/>
    <w:tmpl w:val="13E0C6CA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F"/>
    <w:rsid w:val="004756FA"/>
    <w:rsid w:val="00987C44"/>
    <w:rsid w:val="00F5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20481-8587-423B-A72A-88D07C51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4Calibri4ptMtko100">
    <w:name w:val="Nadpis #4 + Calibri;4 pt;Měřítko 100%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Garamond18ptTun">
    <w:name w:val="Nadpis #1 + Garamond;18 pt;Tučné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exact"/>
      <w:ind w:hanging="860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66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Sylfaen" w:eastAsia="Sylfaen" w:hAnsi="Sylfaen" w:cs="Sylfaen"/>
      <w:w w:val="60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Sylfaen" w:eastAsia="Sylfaen" w:hAnsi="Sylfaen" w:cs="Sylfaen"/>
      <w:spacing w:val="-2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-10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4481</Words>
  <Characters>26440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KM_C258-20161201145458</vt:lpstr>
    </vt:vector>
  </TitlesOfParts>
  <Company>Hewlett-Packard Company</Company>
  <LinksUpToDate>false</LinksUpToDate>
  <CharactersWithSpaces>30860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KM_C258-20161201145458</dc:title>
  <dc:subject/>
  <dc:creator>Janoskova Olga</dc:creator>
  <cp:keywords/>
  <cp:lastModifiedBy>Janoskova Olga</cp:lastModifiedBy>
  <cp:revision>1</cp:revision>
  <dcterms:created xsi:type="dcterms:W3CDTF">2016-12-07T11:41:00Z</dcterms:created>
  <dcterms:modified xsi:type="dcterms:W3CDTF">2016-12-07T11:45:00Z</dcterms:modified>
</cp:coreProperties>
</file>