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</w:rPr>
      </w:pPr>
    </w:p>
    <w:p w:rsidR="009D4C4F" w:rsidRPr="00226494" w:rsidRDefault="009D4C4F" w:rsidP="009D4C4F">
      <w:pPr>
        <w:rPr>
          <w:rFonts w:ascii="Arial" w:eastAsia="Times New Roman" w:hAnsi="Arial" w:cs="Arial"/>
          <w:b/>
          <w:color w:val="0000FF"/>
        </w:rPr>
      </w:pPr>
      <w:r w:rsidRPr="00226494">
        <w:rPr>
          <w:rFonts w:ascii="Arial" w:hAnsi="Arial" w:cs="Arial"/>
          <w:b/>
        </w:rPr>
        <w:t>Sociální služby v Kynšperku nad Ohří, příspěvková organizace</w:t>
      </w:r>
    </w:p>
    <w:p w:rsidR="009D4C4F" w:rsidRDefault="009D4C4F" w:rsidP="009D4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Pochlovická</w:t>
      </w:r>
      <w:proofErr w:type="spellEnd"/>
      <w:r>
        <w:rPr>
          <w:rFonts w:ascii="Arial" w:hAnsi="Arial" w:cs="Arial"/>
        </w:rPr>
        <w:t xml:space="preserve"> 57, 357 51 Kynšperk nad </w:t>
      </w:r>
      <w:proofErr w:type="gramStart"/>
      <w:r>
        <w:rPr>
          <w:rFonts w:ascii="Arial" w:hAnsi="Arial" w:cs="Arial"/>
        </w:rPr>
        <w:t>Ohří</w:t>
      </w:r>
      <w:r w:rsidR="00611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11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Dolní</w:t>
      </w:r>
      <w:proofErr w:type="gramEnd"/>
      <w:r>
        <w:rPr>
          <w:rFonts w:ascii="Arial" w:hAnsi="Arial" w:cs="Arial"/>
        </w:rPr>
        <w:t xml:space="preserve"> Pochlovice</w:t>
      </w:r>
    </w:p>
    <w:p w:rsidR="009D4C4F" w:rsidRDefault="009D4C4F" w:rsidP="009D4C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</w:t>
      </w:r>
      <w:r w:rsidR="00A02108">
        <w:rPr>
          <w:rFonts w:ascii="Arial" w:hAnsi="Arial" w:cs="Arial"/>
        </w:rPr>
        <w:tab/>
      </w:r>
      <w:proofErr w:type="gramEnd"/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70832641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4C4F" w:rsidRDefault="009D4C4F" w:rsidP="009D4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</w:p>
    <w:p w:rsidR="009D4C4F" w:rsidRDefault="009D4C4F" w:rsidP="009D4C4F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 xml:space="preserve">spojení: </w:t>
      </w:r>
      <w:r w:rsidR="00A02108">
        <w:rPr>
          <w:rFonts w:ascii="Arial" w:hAnsi="Arial" w:cs="Arial"/>
        </w:rPr>
        <w:t xml:space="preserve">  </w:t>
      </w:r>
      <w:proofErr w:type="gramEnd"/>
      <w:r w:rsidR="00A0210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Komerční banka a.s.</w:t>
      </w:r>
    </w:p>
    <w:p w:rsidR="009D4C4F" w:rsidRDefault="009D4C4F" w:rsidP="009D4C4F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</w:t>
      </w:r>
      <w:r w:rsidR="00A0210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27-6759810217/0100</w:t>
      </w:r>
    </w:p>
    <w:p w:rsidR="009D4C4F" w:rsidRDefault="009D4C4F" w:rsidP="009D4C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zastoupený:   </w:t>
      </w:r>
      <w:proofErr w:type="gramEnd"/>
      <w:r>
        <w:rPr>
          <w:rFonts w:ascii="Arial" w:hAnsi="Arial" w:cs="Arial"/>
        </w:rPr>
        <w:t xml:space="preserve">      </w:t>
      </w:r>
      <w:r w:rsidR="00A0210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Mgr. Lenka </w:t>
      </w:r>
      <w:proofErr w:type="spellStart"/>
      <w:r>
        <w:rPr>
          <w:rFonts w:ascii="Arial" w:hAnsi="Arial" w:cs="Arial"/>
        </w:rPr>
        <w:t>Antolová</w:t>
      </w:r>
      <w:proofErr w:type="spellEnd"/>
      <w:r w:rsidR="00E258C1">
        <w:rPr>
          <w:rFonts w:ascii="Arial" w:hAnsi="Arial" w:cs="Arial"/>
        </w:rPr>
        <w:t>, MPA</w:t>
      </w:r>
    </w:p>
    <w:p w:rsidR="009D4C4F" w:rsidRDefault="009D4C4F" w:rsidP="009D4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zapsaný v obchodním rejstříku vedeném Krajským soudem v Plzni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vložka 537 ze dne 30.</w:t>
      </w:r>
      <w:r w:rsidR="00226494">
        <w:rPr>
          <w:rFonts w:ascii="Arial" w:hAnsi="Arial" w:cs="Arial"/>
        </w:rPr>
        <w:t xml:space="preserve"> ledna </w:t>
      </w:r>
      <w:r>
        <w:rPr>
          <w:rFonts w:ascii="Arial" w:hAnsi="Arial" w:cs="Arial"/>
        </w:rPr>
        <w:t>2004</w:t>
      </w:r>
    </w:p>
    <w:p w:rsidR="009F5B7B" w:rsidRDefault="009F5B7B" w:rsidP="00844E71">
      <w:pPr>
        <w:rPr>
          <w:rFonts w:ascii="Arial" w:hAnsi="Arial" w:cs="Arial"/>
        </w:rPr>
      </w:pPr>
    </w:p>
    <w:p w:rsidR="001A6DD5" w:rsidRPr="00BD3728" w:rsidRDefault="00844E71" w:rsidP="00844E71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 xml:space="preserve"> </w:t>
      </w:r>
      <w:r w:rsidR="00BF39E1">
        <w:rPr>
          <w:rFonts w:ascii="Arial" w:hAnsi="Arial" w:cs="Arial"/>
          <w:i/>
        </w:rPr>
        <w:t>(dále jen „kupující</w:t>
      </w:r>
      <w:r w:rsidR="001A6DD5" w:rsidRPr="00BD3728">
        <w:rPr>
          <w:rFonts w:ascii="Arial" w:hAnsi="Arial" w:cs="Arial"/>
          <w:i/>
        </w:rPr>
        <w:t>“ na straně jedné)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F94869" w:rsidRDefault="00BF39E1" w:rsidP="001A6DD5">
      <w:pPr>
        <w:rPr>
          <w:rStyle w:val="Siln"/>
          <w:rFonts w:ascii="Arial" w:hAnsi="Arial" w:cs="Arial"/>
          <w:b w:val="0"/>
          <w:highlight w:val="yellow"/>
        </w:rPr>
      </w:pPr>
      <w:r>
        <w:rPr>
          <w:rFonts w:ascii="Arial" w:hAnsi="Arial" w:cs="Arial"/>
          <w:b/>
        </w:rPr>
        <w:t>AUTO MYSLIVEC s.r.o.</w:t>
      </w:r>
    </w:p>
    <w:p w:rsidR="001A6DD5" w:rsidRPr="00F94869" w:rsidRDefault="00BF39E1" w:rsidP="001A6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Hlubanská</w:t>
      </w:r>
      <w:proofErr w:type="spellEnd"/>
      <w:r>
        <w:rPr>
          <w:rFonts w:ascii="Arial" w:hAnsi="Arial" w:cs="Arial"/>
        </w:rPr>
        <w:t xml:space="preserve"> 741, 441 01 Podbořany</w:t>
      </w:r>
    </w:p>
    <w:p w:rsidR="001A6DD5" w:rsidRPr="00F94869" w:rsidRDefault="001A6DD5" w:rsidP="001A6DD5">
      <w:pPr>
        <w:rPr>
          <w:rFonts w:ascii="Arial" w:hAnsi="Arial" w:cs="Arial"/>
        </w:rPr>
      </w:pPr>
      <w:r w:rsidRPr="00F94869">
        <w:rPr>
          <w:rFonts w:ascii="Arial" w:hAnsi="Arial" w:cs="Arial"/>
        </w:rPr>
        <w:t xml:space="preserve">IČO: </w:t>
      </w:r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r w:rsidR="00BF39E1">
        <w:rPr>
          <w:rFonts w:ascii="Arial" w:hAnsi="Arial" w:cs="Arial"/>
        </w:rPr>
        <w:t>49902172</w:t>
      </w:r>
    </w:p>
    <w:p w:rsidR="001A6DD5" w:rsidRPr="007B5A91" w:rsidRDefault="001A6DD5" w:rsidP="001A6DD5">
      <w:pPr>
        <w:rPr>
          <w:rFonts w:ascii="Verdana" w:hAnsi="Verdana"/>
          <w:color w:val="000000"/>
        </w:rPr>
      </w:pPr>
      <w:r w:rsidRPr="00F94869">
        <w:rPr>
          <w:rFonts w:ascii="Arial" w:hAnsi="Arial" w:cs="Arial"/>
        </w:rPr>
        <w:t xml:space="preserve">Zastoupený: </w:t>
      </w:r>
      <w:r w:rsidR="00A02108">
        <w:rPr>
          <w:rFonts w:ascii="Arial" w:hAnsi="Arial" w:cs="Arial"/>
        </w:rPr>
        <w:tab/>
      </w:r>
      <w:r w:rsidR="00A02108">
        <w:rPr>
          <w:rFonts w:ascii="Arial" w:hAnsi="Arial" w:cs="Arial"/>
        </w:rPr>
        <w:tab/>
      </w:r>
      <w:r w:rsidR="00BF39E1" w:rsidRPr="007B5A91">
        <w:rPr>
          <w:rFonts w:ascii="Arial" w:hAnsi="Arial" w:cs="Arial"/>
          <w:color w:val="000000"/>
        </w:rPr>
        <w:t>Miloslavem Myslivcem</w:t>
      </w:r>
    </w:p>
    <w:p w:rsidR="00DD176B" w:rsidRPr="007B5A91" w:rsidRDefault="00DD176B" w:rsidP="001A6DD5">
      <w:pPr>
        <w:rPr>
          <w:rFonts w:ascii="Arial" w:hAnsi="Arial" w:cs="Arial"/>
        </w:rPr>
      </w:pPr>
      <w:r w:rsidRPr="007B5A91">
        <w:rPr>
          <w:rFonts w:ascii="Arial" w:hAnsi="Arial" w:cs="Arial"/>
          <w:color w:val="000000"/>
        </w:rPr>
        <w:t>Zapsaný v obchodním rejstříku vedeném Krajským soudem v Ústí nad Labem oddíl C, vložka 5988 ze dne 8. prosince 1993</w:t>
      </w:r>
    </w:p>
    <w:p w:rsidR="001A6DD5" w:rsidRPr="00F67D26" w:rsidRDefault="001A6DD5" w:rsidP="001A6DD5">
      <w:pPr>
        <w:rPr>
          <w:rFonts w:ascii="Arial" w:hAnsi="Arial" w:cs="Arial"/>
        </w:rPr>
      </w:pPr>
    </w:p>
    <w:p w:rsidR="001A6DD5" w:rsidRPr="00BD3728" w:rsidRDefault="00BF39E1" w:rsidP="001A6DD5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(dále jen </w:t>
      </w:r>
      <w:proofErr w:type="gramStart"/>
      <w:r>
        <w:rPr>
          <w:rFonts w:ascii="Arial" w:hAnsi="Arial" w:cs="Arial"/>
          <w:i/>
        </w:rPr>
        <w:t>„ prodávajíc</w:t>
      </w:r>
      <w:r w:rsidR="001A6DD5" w:rsidRPr="00BD3728">
        <w:rPr>
          <w:rFonts w:ascii="Arial" w:hAnsi="Arial" w:cs="Arial"/>
          <w:i/>
        </w:rPr>
        <w:t>í</w:t>
      </w:r>
      <w:proofErr w:type="gramEnd"/>
      <w:r w:rsidR="001A6DD5" w:rsidRPr="00BD3728">
        <w:rPr>
          <w:rFonts w:ascii="Arial" w:hAnsi="Arial" w:cs="Arial"/>
          <w:i/>
        </w:rPr>
        <w:t>“ na straně druhé)</w:t>
      </w:r>
    </w:p>
    <w:p w:rsidR="001A6DD5" w:rsidRPr="00BD3728" w:rsidRDefault="001A6DD5" w:rsidP="001A6DD5">
      <w:pPr>
        <w:rPr>
          <w:rFonts w:ascii="Arial" w:hAnsi="Arial" w:cs="Arial"/>
          <w:b/>
          <w:bCs/>
        </w:rPr>
      </w:pPr>
    </w:p>
    <w:p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:rsidR="001A6DD5" w:rsidRPr="00BD3728" w:rsidRDefault="001A6DD5" w:rsidP="00C16BA0">
      <w:pPr>
        <w:spacing w:after="120"/>
        <w:rPr>
          <w:rFonts w:ascii="Arial" w:hAnsi="Arial" w:cs="Arial"/>
        </w:rPr>
      </w:pPr>
    </w:p>
    <w:p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A6DD5">
        <w:rPr>
          <w:rFonts w:cs="Arial"/>
          <w:sz w:val="20"/>
          <w:szCs w:val="20"/>
        </w:rPr>
        <w:t xml:space="preserve">rodávající je vybraným účastníkem veřejné zakázky </w:t>
      </w:r>
      <w:r w:rsidRPr="001A6DD5">
        <w:rPr>
          <w:rFonts w:cs="Arial"/>
          <w:b/>
          <w:sz w:val="20"/>
          <w:szCs w:val="20"/>
        </w:rPr>
        <w:t>„</w:t>
      </w:r>
      <w:r w:rsidR="0037667B">
        <w:rPr>
          <w:rFonts w:cs="Arial"/>
          <w:b/>
          <w:bCs/>
          <w:sz w:val="20"/>
          <w:szCs w:val="20"/>
        </w:rPr>
        <w:t>Nákup 6 ks užitkových devítimístných vozidel</w:t>
      </w:r>
      <w:r>
        <w:rPr>
          <w:rFonts w:cs="Arial"/>
          <w:b/>
          <w:bCs/>
          <w:sz w:val="20"/>
          <w:szCs w:val="20"/>
        </w:rPr>
        <w:t>“</w:t>
      </w:r>
      <w:r w:rsidRPr="001A6DD5">
        <w:rPr>
          <w:rFonts w:cs="Arial"/>
          <w:b/>
          <w:sz w:val="20"/>
          <w:szCs w:val="20"/>
        </w:rPr>
        <w:t xml:space="preserve"> </w:t>
      </w:r>
      <w:r w:rsidR="0037667B">
        <w:rPr>
          <w:rFonts w:cs="Arial"/>
          <w:sz w:val="20"/>
          <w:szCs w:val="20"/>
        </w:rPr>
        <w:t>vyhlášené dne 10.12.2018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Karlovarským krajem</w:t>
      </w:r>
      <w:r w:rsidR="009F159C">
        <w:rPr>
          <w:rFonts w:cs="Arial"/>
          <w:sz w:val="20"/>
          <w:szCs w:val="20"/>
        </w:rPr>
        <w:t xml:space="preserve">, IČO </w:t>
      </w:r>
      <w:r w:rsidR="009F159C" w:rsidRPr="009F159C">
        <w:rPr>
          <w:rFonts w:cs="Arial"/>
          <w:sz w:val="20"/>
          <w:szCs w:val="20"/>
        </w:rPr>
        <w:t>70891168</w:t>
      </w:r>
      <w:r w:rsidR="009F159C">
        <w:rPr>
          <w:rFonts w:cs="Arial"/>
          <w:sz w:val="20"/>
          <w:szCs w:val="20"/>
        </w:rPr>
        <w:t xml:space="preserve">, se sídlem </w:t>
      </w:r>
      <w:r w:rsidR="009F159C" w:rsidRPr="009F159C">
        <w:rPr>
          <w:rFonts w:cs="Arial"/>
          <w:sz w:val="20"/>
          <w:szCs w:val="20"/>
        </w:rPr>
        <w:t>Závodní 353/88, 360 06 Karlovy Vary</w:t>
      </w:r>
      <w:r w:rsidR="009F159C">
        <w:rPr>
          <w:rFonts w:cs="Arial"/>
          <w:sz w:val="20"/>
          <w:szCs w:val="20"/>
        </w:rPr>
        <w:t>,</w:t>
      </w:r>
      <w:r w:rsidRPr="001A6DD5">
        <w:rPr>
          <w:rFonts w:cs="Arial"/>
          <w:sz w:val="20"/>
          <w:szCs w:val="20"/>
        </w:rPr>
        <w:t xml:space="preserve"> jako</w:t>
      </w:r>
      <w:r>
        <w:rPr>
          <w:rFonts w:cs="Arial"/>
          <w:sz w:val="20"/>
          <w:szCs w:val="20"/>
        </w:rPr>
        <w:t>žto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centrálním za</w:t>
      </w:r>
      <w:r w:rsidRPr="001A6DD5">
        <w:rPr>
          <w:rFonts w:cs="Arial"/>
          <w:sz w:val="20"/>
          <w:szCs w:val="20"/>
        </w:rPr>
        <w:t>davatelem</w:t>
      </w:r>
      <w:r w:rsidR="009F159C">
        <w:rPr>
          <w:rFonts w:cs="Arial"/>
          <w:sz w:val="20"/>
          <w:szCs w:val="20"/>
        </w:rPr>
        <w:t xml:space="preserve"> (dále jen „centrální zadavatel“)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</w:t>
      </w:r>
      <w:r w:rsidRPr="001A6DD5">
        <w:rPr>
          <w:rFonts w:cs="Arial"/>
          <w:sz w:val="20"/>
          <w:szCs w:val="20"/>
        </w:rPr>
        <w:t xml:space="preserve">dlimitní veřejné zakázky formou </w:t>
      </w:r>
      <w:r w:rsidR="0037667B">
        <w:rPr>
          <w:rFonts w:cs="Arial"/>
          <w:sz w:val="20"/>
          <w:szCs w:val="20"/>
        </w:rPr>
        <w:t>zadávacího řízení</w:t>
      </w:r>
      <w:r w:rsidRPr="001A6DD5">
        <w:rPr>
          <w:rFonts w:cs="Arial"/>
          <w:sz w:val="20"/>
          <w:szCs w:val="20"/>
        </w:rPr>
        <w:t xml:space="preserve"> (zadávací dokumentace je externí přílohou této smlouvy uloženou u </w:t>
      </w:r>
      <w:r>
        <w:rPr>
          <w:rFonts w:cs="Arial"/>
          <w:sz w:val="20"/>
          <w:szCs w:val="20"/>
        </w:rPr>
        <w:t>centrálního zadavatele</w:t>
      </w:r>
      <w:r w:rsidRPr="001A6DD5">
        <w:rPr>
          <w:rFonts w:cs="Arial"/>
          <w:sz w:val="20"/>
          <w:szCs w:val="20"/>
        </w:rPr>
        <w:t>) a výběr dodavatele byl schválen usnesením Rady Karlovarského kraje dne</w:t>
      </w:r>
      <w:r w:rsidR="000E5916">
        <w:rPr>
          <w:rFonts w:cs="Arial"/>
          <w:sz w:val="20"/>
          <w:szCs w:val="20"/>
        </w:rPr>
        <w:t xml:space="preserve"> 11.2.2019 usnesením č. RK 137/02/2019</w:t>
      </w:r>
      <w:r>
        <w:rPr>
          <w:rFonts w:cs="Arial"/>
          <w:sz w:val="20"/>
          <w:szCs w:val="20"/>
        </w:rPr>
        <w:t xml:space="preserve">; </w:t>
      </w:r>
      <w:r w:rsidRPr="001A6DD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</w:p>
    <w:p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:rsidR="001A6DD5" w:rsidRDefault="001A6DD5" w:rsidP="00C16BA0">
      <w:pPr>
        <w:spacing w:after="120"/>
        <w:rPr>
          <w:rFonts w:ascii="Arial" w:hAnsi="Arial" w:cs="Arial"/>
        </w:rPr>
      </w:pPr>
    </w:p>
    <w:p w:rsidR="001A6DD5" w:rsidRDefault="001A6DD5" w:rsidP="00C16BA0">
      <w:pPr>
        <w:spacing w:after="120"/>
        <w:rPr>
          <w:rFonts w:ascii="Arial" w:hAnsi="Arial" w:cs="Arial"/>
        </w:rPr>
      </w:pPr>
    </w:p>
    <w:p w:rsidR="001A6DD5" w:rsidRPr="00BD3728" w:rsidRDefault="001A6DD5" w:rsidP="00C16BA0">
      <w:pPr>
        <w:spacing w:after="120"/>
        <w:rPr>
          <w:rFonts w:ascii="Arial" w:hAnsi="Arial" w:cs="Arial"/>
        </w:rPr>
      </w:pPr>
    </w:p>
    <w:p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:rsidR="001A6DD5" w:rsidRPr="00C2244B" w:rsidRDefault="001A6DD5" w:rsidP="00C16BA0">
      <w:pPr>
        <w:spacing w:after="120"/>
        <w:rPr>
          <w:rFonts w:ascii="Arial" w:hAnsi="Arial" w:cs="Arial"/>
        </w:rPr>
      </w:pPr>
    </w:p>
    <w:p w:rsidR="001A6DD5" w:rsidRPr="00226494" w:rsidRDefault="001A6DD5" w:rsidP="00C16BA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226494">
        <w:rPr>
          <w:rFonts w:ascii="Arial" w:hAnsi="Arial" w:cs="Arial"/>
          <w:sz w:val="28"/>
          <w:szCs w:val="28"/>
        </w:rPr>
        <w:lastRenderedPageBreak/>
        <w:t>KUPNÍ SMLOUVY</w:t>
      </w:r>
    </w:p>
    <w:p w:rsidR="001A6DD5" w:rsidRPr="00226494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26494">
        <w:rPr>
          <w:rFonts w:ascii="Arial" w:hAnsi="Arial" w:cs="Arial"/>
          <w:sz w:val="20"/>
          <w:szCs w:val="20"/>
        </w:rPr>
        <w:t>(dále jen „smlouva“)</w:t>
      </w:r>
    </w:p>
    <w:p w:rsidR="001A6DD5" w:rsidRPr="00226494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  <w:r w:rsidRPr="00226494">
        <w:rPr>
          <w:rFonts w:ascii="Arial" w:hAnsi="Arial" w:cs="Arial"/>
          <w:sz w:val="20"/>
        </w:rPr>
        <w:t>dle § 2079 a násl. zákona č. 89/2012 Sb., občanský zákoník</w:t>
      </w:r>
    </w:p>
    <w:p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 w:rsidR="009A11D7">
        <w:rPr>
          <w:rFonts w:cs="Arial"/>
          <w:sz w:val="20"/>
          <w:szCs w:val="20"/>
        </w:rPr>
        <w:t xml:space="preserve"> dle specifikace</w:t>
      </w:r>
      <w:r w:rsidRPr="00BD3728">
        <w:rPr>
          <w:rFonts w:cs="Arial"/>
          <w:sz w:val="20"/>
          <w:szCs w:val="20"/>
        </w:rPr>
        <w:t xml:space="preserve"> v příloze č. 1</w:t>
      </w:r>
      <w:r w:rsidR="00963C7B"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0"/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</w:t>
      </w:r>
      <w:r w:rsidR="007B5A91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zejména návodů k obsluze, údržbě a bezpečnému užívání předmětu koupě, dále příslušných dokladů pro evidenci vozidla v registru vozidel, osvědčení o registraci vozidla – část II. (technický průkaz), vyplněn</w:t>
      </w:r>
      <w:r w:rsidR="009A11D7"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:rsidR="001F7E78" w:rsidRPr="00BD3728" w:rsidRDefault="001F7E78" w:rsidP="00C16BA0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:rsidR="001F7E78" w:rsidRPr="00D73BF1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do </w:t>
      </w:r>
      <w:r w:rsidR="00F92B3B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měsíců od podpisu smlouvy.</w:t>
      </w:r>
    </w:p>
    <w:p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</w:t>
      </w:r>
      <w:r w:rsidR="007B5A91">
        <w:rPr>
          <w:rFonts w:cs="Arial"/>
          <w:sz w:val="20"/>
          <w:szCs w:val="20"/>
        </w:rPr>
        <w:br/>
      </w:r>
      <w:r w:rsidRPr="002F4686">
        <w:rPr>
          <w:rFonts w:cs="Arial"/>
          <w:sz w:val="20"/>
          <w:szCs w:val="20"/>
        </w:rPr>
        <w:t xml:space="preserve">o převzetí předmětu koupě kupujícím i prodávajícím. </w:t>
      </w:r>
    </w:p>
    <w:p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:rsidR="00963C7B" w:rsidRPr="00760458" w:rsidRDefault="000E5916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r w:rsidR="00963C7B" w:rsidRPr="00760458">
        <w:rPr>
          <w:rFonts w:ascii="Arial" w:hAnsi="Arial" w:cs="Arial"/>
        </w:rPr>
        <w:tab/>
      </w:r>
      <w:r w:rsidR="00DD176B">
        <w:rPr>
          <w:rFonts w:ascii="Arial" w:hAnsi="Arial" w:cs="Arial"/>
        </w:rPr>
        <w:t>711 800,- Kč</w:t>
      </w:r>
    </w:p>
    <w:p w:rsidR="00963C7B" w:rsidRPr="00760458" w:rsidRDefault="00DD176B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>(slovy: sedm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jedenáct</w:t>
      </w:r>
      <w:r w:rsidR="00A71283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isíc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osm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</w:t>
      </w:r>
      <w:r w:rsidR="00226494">
        <w:rPr>
          <w:rFonts w:ascii="Arial" w:hAnsi="Arial" w:cs="Arial"/>
        </w:rPr>
        <w:t xml:space="preserve"> českých</w:t>
      </w:r>
      <w:r w:rsidR="00963C7B" w:rsidRPr="00760458">
        <w:rPr>
          <w:rFonts w:ascii="Arial" w:hAnsi="Arial" w:cs="Arial"/>
        </w:rPr>
        <w:t>)</w:t>
      </w:r>
    </w:p>
    <w:p w:rsidR="00963C7B" w:rsidRPr="00760458" w:rsidRDefault="00DD176B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DPH 149 478,- </w:t>
      </w:r>
      <w:r w:rsidR="00963C7B" w:rsidRPr="00760458">
        <w:rPr>
          <w:rFonts w:ascii="Arial" w:hAnsi="Arial" w:cs="Arial"/>
        </w:rPr>
        <w:t>Kč</w:t>
      </w:r>
    </w:p>
    <w:p w:rsidR="00963C7B" w:rsidRPr="00760458" w:rsidRDefault="00DD176B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>(slovy: sto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čtyřicet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devět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tisíc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čty</w:t>
      </w:r>
      <w:r w:rsidR="00A71283">
        <w:rPr>
          <w:rFonts w:ascii="Arial" w:hAnsi="Arial" w:cs="Arial"/>
        </w:rPr>
        <w:t xml:space="preserve">ři </w:t>
      </w:r>
      <w:r>
        <w:rPr>
          <w:rFonts w:ascii="Arial" w:hAnsi="Arial" w:cs="Arial"/>
        </w:rPr>
        <w:t>sta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sedmdesát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osm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</w:t>
      </w:r>
      <w:r w:rsidR="00226494">
        <w:rPr>
          <w:rFonts w:ascii="Arial" w:hAnsi="Arial" w:cs="Arial"/>
        </w:rPr>
        <w:t xml:space="preserve"> českých</w:t>
      </w:r>
      <w:r w:rsidR="00963C7B" w:rsidRPr="00760458">
        <w:rPr>
          <w:rFonts w:ascii="Arial" w:hAnsi="Arial" w:cs="Arial"/>
        </w:rPr>
        <w:t>)</w:t>
      </w:r>
    </w:p>
    <w:p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lastRenderedPageBreak/>
        <w:t>------------------------------------------------------------------------------------------------</w:t>
      </w:r>
    </w:p>
    <w:p w:rsidR="00963C7B" w:rsidRPr="00760458" w:rsidRDefault="004C2025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Cena včetně DPH 861 278,- </w:t>
      </w:r>
      <w:r w:rsidR="00963C7B" w:rsidRPr="00760458">
        <w:rPr>
          <w:rFonts w:ascii="Arial" w:hAnsi="Arial" w:cs="Arial"/>
        </w:rPr>
        <w:t>Kč</w:t>
      </w:r>
    </w:p>
    <w:p w:rsidR="00963C7B" w:rsidRPr="00760458" w:rsidRDefault="004C2025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>(slovy: osm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A71283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šedesát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jedna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tisíc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dvě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stě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sedmdesát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osm</w:t>
      </w:r>
      <w:r w:rsidR="00A71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</w:t>
      </w:r>
      <w:r w:rsidR="00226494">
        <w:rPr>
          <w:rFonts w:ascii="Arial" w:hAnsi="Arial" w:cs="Arial"/>
        </w:rPr>
        <w:t xml:space="preserve"> českých</w:t>
      </w:r>
      <w:r w:rsidR="00963C7B" w:rsidRPr="00760458">
        <w:rPr>
          <w:rFonts w:ascii="Arial" w:hAnsi="Arial" w:cs="Arial"/>
        </w:rPr>
        <w:t>)</w:t>
      </w:r>
    </w:p>
    <w:p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(dále jen „kupní cena“)</w:t>
      </w:r>
    </w:p>
    <w:p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</w:t>
      </w:r>
      <w:r w:rsidR="007B5A91">
        <w:rPr>
          <w:rFonts w:cs="Arial"/>
          <w:sz w:val="20"/>
          <w:szCs w:val="20"/>
        </w:rPr>
        <w:br/>
      </w:r>
      <w:r w:rsidRPr="009A11D7">
        <w:rPr>
          <w:rFonts w:cs="Arial"/>
          <w:sz w:val="20"/>
          <w:szCs w:val="20"/>
        </w:rPr>
        <w:t xml:space="preserve">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</w:t>
      </w:r>
      <w:r w:rsidR="007B5A91">
        <w:rPr>
          <w:rFonts w:cs="Arial"/>
          <w:sz w:val="20"/>
          <w:szCs w:val="20"/>
        </w:rPr>
        <w:br/>
      </w:r>
      <w:r w:rsidRPr="009A11D7">
        <w:rPr>
          <w:rFonts w:cs="Arial"/>
          <w:sz w:val="20"/>
          <w:szCs w:val="20"/>
        </w:rPr>
        <w:t xml:space="preserve">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</w:t>
      </w:r>
      <w:r w:rsidR="007B5A91">
        <w:rPr>
          <w:rFonts w:cs="Arial"/>
          <w:sz w:val="20"/>
          <w:szCs w:val="20"/>
        </w:rPr>
        <w:br/>
      </w:r>
      <w:r w:rsidRPr="00857ADC">
        <w:rPr>
          <w:rFonts w:cs="Arial"/>
          <w:sz w:val="20"/>
          <w:szCs w:val="20"/>
        </w:rPr>
        <w:t xml:space="preserve">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Faktura bude vystavena nejpozději do 15. dne měsíce následujícího po dni uskutečnění zdanitelného plnění a bude obsahovat náležitosti daňového dokladu stanovené ZDPH a zákonem č. 563/1991 Sb., o účetnictví.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:rsidR="001F7E7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:rsidR="004B2EAB" w:rsidRDefault="004B2EAB" w:rsidP="004B2EA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</w:t>
      </w:r>
      <w:r w:rsidRPr="00BD3728">
        <w:rPr>
          <w:rFonts w:cs="Arial"/>
          <w:sz w:val="20"/>
          <w:szCs w:val="20"/>
        </w:rPr>
        <w:lastRenderedPageBreak/>
        <w:t>dále prohlašuje a zavazuje se, že předmět koupě není zatížen právem třetí osoby či osob, tedy že předmět koupě nemá žádné právní vady.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délce </w:t>
      </w:r>
      <w:r w:rsidR="004C2025" w:rsidRPr="00146E49">
        <w:rPr>
          <w:rFonts w:cs="Arial"/>
          <w:sz w:val="20"/>
          <w:szCs w:val="20"/>
        </w:rPr>
        <w:t>5 let/200 000 km</w:t>
      </w:r>
      <w:r w:rsidR="00AB50F6" w:rsidRPr="00146E49">
        <w:rPr>
          <w:rFonts w:cs="Arial"/>
          <w:sz w:val="20"/>
          <w:szCs w:val="20"/>
        </w:rPr>
        <w:t xml:space="preserve"> – podle toho, co nastane dřív</w:t>
      </w:r>
      <w:r w:rsidR="004C2025" w:rsidRPr="00146E49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Záruční doba na neprorezavění karos</w:t>
      </w:r>
      <w:r w:rsidR="00F54767">
        <w:rPr>
          <w:rFonts w:cs="Arial"/>
          <w:sz w:val="20"/>
          <w:szCs w:val="20"/>
        </w:rPr>
        <w:t>e</w:t>
      </w:r>
      <w:r w:rsidRPr="00BD3728">
        <w:rPr>
          <w:rFonts w:cs="Arial"/>
          <w:sz w:val="20"/>
          <w:szCs w:val="20"/>
        </w:rPr>
        <w:t xml:space="preserve">rie činí </w:t>
      </w:r>
      <w:r w:rsidR="00F92B3B">
        <w:rPr>
          <w:rFonts w:cs="Arial"/>
          <w:sz w:val="20"/>
          <w:szCs w:val="20"/>
        </w:rPr>
        <w:t>12</w:t>
      </w:r>
      <w:r w:rsidRPr="00BD3728">
        <w:rPr>
          <w:rFonts w:cs="Arial"/>
          <w:sz w:val="20"/>
          <w:szCs w:val="20"/>
        </w:rPr>
        <w:t xml:space="preserve"> let.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dle předcházejícího odst. 5.2.</w:t>
      </w:r>
      <w:r w:rsidR="00664392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 nevztahuje na spotřební materiál. Záruka dle předcházejícího odst. 5.2. je platná za podmínky provádění servisních prací u autorizovaných servisů pro danou značku automobilu, kupující není povinen objednávat servis předmětu koupě u prodávajícího.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Pr="00BD3728">
        <w:rPr>
          <w:rFonts w:cs="Arial"/>
          <w:sz w:val="20"/>
          <w:szCs w:val="20"/>
        </w:rPr>
        <w:t>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případě, že budou kupujícím po převzetí předmětu koupě na tomto zjištěny vady, má kupující právo uplatnit vůči prodávajícímu nároky v souladu s </w:t>
      </w:r>
      <w:proofErr w:type="spellStart"/>
      <w:r w:rsidRPr="00BD3728">
        <w:rPr>
          <w:rFonts w:cs="Arial"/>
          <w:sz w:val="20"/>
          <w:szCs w:val="20"/>
        </w:rPr>
        <w:t>ust</w:t>
      </w:r>
      <w:proofErr w:type="spellEnd"/>
      <w:r w:rsidRPr="00BD3728">
        <w:rPr>
          <w:rFonts w:cs="Arial"/>
          <w:sz w:val="20"/>
          <w:szCs w:val="20"/>
        </w:rPr>
        <w:t>. § 2099 až 2117 občanského zákoníku.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</w:t>
      </w:r>
      <w:r w:rsidR="00AB50F6">
        <w:rPr>
          <w:rFonts w:cs="Arial"/>
          <w:sz w:val="20"/>
          <w:szCs w:val="20"/>
        </w:rPr>
        <w:t>ebo emailem na emailovou adresu pastor.tomas@autopodborany.cz</w:t>
      </w:r>
      <w:r w:rsidR="00670054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</w:t>
      </w:r>
      <w:r w:rsidR="00226494">
        <w:rPr>
          <w:rFonts w:cs="Arial"/>
          <w:sz w:val="20"/>
          <w:szCs w:val="20"/>
        </w:rPr>
        <w:br/>
      </w:r>
      <w:r w:rsidRPr="00BD3728">
        <w:rPr>
          <w:rFonts w:cs="Arial"/>
          <w:sz w:val="20"/>
          <w:szCs w:val="20"/>
        </w:rPr>
        <w:t>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</w:t>
      </w:r>
      <w:r w:rsidR="00226494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</w:t>
      </w:r>
      <w:r w:rsidR="00226494">
        <w:rPr>
          <w:rFonts w:cs="Arial"/>
          <w:sz w:val="20"/>
          <w:szCs w:val="20"/>
        </w:rPr>
        <w:br/>
      </w:r>
      <w:r w:rsidRPr="00BD3728">
        <w:rPr>
          <w:rFonts w:cs="Arial"/>
          <w:sz w:val="20"/>
          <w:szCs w:val="20"/>
        </w:rPr>
        <w:t>na zboží během přepravy do místa opravy.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</w:t>
      </w:r>
      <w:r w:rsidRPr="00BD3728">
        <w:rPr>
          <w:rFonts w:cs="Arial"/>
          <w:sz w:val="20"/>
          <w:szCs w:val="20"/>
        </w:rPr>
        <w:lastRenderedPageBreak/>
        <w:t>s tím, že doba přerušení běhu záruční lhůty bude počítána na celé dny a bude brán v úvahu každý započatý kalendářní den.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Práva a povinnosti </w:t>
      </w:r>
      <w:proofErr w:type="gramStart"/>
      <w:r w:rsidRPr="00BD3728">
        <w:rPr>
          <w:rFonts w:cs="Arial"/>
          <w:sz w:val="20"/>
          <w:szCs w:val="20"/>
        </w:rPr>
        <w:t>z</w:t>
      </w:r>
      <w:proofErr w:type="gramEnd"/>
      <w:r w:rsidRPr="00BD3728">
        <w:rPr>
          <w:rFonts w:cs="Arial"/>
          <w:sz w:val="20"/>
          <w:szCs w:val="20"/>
        </w:rPr>
        <w:t xml:space="preserve"> prodávajícím poskytnuté záruky nezanikají ani odstoupením kterékoli </w:t>
      </w:r>
      <w:r w:rsidR="00226494">
        <w:rPr>
          <w:rFonts w:cs="Arial"/>
          <w:sz w:val="20"/>
          <w:szCs w:val="20"/>
        </w:rPr>
        <w:br/>
      </w:r>
      <w:r w:rsidRPr="00BD3728">
        <w:rPr>
          <w:rFonts w:cs="Arial"/>
          <w:sz w:val="20"/>
          <w:szCs w:val="20"/>
        </w:rPr>
        <w:t>ze smluvních stran od smlouvy.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O reklamačním řízení budou prodávajícím pořizovány písemné zápisy ve dvojím vyhotovení, </w:t>
      </w:r>
      <w:r w:rsidR="00226494">
        <w:rPr>
          <w:rFonts w:cs="Arial"/>
          <w:sz w:val="20"/>
          <w:szCs w:val="20"/>
        </w:rPr>
        <w:br/>
      </w:r>
      <w:r w:rsidRPr="00BD3728">
        <w:rPr>
          <w:rFonts w:cs="Arial"/>
          <w:sz w:val="20"/>
          <w:szCs w:val="20"/>
        </w:rPr>
        <w:t>z nichž jeden stejnopis obdrží každá ze smluvních stran.</w:t>
      </w:r>
    </w:p>
    <w:p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>.2. této smlouvy prodávajícím je kupující oprávněn uplatnit vůči prodávajícímu ve smyslu ustanovení § 2048 a násl. občanského zákoníku smluvní pokutu ve výši 0,1 % (slovy: jedna desetina procenta) z kupní ceny, a to za každý den prodlení.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porušení ustanovení odst. 5.5., odst. 5.8.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odst. 5.9. této smlouvy prodávajícím je kupující oprávněn uplatnit ve smyslu ustanovení § 2048 a násl. občanského zákoníku smluvní pokutu ve výši </w:t>
      </w:r>
      <w:proofErr w:type="gramStart"/>
      <w:r w:rsidRPr="00BD3728">
        <w:rPr>
          <w:rFonts w:cs="Arial"/>
          <w:sz w:val="20"/>
          <w:szCs w:val="20"/>
        </w:rPr>
        <w:t>10.000,-</w:t>
      </w:r>
      <w:proofErr w:type="gramEnd"/>
      <w:r w:rsidRPr="00BD3728">
        <w:rPr>
          <w:rFonts w:cs="Arial"/>
          <w:sz w:val="20"/>
          <w:szCs w:val="20"/>
        </w:rPr>
        <w:t xml:space="preserve"> Kč (slovy: deset tisíc korun českých), a to za každé porušení smlouvy zvlášť a to i opakovaně.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prodlení s úhradou kupní ceny či její části kupujícím je prodávající oprávněn uplatnit ve smyslu ustanovení § 2048 a násl. občanského zákoníku smluvní pokutu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 pro případ, že prodávající bude v prodlení se splněním jakéhokoli svého peněžitého závazku vůči kupujícímu, který je založen touto smlouvou, vzniká kupujícímu ve smyslu ustanovení § 2048 a násl. občanského zákoníku nárok na úhradu smluvní pokuty </w:t>
      </w:r>
      <w:r w:rsidR="00226494">
        <w:rPr>
          <w:rFonts w:cs="Arial"/>
          <w:sz w:val="20"/>
          <w:szCs w:val="20"/>
        </w:rPr>
        <w:br/>
      </w:r>
      <w:r w:rsidRPr="00BD3728">
        <w:rPr>
          <w:rFonts w:cs="Arial"/>
          <w:sz w:val="20"/>
          <w:szCs w:val="20"/>
        </w:rPr>
        <w:t>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</w:t>
      </w:r>
      <w:r w:rsidR="00226494">
        <w:rPr>
          <w:rFonts w:cs="Arial"/>
          <w:sz w:val="20"/>
          <w:szCs w:val="20"/>
        </w:rPr>
        <w:br/>
      </w:r>
      <w:r w:rsidRPr="00BD3728">
        <w:rPr>
          <w:rFonts w:cs="Arial"/>
          <w:sz w:val="20"/>
          <w:szCs w:val="20"/>
        </w:rPr>
        <w:t>v plné výši.</w:t>
      </w:r>
    </w:p>
    <w:p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:rsidR="00B3053D" w:rsidRPr="00B3053D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</w:t>
      </w:r>
      <w:r w:rsidR="00226494">
        <w:rPr>
          <w:rFonts w:cs="Arial"/>
          <w:sz w:val="20"/>
          <w:szCs w:val="20"/>
        </w:rPr>
        <w:br/>
      </w:r>
      <w:r w:rsidRPr="00B3053D">
        <w:rPr>
          <w:rFonts w:cs="Arial"/>
          <w:sz w:val="20"/>
          <w:szCs w:val="20"/>
        </w:rPr>
        <w:t>ve znění pozdějších předpisů.</w:t>
      </w:r>
    </w:p>
    <w:p w:rsidR="00B3053D" w:rsidRPr="00B3053D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:rsidR="00B3053D" w:rsidRPr="00B3053D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:rsidR="00B3053D" w:rsidRPr="00B3053D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B3053D" w:rsidRPr="00B3053D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B3053D" w:rsidRPr="00B3053D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zákona č. 89/2012 Sb., občanský zákoník, v platném znění.</w:t>
      </w:r>
    </w:p>
    <w:p w:rsidR="009F159C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 xml:space="preserve">Prodávající je povinen spolupůsobit při výkonu finanční kontroly ve smyslu § 2 písm. e) a § 13 </w:t>
      </w:r>
      <w:r w:rsidRPr="009F159C">
        <w:rPr>
          <w:rFonts w:cs="Arial"/>
          <w:sz w:val="20"/>
          <w:szCs w:val="20"/>
        </w:rPr>
        <w:lastRenderedPageBreak/>
        <w:t>zákona č. 320/2001 Sb., o finanční kontrole ve veřejné správě a o změně některých zákon</w:t>
      </w:r>
      <w:r w:rsidR="00226494">
        <w:rPr>
          <w:rFonts w:cs="Arial"/>
          <w:sz w:val="20"/>
          <w:szCs w:val="20"/>
        </w:rPr>
        <w:t>ů</w:t>
      </w:r>
      <w:r w:rsidRPr="009F159C">
        <w:rPr>
          <w:rFonts w:cs="Arial"/>
          <w:sz w:val="20"/>
          <w:szCs w:val="20"/>
        </w:rPr>
        <w:t xml:space="preserve"> (dále jen „zákon o finanční kontrole“), ve znění pozdějších předpisů, tj. poskytnout kontrolnímu orgánu doklady o dodávkách zboží a služeb hrazených z veřejných výdajů nebo z veřejné finanční podpory v rozsahu nezbytném pro ověření příslušné operace. </w:t>
      </w:r>
    </w:p>
    <w:p w:rsidR="00B3053D" w:rsidRPr="009F159C" w:rsidRDefault="00B3053D" w:rsidP="00C96F0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:rsidR="00B3053D" w:rsidRPr="00ED1855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</w:p>
    <w:p w:rsidR="00B3053D" w:rsidRPr="00ED1855" w:rsidRDefault="00B3053D" w:rsidP="00B3053D">
      <w:pPr>
        <w:spacing w:after="120"/>
        <w:ind w:firstLine="1701"/>
        <w:rPr>
          <w:rFonts w:ascii="Arial" w:hAnsi="Arial" w:cs="Arial"/>
          <w:bCs/>
        </w:rPr>
      </w:pPr>
      <w:r w:rsidRPr="00ED1855">
        <w:rPr>
          <w:rFonts w:ascii="Arial" w:hAnsi="Arial" w:cs="Arial"/>
          <w:bCs/>
        </w:rPr>
        <w:t>Příloha č. 2: Cenová nabídka</w:t>
      </w:r>
    </w:p>
    <w:p w:rsidR="00B3053D" w:rsidRPr="00ED1855" w:rsidRDefault="00B3053D" w:rsidP="00B3053D">
      <w:pPr>
        <w:ind w:left="2835" w:hanging="1134"/>
        <w:rPr>
          <w:rFonts w:ascii="Arial" w:hAnsi="Arial" w:cs="Arial"/>
        </w:rPr>
      </w:pPr>
      <w:r w:rsidRPr="00ED1855">
        <w:rPr>
          <w:rFonts w:ascii="Arial" w:hAnsi="Arial" w:cs="Arial"/>
          <w:bCs/>
        </w:rPr>
        <w:t xml:space="preserve">Příloha č. 3: </w:t>
      </w:r>
      <w:r w:rsidRPr="00ED1855">
        <w:rPr>
          <w:rFonts w:ascii="Arial" w:hAnsi="Arial" w:cs="Arial"/>
        </w:rPr>
        <w:t xml:space="preserve">Zadávací dokumentace, nabídka </w:t>
      </w:r>
      <w:r w:rsidR="008055EE">
        <w:rPr>
          <w:rFonts w:ascii="Arial" w:hAnsi="Arial" w:cs="Arial"/>
        </w:rPr>
        <w:t>prodávajícího</w:t>
      </w:r>
      <w:r w:rsidRPr="00ED1855">
        <w:rPr>
          <w:rFonts w:ascii="Arial" w:hAnsi="Arial" w:cs="Arial"/>
        </w:rPr>
        <w:t xml:space="preserve"> – externí příloha uložená u </w:t>
      </w:r>
      <w:r w:rsidR="009F159C">
        <w:rPr>
          <w:rFonts w:ascii="Arial" w:hAnsi="Arial" w:cs="Arial"/>
        </w:rPr>
        <w:t>centrálního zadavatele</w:t>
      </w:r>
    </w:p>
    <w:p w:rsidR="00B3053D" w:rsidRPr="00ED1855" w:rsidRDefault="00B3053D" w:rsidP="00B3053D">
      <w:pPr>
        <w:pStyle w:val="Odstavecseseznamem"/>
        <w:ind w:left="360"/>
        <w:jc w:val="both"/>
        <w:rPr>
          <w:rFonts w:ascii="Tahoma" w:hAnsi="Tahoma" w:cs="Tahoma"/>
        </w:rPr>
      </w:pPr>
    </w:p>
    <w:p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9F159C" w:rsidRDefault="009F159C" w:rsidP="009F159C">
      <w:pPr>
        <w:pStyle w:val="slovn1rove"/>
        <w:numPr>
          <w:ilvl w:val="0"/>
          <w:numId w:val="0"/>
        </w:numPr>
        <w:ind w:left="360"/>
        <w:jc w:val="both"/>
      </w:pPr>
    </w:p>
    <w:p w:rsidR="009F159C" w:rsidRDefault="009F159C" w:rsidP="009F159C">
      <w:pPr>
        <w:pStyle w:val="slovn1rove"/>
        <w:numPr>
          <w:ilvl w:val="0"/>
          <w:numId w:val="0"/>
        </w:numPr>
        <w:ind w:left="360"/>
        <w:jc w:val="both"/>
      </w:pPr>
    </w:p>
    <w:p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540403">
        <w:rPr>
          <w:rFonts w:ascii="Arial" w:hAnsi="Arial" w:cs="Arial"/>
        </w:rPr>
        <w:t>……</w:t>
      </w:r>
      <w:proofErr w:type="gramStart"/>
      <w:r w:rsidRPr="00540403">
        <w:rPr>
          <w:rFonts w:ascii="Arial" w:hAnsi="Arial" w:cs="Arial"/>
        </w:rPr>
        <w:t>…….</w:t>
      </w:r>
      <w:proofErr w:type="gramEnd"/>
      <w:r w:rsidRPr="00540403">
        <w:rPr>
          <w:rFonts w:ascii="Arial" w:hAnsi="Arial" w:cs="Arial"/>
        </w:rPr>
        <w:t xml:space="preserve">.………….. dne ………. </w:t>
      </w:r>
      <w:r w:rsidR="00AB50F6" w:rsidRPr="00540403">
        <w:rPr>
          <w:rFonts w:ascii="Arial" w:hAnsi="Arial" w:cs="Arial"/>
        </w:rPr>
        <w:t>2019</w:t>
      </w:r>
      <w:r w:rsidRPr="00540403">
        <w:rPr>
          <w:rFonts w:ascii="Arial" w:hAnsi="Arial" w:cs="Arial"/>
        </w:rPr>
        <w:tab/>
      </w:r>
      <w:r w:rsidRPr="00540403">
        <w:rPr>
          <w:rFonts w:ascii="Arial" w:hAnsi="Arial" w:cs="Arial"/>
        </w:rPr>
        <w:tab/>
        <w:t>V</w:t>
      </w:r>
      <w:r w:rsidR="00540403">
        <w:rPr>
          <w:rFonts w:ascii="Arial" w:hAnsi="Arial" w:cs="Arial"/>
        </w:rPr>
        <w:t> Kynšperku nad Ohří</w:t>
      </w:r>
      <w:r w:rsidRPr="00540403">
        <w:rPr>
          <w:rFonts w:ascii="Arial" w:hAnsi="Arial" w:cs="Arial"/>
        </w:rPr>
        <w:t xml:space="preserve"> dne </w:t>
      </w:r>
      <w:r w:rsidR="00540403">
        <w:rPr>
          <w:rFonts w:ascii="Arial" w:hAnsi="Arial" w:cs="Arial"/>
        </w:rPr>
        <w:t>6. 3.</w:t>
      </w:r>
      <w:bookmarkStart w:id="5" w:name="_GoBack"/>
      <w:bookmarkEnd w:id="5"/>
      <w:r w:rsidRPr="00BD3728">
        <w:rPr>
          <w:rFonts w:ascii="Arial" w:hAnsi="Arial" w:cs="Arial"/>
        </w:rPr>
        <w:t xml:space="preserve"> </w:t>
      </w:r>
      <w:r w:rsidR="00AB50F6">
        <w:rPr>
          <w:rFonts w:ascii="Arial" w:hAnsi="Arial" w:cs="Arial"/>
        </w:rPr>
        <w:t>2019</w:t>
      </w:r>
    </w:p>
    <w:p w:rsidR="009F159C" w:rsidRPr="00BD3728" w:rsidRDefault="009F159C" w:rsidP="009F159C">
      <w:pPr>
        <w:rPr>
          <w:rFonts w:ascii="Arial" w:hAnsi="Arial" w:cs="Arial"/>
        </w:rPr>
      </w:pPr>
    </w:p>
    <w:p w:rsidR="009F159C" w:rsidRPr="00BD3728" w:rsidRDefault="009F159C" w:rsidP="009F159C">
      <w:pPr>
        <w:rPr>
          <w:rFonts w:ascii="Arial" w:hAnsi="Arial" w:cs="Arial"/>
        </w:rPr>
      </w:pPr>
    </w:p>
    <w:p w:rsidR="009F159C" w:rsidRPr="00BD3728" w:rsidRDefault="009F159C" w:rsidP="009F159C">
      <w:pPr>
        <w:rPr>
          <w:rFonts w:ascii="Arial" w:hAnsi="Arial" w:cs="Arial"/>
        </w:rPr>
      </w:pPr>
    </w:p>
    <w:p w:rsidR="009F159C" w:rsidRPr="00BD3728" w:rsidRDefault="009F159C" w:rsidP="009F159C">
      <w:pPr>
        <w:rPr>
          <w:rFonts w:ascii="Arial" w:hAnsi="Arial" w:cs="Arial"/>
        </w:rPr>
      </w:pPr>
    </w:p>
    <w:p w:rsidR="009F159C" w:rsidRPr="00BD3728" w:rsidRDefault="009F159C" w:rsidP="009F159C">
      <w:pPr>
        <w:rPr>
          <w:rFonts w:ascii="Arial" w:hAnsi="Arial" w:cs="Arial"/>
        </w:rPr>
      </w:pPr>
    </w:p>
    <w:p w:rsidR="009F159C" w:rsidRPr="00BD3728" w:rsidRDefault="009F159C" w:rsidP="009F159C">
      <w:pPr>
        <w:rPr>
          <w:rFonts w:ascii="Arial" w:hAnsi="Arial" w:cs="Arial"/>
        </w:rPr>
      </w:pPr>
    </w:p>
    <w:p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:rsidR="00E54BF3" w:rsidRDefault="00E54BF3" w:rsidP="00E54B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E54BF3" w:rsidRPr="00226494" w:rsidRDefault="00424489" w:rsidP="00424489">
      <w:pPr>
        <w:rPr>
          <w:rFonts w:ascii="Arial" w:hAnsi="Arial" w:cs="Arial"/>
        </w:rPr>
      </w:pPr>
      <w:r w:rsidRPr="00226494">
        <w:rPr>
          <w:rFonts w:ascii="Arial" w:hAnsi="Arial" w:cs="Arial"/>
        </w:rPr>
        <w:t xml:space="preserve">AUTO MYSLIVEC s.r.o.                                                 </w:t>
      </w:r>
      <w:r w:rsidR="009D4C4F" w:rsidRPr="00226494">
        <w:rPr>
          <w:rFonts w:ascii="Arial" w:hAnsi="Arial" w:cs="Arial"/>
        </w:rPr>
        <w:t xml:space="preserve"> Sociální služby v Kynšperku nad Ohří, p.</w:t>
      </w:r>
      <w:r w:rsidR="00226494" w:rsidRPr="00226494">
        <w:rPr>
          <w:rFonts w:ascii="Arial" w:hAnsi="Arial" w:cs="Arial"/>
        </w:rPr>
        <w:t xml:space="preserve"> </w:t>
      </w:r>
      <w:r w:rsidR="009D4C4F" w:rsidRPr="00226494">
        <w:rPr>
          <w:rFonts w:ascii="Arial" w:hAnsi="Arial" w:cs="Arial"/>
        </w:rPr>
        <w:t>o.</w:t>
      </w:r>
    </w:p>
    <w:p w:rsidR="00F37043" w:rsidRPr="00226494" w:rsidRDefault="00424489" w:rsidP="00E54BF3">
      <w:pPr>
        <w:rPr>
          <w:rFonts w:ascii="Arial" w:hAnsi="Arial" w:cs="Arial"/>
        </w:rPr>
      </w:pPr>
      <w:r w:rsidRPr="00226494">
        <w:rPr>
          <w:rFonts w:ascii="Arial" w:hAnsi="Arial" w:cs="Arial"/>
          <w:color w:val="000000"/>
        </w:rPr>
        <w:t>Miloslav Myslivec, jednatel</w:t>
      </w:r>
      <w:r w:rsidRPr="00226494">
        <w:rPr>
          <w:rFonts w:ascii="Arial" w:hAnsi="Arial" w:cs="Arial"/>
        </w:rPr>
        <w:tab/>
      </w:r>
      <w:r w:rsidRPr="00226494">
        <w:rPr>
          <w:rFonts w:ascii="Arial" w:hAnsi="Arial" w:cs="Arial"/>
        </w:rPr>
        <w:tab/>
      </w:r>
      <w:r w:rsidRPr="00226494">
        <w:rPr>
          <w:rFonts w:ascii="Arial" w:hAnsi="Arial" w:cs="Arial"/>
        </w:rPr>
        <w:tab/>
        <w:t xml:space="preserve">        </w:t>
      </w:r>
      <w:r w:rsidR="00E54BF3" w:rsidRPr="00226494">
        <w:rPr>
          <w:rFonts w:ascii="Arial" w:hAnsi="Arial" w:cs="Arial"/>
        </w:rPr>
        <w:t xml:space="preserve">  </w:t>
      </w:r>
      <w:r w:rsidRPr="00226494">
        <w:rPr>
          <w:rFonts w:ascii="Arial" w:hAnsi="Arial" w:cs="Arial"/>
        </w:rPr>
        <w:t xml:space="preserve"> </w:t>
      </w:r>
      <w:r w:rsidR="00E54BF3" w:rsidRPr="00226494">
        <w:rPr>
          <w:rFonts w:ascii="Arial" w:hAnsi="Arial" w:cs="Arial"/>
        </w:rPr>
        <w:t xml:space="preserve"> </w:t>
      </w:r>
      <w:r w:rsidR="009D4C4F" w:rsidRPr="00226494">
        <w:rPr>
          <w:rFonts w:ascii="Arial" w:hAnsi="Arial" w:cs="Arial"/>
        </w:rPr>
        <w:t xml:space="preserve">Mgr. Lenka </w:t>
      </w:r>
      <w:proofErr w:type="spellStart"/>
      <w:r w:rsidR="009D4C4F" w:rsidRPr="00226494">
        <w:rPr>
          <w:rFonts w:ascii="Arial" w:hAnsi="Arial" w:cs="Arial"/>
        </w:rPr>
        <w:t>Antolová</w:t>
      </w:r>
      <w:proofErr w:type="spellEnd"/>
      <w:r w:rsidR="009D4C4F" w:rsidRPr="00226494">
        <w:rPr>
          <w:rFonts w:ascii="Arial" w:hAnsi="Arial" w:cs="Arial"/>
        </w:rPr>
        <w:t xml:space="preserve">, </w:t>
      </w:r>
      <w:r w:rsidR="00226494" w:rsidRPr="00226494">
        <w:rPr>
          <w:rFonts w:ascii="Arial" w:hAnsi="Arial" w:cs="Arial"/>
        </w:rPr>
        <w:t xml:space="preserve">MPA, </w:t>
      </w:r>
      <w:r w:rsidR="009D4C4F" w:rsidRPr="00226494">
        <w:rPr>
          <w:rFonts w:ascii="Arial" w:hAnsi="Arial" w:cs="Arial"/>
        </w:rPr>
        <w:t>ředitelka</w:t>
      </w:r>
    </w:p>
    <w:sectPr w:rsidR="00F37043" w:rsidRPr="00226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2D" w:rsidRDefault="00346C2D" w:rsidP="00346C2D">
      <w:r>
        <w:separator/>
      </w:r>
    </w:p>
  </w:endnote>
  <w:endnote w:type="continuationSeparator" w:id="0">
    <w:p w:rsidR="00346C2D" w:rsidRDefault="00346C2D" w:rsidP="0034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519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6C2D" w:rsidRDefault="00346C2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6C2D" w:rsidRDefault="00346C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2D" w:rsidRDefault="00346C2D" w:rsidP="00346C2D">
      <w:r>
        <w:separator/>
      </w:r>
    </w:p>
  </w:footnote>
  <w:footnote w:type="continuationSeparator" w:id="0">
    <w:p w:rsidR="00346C2D" w:rsidRDefault="00346C2D" w:rsidP="0034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E5916"/>
    <w:rsid w:val="00146E49"/>
    <w:rsid w:val="001A6DD5"/>
    <w:rsid w:val="001F7E78"/>
    <w:rsid w:val="00226494"/>
    <w:rsid w:val="002E61D9"/>
    <w:rsid w:val="00346C2D"/>
    <w:rsid w:val="0037667B"/>
    <w:rsid w:val="003B5716"/>
    <w:rsid w:val="003C442D"/>
    <w:rsid w:val="00424489"/>
    <w:rsid w:val="004B2EAB"/>
    <w:rsid w:val="004C2025"/>
    <w:rsid w:val="00540403"/>
    <w:rsid w:val="00611B71"/>
    <w:rsid w:val="00664392"/>
    <w:rsid w:val="00670054"/>
    <w:rsid w:val="00714E27"/>
    <w:rsid w:val="007B5A91"/>
    <w:rsid w:val="008055EE"/>
    <w:rsid w:val="00844E71"/>
    <w:rsid w:val="009545A1"/>
    <w:rsid w:val="00963C7B"/>
    <w:rsid w:val="009A11D7"/>
    <w:rsid w:val="009D4C4F"/>
    <w:rsid w:val="009F159C"/>
    <w:rsid w:val="009F5B7B"/>
    <w:rsid w:val="00A02108"/>
    <w:rsid w:val="00A71283"/>
    <w:rsid w:val="00AB50F6"/>
    <w:rsid w:val="00B3053D"/>
    <w:rsid w:val="00B36714"/>
    <w:rsid w:val="00BA44F4"/>
    <w:rsid w:val="00BC578C"/>
    <w:rsid w:val="00BF39E1"/>
    <w:rsid w:val="00C16BA0"/>
    <w:rsid w:val="00C424D2"/>
    <w:rsid w:val="00C46E7E"/>
    <w:rsid w:val="00C858A3"/>
    <w:rsid w:val="00C96F08"/>
    <w:rsid w:val="00CC3097"/>
    <w:rsid w:val="00CC78CB"/>
    <w:rsid w:val="00CE4B1B"/>
    <w:rsid w:val="00D73BF1"/>
    <w:rsid w:val="00DD176B"/>
    <w:rsid w:val="00E258C1"/>
    <w:rsid w:val="00E54BF3"/>
    <w:rsid w:val="00EF3F00"/>
    <w:rsid w:val="00F54767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9AB7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C2D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C2D"/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2630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Lenka Antolova</cp:lastModifiedBy>
  <cp:revision>4</cp:revision>
  <dcterms:created xsi:type="dcterms:W3CDTF">2019-03-06T08:01:00Z</dcterms:created>
  <dcterms:modified xsi:type="dcterms:W3CDTF">2019-03-06T08:28:00Z</dcterms:modified>
</cp:coreProperties>
</file>