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8" w:rsidRDefault="00BD1168" w:rsidP="00BD1168">
      <w:pPr>
        <w:pStyle w:val="Nadpis1"/>
        <w:rPr>
          <w:bCs/>
          <w:sz w:val="28"/>
          <w:szCs w:val="28"/>
          <w:lang w:val="pl-PL"/>
        </w:rPr>
      </w:pPr>
      <w:r>
        <w:rPr>
          <w:sz w:val="28"/>
          <w:szCs w:val="28"/>
        </w:rPr>
        <w:t xml:space="preserve">Dohoda o restrukturalizaci závazku č. </w:t>
      </w:r>
      <w:r>
        <w:rPr>
          <w:bCs/>
          <w:sz w:val="28"/>
          <w:szCs w:val="28"/>
          <w:lang w:val="pl-PL"/>
        </w:rPr>
        <w:t>D</w:t>
      </w:r>
      <w:r w:rsidRPr="005A2397">
        <w:rPr>
          <w:bCs/>
          <w:sz w:val="28"/>
          <w:szCs w:val="28"/>
          <w:lang w:val="pl-PL"/>
        </w:rPr>
        <w:t>/</w:t>
      </w:r>
      <w:r>
        <w:rPr>
          <w:bCs/>
          <w:sz w:val="28"/>
          <w:szCs w:val="28"/>
          <w:lang w:val="pl-PL"/>
        </w:rPr>
        <w:t xml:space="preserve">2018/10/103-01 </w:t>
      </w:r>
    </w:p>
    <w:p w:rsidR="00BD1168" w:rsidRDefault="00BD1168" w:rsidP="00BD1168">
      <w:pPr>
        <w:jc w:val="center"/>
        <w:rPr>
          <w:b/>
          <w:lang w:val="cs-CZ"/>
        </w:rPr>
      </w:pPr>
    </w:p>
    <w:p w:rsidR="00BD1168" w:rsidRDefault="00BD1168" w:rsidP="00BD1168">
      <w:pPr>
        <w:rPr>
          <w:lang w:val="cs-CZ"/>
        </w:rPr>
      </w:pPr>
    </w:p>
    <w:p w:rsidR="00BD1168" w:rsidRDefault="00BD1168" w:rsidP="00BD1168">
      <w:pPr>
        <w:rPr>
          <w:b/>
          <w:lang w:val="cs-CZ"/>
        </w:rPr>
      </w:pPr>
      <w:r>
        <w:rPr>
          <w:b/>
          <w:lang w:val="cs-CZ"/>
        </w:rPr>
        <w:t>BFF Česká republika s.r.o.</w:t>
      </w:r>
    </w:p>
    <w:p w:rsidR="00BD1168" w:rsidRDefault="00BD1168" w:rsidP="00BD1168">
      <w:pPr>
        <w:jc w:val="both"/>
        <w:rPr>
          <w:lang w:val="cs-CZ"/>
        </w:rPr>
      </w:pPr>
      <w:r>
        <w:rPr>
          <w:lang w:val="cs-CZ"/>
        </w:rPr>
        <w:t xml:space="preserve">se sídlem Roztylská 1860/1, Praha 4, PSČ 148 00, IČ: 278 92 387, DIČ: CZ27892387, zapsaná v obchodním rejstříku vedeném Městským soudem v Praze, </w:t>
      </w:r>
      <w:proofErr w:type="spellStart"/>
      <w:proofErr w:type="gramStart"/>
      <w:r>
        <w:rPr>
          <w:lang w:val="cs-CZ"/>
        </w:rPr>
        <w:t>sp.zn</w:t>
      </w:r>
      <w:proofErr w:type="spellEnd"/>
      <w:r>
        <w:rPr>
          <w:lang w:val="cs-CZ"/>
        </w:rPr>
        <w:t>.</w:t>
      </w:r>
      <w:proofErr w:type="gramEnd"/>
      <w:r>
        <w:rPr>
          <w:lang w:val="cs-CZ"/>
        </w:rPr>
        <w:t xml:space="preserve"> C 124667, zastoupena </w:t>
      </w:r>
      <w:proofErr w:type="spellStart"/>
      <w:r w:rsidR="00174265">
        <w:rPr>
          <w:lang w:val="cs-CZ"/>
        </w:rPr>
        <w:t>xxxxxxxxxxxx</w:t>
      </w:r>
      <w:proofErr w:type="spellEnd"/>
      <w:r w:rsidR="00174265">
        <w:rPr>
          <w:lang w:val="cs-CZ"/>
        </w:rPr>
        <w:t xml:space="preserve"> </w:t>
      </w:r>
      <w:r>
        <w:rPr>
          <w:lang w:val="cs-CZ"/>
        </w:rPr>
        <w:t>na základě plné moci, která je nedílnou součástí této dohody jako její příloha</w:t>
      </w:r>
    </w:p>
    <w:p w:rsidR="00BD1168" w:rsidRDefault="00BD1168" w:rsidP="00BD1168">
      <w:pPr>
        <w:rPr>
          <w:sz w:val="22"/>
          <w:szCs w:val="22"/>
          <w:lang w:val="cs-CZ"/>
        </w:rPr>
      </w:pPr>
      <w:r>
        <w:rPr>
          <w:lang w:val="cs-CZ"/>
        </w:rPr>
        <w:t>(dále jen „</w:t>
      </w:r>
      <w:r>
        <w:rPr>
          <w:b/>
          <w:lang w:val="cs-CZ"/>
        </w:rPr>
        <w:t>Věřitel</w:t>
      </w:r>
      <w:r>
        <w:rPr>
          <w:lang w:val="cs-CZ"/>
        </w:rPr>
        <w:t>“)</w:t>
      </w:r>
    </w:p>
    <w:p w:rsidR="00BD1168" w:rsidRDefault="00BD1168" w:rsidP="00BD1168">
      <w:pPr>
        <w:rPr>
          <w:lang w:val="cs-CZ"/>
        </w:rPr>
      </w:pPr>
    </w:p>
    <w:p w:rsidR="00BD1168" w:rsidRDefault="00BD1168" w:rsidP="00BD1168">
      <w:pPr>
        <w:rPr>
          <w:lang w:val="cs-CZ"/>
        </w:rPr>
      </w:pPr>
      <w:r>
        <w:rPr>
          <w:lang w:val="cs-CZ"/>
        </w:rPr>
        <w:t>a</w:t>
      </w:r>
    </w:p>
    <w:p w:rsidR="00BD1168" w:rsidRDefault="00BD1168" w:rsidP="00BD1168">
      <w:pPr>
        <w:rPr>
          <w:lang w:val="cs-CZ"/>
        </w:rPr>
      </w:pPr>
    </w:p>
    <w:p w:rsidR="00BD1168" w:rsidRDefault="00BD1168" w:rsidP="00BD1168">
      <w:pPr>
        <w:autoSpaceDE w:val="0"/>
        <w:autoSpaceDN w:val="0"/>
        <w:adjustRightInd w:val="0"/>
        <w:rPr>
          <w:color w:val="000000"/>
          <w:lang w:val="cs-CZ" w:eastAsia="en-US"/>
        </w:rPr>
      </w:pPr>
      <w:r>
        <w:rPr>
          <w:b/>
          <w:bCs/>
          <w:color w:val="000000"/>
          <w:lang w:val="cs-CZ" w:eastAsia="en-US"/>
        </w:rPr>
        <w:t>Fakultní nemocnice Brno, příspěvková organizace</w:t>
      </w:r>
    </w:p>
    <w:p w:rsidR="00BD1168" w:rsidRPr="00582A82" w:rsidRDefault="00BD1168" w:rsidP="00BD1168">
      <w:pPr>
        <w:autoSpaceDE w:val="0"/>
        <w:autoSpaceDN w:val="0"/>
        <w:adjustRightInd w:val="0"/>
        <w:jc w:val="both"/>
        <w:rPr>
          <w:color w:val="000000"/>
          <w:lang w:val="cs-CZ" w:eastAsia="en-US"/>
        </w:rPr>
      </w:pPr>
      <w:r>
        <w:rPr>
          <w:color w:val="000000"/>
          <w:lang w:val="cs-CZ" w:eastAsia="en-US"/>
        </w:rPr>
        <w:t xml:space="preserve">se sídlem Brno, Jihlavská 340/20, PSČ 625 00, IČ 65269705, DIČ CZ65269705, </w:t>
      </w:r>
      <w:r w:rsidRPr="00582A82">
        <w:rPr>
          <w:color w:val="000000"/>
          <w:lang w:val="cs-CZ" w:eastAsia="en-US"/>
        </w:rPr>
        <w:t xml:space="preserve">zastoupena </w:t>
      </w:r>
      <w:r w:rsidRPr="00B8544A">
        <w:rPr>
          <w:color w:val="000000"/>
          <w:lang w:val="cs-CZ" w:eastAsia="en-US"/>
        </w:rPr>
        <w:t>MUDr. Roman</w:t>
      </w:r>
      <w:r>
        <w:rPr>
          <w:color w:val="000000"/>
          <w:lang w:val="cs-CZ" w:eastAsia="en-US"/>
        </w:rPr>
        <w:t>em</w:t>
      </w:r>
      <w:r w:rsidRPr="00B8544A">
        <w:rPr>
          <w:color w:val="000000"/>
          <w:lang w:val="cs-CZ" w:eastAsia="en-US"/>
        </w:rPr>
        <w:t xml:space="preserve"> Kraus</w:t>
      </w:r>
      <w:r>
        <w:rPr>
          <w:color w:val="000000"/>
          <w:lang w:val="cs-CZ" w:eastAsia="en-US"/>
        </w:rPr>
        <w:t>em</w:t>
      </w:r>
      <w:r w:rsidRPr="00B8544A">
        <w:rPr>
          <w:color w:val="000000"/>
          <w:lang w:val="cs-CZ" w:eastAsia="en-US"/>
        </w:rPr>
        <w:t>, MBA</w:t>
      </w:r>
      <w:r>
        <w:rPr>
          <w:color w:val="000000"/>
          <w:lang w:val="cs-CZ" w:eastAsia="en-US"/>
        </w:rPr>
        <w:t>, ředitelem nemocnice</w:t>
      </w:r>
    </w:p>
    <w:p w:rsidR="00BD1168" w:rsidRDefault="00BD1168" w:rsidP="00BD1168">
      <w:pPr>
        <w:rPr>
          <w:lang w:val="cs-CZ"/>
        </w:rPr>
      </w:pPr>
      <w:r>
        <w:rPr>
          <w:lang w:val="cs-CZ"/>
        </w:rPr>
        <w:t>(dále jen „</w:t>
      </w:r>
      <w:r>
        <w:rPr>
          <w:b/>
          <w:lang w:val="cs-CZ"/>
        </w:rPr>
        <w:t>Dlužník</w:t>
      </w:r>
      <w:r>
        <w:rPr>
          <w:lang w:val="cs-CZ"/>
        </w:rPr>
        <w:t>“)</w:t>
      </w:r>
    </w:p>
    <w:p w:rsidR="00BD1168" w:rsidRDefault="00BD1168" w:rsidP="00BD1168">
      <w:pPr>
        <w:rPr>
          <w:lang w:val="cs-CZ"/>
        </w:rPr>
      </w:pPr>
    </w:p>
    <w:p w:rsidR="00BD1168" w:rsidRDefault="00BD1168" w:rsidP="00BD1168">
      <w:pPr>
        <w:jc w:val="both"/>
        <w:rPr>
          <w:lang w:val="cs-CZ"/>
        </w:rPr>
      </w:pPr>
      <w:r>
        <w:rPr>
          <w:lang w:val="cs-CZ"/>
        </w:rPr>
        <w:t>uzavírají dnešního dne následující Dohodu o restrukturalizaci v souladu s ustanovením § 1902 a ustanovením § 2053 zákona č. 89/2012 Sb., občanský zákoník (dále jen „</w:t>
      </w:r>
      <w:r>
        <w:rPr>
          <w:b/>
          <w:lang w:val="cs-CZ"/>
        </w:rPr>
        <w:t>Dohoda</w:t>
      </w:r>
      <w:r>
        <w:rPr>
          <w:lang w:val="cs-CZ"/>
        </w:rPr>
        <w:t>“):</w:t>
      </w:r>
    </w:p>
    <w:p w:rsidR="00BD1168" w:rsidRDefault="00BD1168" w:rsidP="00BD1168">
      <w:pPr>
        <w:jc w:val="both"/>
        <w:rPr>
          <w:lang w:val="cs-CZ"/>
        </w:rPr>
      </w:pPr>
    </w:p>
    <w:p w:rsidR="00BD1168" w:rsidRDefault="00BD1168" w:rsidP="00BD1168">
      <w:pPr>
        <w:jc w:val="both"/>
        <w:rPr>
          <w:lang w:val="cs-CZ"/>
        </w:rPr>
      </w:pPr>
    </w:p>
    <w:p w:rsidR="00BD1168" w:rsidRDefault="00BD1168" w:rsidP="00BD1168">
      <w:pPr>
        <w:rPr>
          <w:b/>
          <w:lang w:val="cs-CZ"/>
        </w:rPr>
      </w:pPr>
      <w:r>
        <w:rPr>
          <w:b/>
          <w:lang w:val="cs-CZ"/>
        </w:rPr>
        <w:t>I.</w:t>
      </w:r>
      <w:r>
        <w:rPr>
          <w:b/>
          <w:lang w:val="cs-CZ"/>
        </w:rPr>
        <w:tab/>
        <w:t>PREAMBULE</w:t>
      </w:r>
    </w:p>
    <w:p w:rsidR="00BD1168" w:rsidRDefault="00BD1168" w:rsidP="00BD1168">
      <w:pPr>
        <w:jc w:val="center"/>
        <w:rPr>
          <w:lang w:val="cs-CZ"/>
        </w:rPr>
      </w:pPr>
    </w:p>
    <w:p w:rsidR="00BD1168" w:rsidRDefault="00BD1168" w:rsidP="00BD1168">
      <w:pPr>
        <w:numPr>
          <w:ilvl w:val="1"/>
          <w:numId w:val="1"/>
        </w:numPr>
        <w:ind w:left="709" w:hanging="709"/>
        <w:jc w:val="both"/>
        <w:rPr>
          <w:lang w:val="cs-CZ"/>
        </w:rPr>
      </w:pPr>
      <w:r>
        <w:rPr>
          <w:lang w:val="cs-CZ"/>
        </w:rPr>
        <w:t>Tato Dohoda je uzavřena za účelem smírného vypořádání vymahatelných závazků Dlužníka a umožnění úhrady dluhu ve splátkách dle finančních možností Dlužníka a za účelem předcházení vymáhání v soudním a exekučním řízení.</w:t>
      </w:r>
    </w:p>
    <w:p w:rsidR="00BD1168" w:rsidRDefault="00BD1168" w:rsidP="00BD1168">
      <w:pPr>
        <w:jc w:val="center"/>
        <w:rPr>
          <w:lang w:val="cs-CZ"/>
        </w:rPr>
      </w:pPr>
    </w:p>
    <w:p w:rsidR="00BD1168" w:rsidRDefault="00BD1168" w:rsidP="00BD1168">
      <w:pPr>
        <w:jc w:val="center"/>
        <w:rPr>
          <w:lang w:val="cs-CZ"/>
        </w:rPr>
      </w:pPr>
    </w:p>
    <w:p w:rsidR="00BD1168" w:rsidRDefault="00BD1168" w:rsidP="00BD1168">
      <w:pPr>
        <w:jc w:val="center"/>
        <w:rPr>
          <w:lang w:val="cs-CZ"/>
        </w:rPr>
      </w:pPr>
    </w:p>
    <w:p w:rsidR="00BD1168" w:rsidRDefault="00BD1168" w:rsidP="00BD1168">
      <w:pPr>
        <w:rPr>
          <w:b/>
          <w:lang w:val="cs-CZ"/>
        </w:rPr>
      </w:pPr>
      <w:r>
        <w:rPr>
          <w:b/>
          <w:lang w:val="cs-CZ"/>
        </w:rPr>
        <w:t>II.</w:t>
      </w:r>
      <w:r>
        <w:rPr>
          <w:b/>
          <w:lang w:val="cs-CZ"/>
        </w:rPr>
        <w:tab/>
        <w:t>SPECIFIKACE A UZNÁNÍ ZÁVAZKU</w:t>
      </w:r>
    </w:p>
    <w:p w:rsidR="00BD1168" w:rsidRDefault="00BD1168" w:rsidP="00BD1168">
      <w:pPr>
        <w:jc w:val="both"/>
        <w:rPr>
          <w:lang w:val="cs-CZ"/>
        </w:rPr>
      </w:pPr>
    </w:p>
    <w:p w:rsidR="00BD1168" w:rsidRPr="00440C3C" w:rsidRDefault="00BD1168" w:rsidP="00BD1168">
      <w:pPr>
        <w:numPr>
          <w:ilvl w:val="1"/>
          <w:numId w:val="2"/>
        </w:numPr>
        <w:ind w:left="709" w:hanging="709"/>
        <w:jc w:val="both"/>
        <w:rPr>
          <w:lang w:val="cs-CZ"/>
        </w:rPr>
      </w:pPr>
      <w:r>
        <w:rPr>
          <w:lang w:val="cs-CZ"/>
        </w:rPr>
        <w:t xml:space="preserve">Strany této dohody prohlašují, že </w:t>
      </w:r>
      <w:r>
        <w:rPr>
          <w:b/>
          <w:lang w:val="cs-CZ"/>
        </w:rPr>
        <w:t>BFF Česká republika s.r.o.</w:t>
      </w:r>
      <w:r>
        <w:rPr>
          <w:lang w:val="cs-CZ"/>
        </w:rPr>
        <w:t xml:space="preserve"> je věřitelem Dlužníka na základě nabytí pohledávek od postupitele </w:t>
      </w:r>
      <w:r w:rsidRPr="00B8544A">
        <w:rPr>
          <w:b/>
          <w:lang w:val="en-US"/>
        </w:rPr>
        <w:t xml:space="preserve">GlaxoSmithKline, s.r.o, </w:t>
      </w:r>
      <w:r w:rsidRPr="00B8544A">
        <w:rPr>
          <w:lang w:val="en-US"/>
        </w:rPr>
        <w:t xml:space="preserve">se </w:t>
      </w:r>
      <w:proofErr w:type="spellStart"/>
      <w:r w:rsidRPr="00B8544A">
        <w:rPr>
          <w:lang w:val="en-US"/>
        </w:rPr>
        <w:t>sídlem</w:t>
      </w:r>
      <w:proofErr w:type="spellEnd"/>
      <w:r w:rsidRPr="00B8544A">
        <w:rPr>
          <w:lang w:val="en-US"/>
        </w:rPr>
        <w:t xml:space="preserve"> </w:t>
      </w:r>
      <w:proofErr w:type="spellStart"/>
      <w:r w:rsidRPr="00B8544A">
        <w:rPr>
          <w:lang w:val="en-US"/>
        </w:rPr>
        <w:t>Hvězdova</w:t>
      </w:r>
      <w:proofErr w:type="spellEnd"/>
      <w:r w:rsidRPr="00B8544A">
        <w:rPr>
          <w:lang w:val="en-US"/>
        </w:rPr>
        <w:t xml:space="preserve"> 1734/2c, </w:t>
      </w:r>
      <w:proofErr w:type="spellStart"/>
      <w:r w:rsidRPr="00B8544A">
        <w:rPr>
          <w:lang w:val="en-US"/>
        </w:rPr>
        <w:t>Nusle</w:t>
      </w:r>
      <w:proofErr w:type="spellEnd"/>
      <w:r w:rsidRPr="00B8544A">
        <w:rPr>
          <w:lang w:val="en-US"/>
        </w:rPr>
        <w:t xml:space="preserve">, 140 00 </w:t>
      </w:r>
      <w:proofErr w:type="spellStart"/>
      <w:r w:rsidRPr="00B8544A">
        <w:rPr>
          <w:lang w:val="en-US"/>
        </w:rPr>
        <w:t>Praha</w:t>
      </w:r>
      <w:proofErr w:type="spellEnd"/>
      <w:r w:rsidRPr="00B8544A">
        <w:rPr>
          <w:lang w:val="en-US"/>
        </w:rPr>
        <w:t xml:space="preserve"> 4, IČ: 48114057, DIČ CZ48114057, </w:t>
      </w:r>
      <w:proofErr w:type="spellStart"/>
      <w:r w:rsidRPr="00B8544A">
        <w:rPr>
          <w:lang w:val="en-US"/>
        </w:rPr>
        <w:t>zapsaná</w:t>
      </w:r>
      <w:proofErr w:type="spellEnd"/>
      <w:r w:rsidRPr="00B8544A">
        <w:rPr>
          <w:lang w:val="en-US"/>
        </w:rPr>
        <w:t xml:space="preserve"> v </w:t>
      </w:r>
      <w:proofErr w:type="spellStart"/>
      <w:r w:rsidRPr="00B8544A">
        <w:rPr>
          <w:lang w:val="en-US"/>
        </w:rPr>
        <w:t>obchodním</w:t>
      </w:r>
      <w:proofErr w:type="spellEnd"/>
      <w:r w:rsidRPr="00B8544A">
        <w:rPr>
          <w:lang w:val="en-US"/>
        </w:rPr>
        <w:t xml:space="preserve"> </w:t>
      </w:r>
      <w:proofErr w:type="spellStart"/>
      <w:r w:rsidRPr="00B8544A">
        <w:rPr>
          <w:lang w:val="en-US"/>
        </w:rPr>
        <w:t>rejstříku</w:t>
      </w:r>
      <w:proofErr w:type="spellEnd"/>
      <w:r w:rsidRPr="00B8544A">
        <w:rPr>
          <w:lang w:val="en-US"/>
        </w:rPr>
        <w:t xml:space="preserve"> </w:t>
      </w:r>
      <w:proofErr w:type="spellStart"/>
      <w:r w:rsidRPr="00B8544A">
        <w:rPr>
          <w:lang w:val="en-US"/>
        </w:rPr>
        <w:t>vedeném</w:t>
      </w:r>
      <w:proofErr w:type="spellEnd"/>
      <w:r w:rsidRPr="00B8544A">
        <w:rPr>
          <w:lang w:val="en-US"/>
        </w:rPr>
        <w:t xml:space="preserve"> </w:t>
      </w:r>
      <w:proofErr w:type="spellStart"/>
      <w:r w:rsidRPr="00B8544A">
        <w:rPr>
          <w:lang w:val="en-US"/>
        </w:rPr>
        <w:t>Městským</w:t>
      </w:r>
      <w:proofErr w:type="spellEnd"/>
      <w:r w:rsidRPr="00B8544A">
        <w:rPr>
          <w:lang w:val="en-US"/>
        </w:rPr>
        <w:t xml:space="preserve"> </w:t>
      </w:r>
      <w:proofErr w:type="spellStart"/>
      <w:r w:rsidRPr="00B8544A">
        <w:rPr>
          <w:lang w:val="en-US"/>
        </w:rPr>
        <w:t>soudem</w:t>
      </w:r>
      <w:proofErr w:type="spellEnd"/>
      <w:r w:rsidRPr="00B8544A">
        <w:rPr>
          <w:lang w:val="en-US"/>
        </w:rPr>
        <w:t xml:space="preserve"> v </w:t>
      </w:r>
      <w:proofErr w:type="spellStart"/>
      <w:r w:rsidRPr="00B8544A">
        <w:rPr>
          <w:lang w:val="en-US"/>
        </w:rPr>
        <w:t>Praze</w:t>
      </w:r>
      <w:proofErr w:type="spellEnd"/>
      <w:r w:rsidRPr="00B8544A">
        <w:rPr>
          <w:lang w:val="en-US"/>
        </w:rPr>
        <w:t xml:space="preserve">, </w:t>
      </w:r>
      <w:proofErr w:type="spellStart"/>
      <w:r w:rsidRPr="00B8544A">
        <w:rPr>
          <w:lang w:val="en-US"/>
        </w:rPr>
        <w:t>sp.zn</w:t>
      </w:r>
      <w:proofErr w:type="spellEnd"/>
      <w:r w:rsidRPr="00B8544A">
        <w:rPr>
          <w:lang w:val="en-US"/>
        </w:rPr>
        <w:t xml:space="preserve"> C 16558</w:t>
      </w:r>
      <w:r w:rsidRPr="00B8544A">
        <w:rPr>
          <w:b/>
          <w:bCs/>
          <w:lang w:val="cs-CZ"/>
        </w:rPr>
        <w:t xml:space="preserve"> </w:t>
      </w:r>
      <w:r w:rsidRPr="00B8544A">
        <w:rPr>
          <w:lang w:val="cs-CZ"/>
        </w:rPr>
        <w:t>(dále jen „</w:t>
      </w:r>
      <w:r w:rsidRPr="00B8544A">
        <w:rPr>
          <w:b/>
          <w:lang w:val="cs-CZ"/>
        </w:rPr>
        <w:t>Postupitel</w:t>
      </w:r>
      <w:r w:rsidRPr="00B8544A">
        <w:rPr>
          <w:lang w:val="cs-CZ"/>
        </w:rPr>
        <w:t xml:space="preserve">“) dle </w:t>
      </w:r>
      <w:r>
        <w:rPr>
          <w:lang w:val="cs-CZ"/>
        </w:rPr>
        <w:t>Faktoringové smlouvy</w:t>
      </w:r>
      <w:r w:rsidRPr="00B8544A">
        <w:rPr>
          <w:lang w:val="cs-CZ"/>
        </w:rPr>
        <w:t xml:space="preserve"> č.</w:t>
      </w:r>
      <w:r>
        <w:rPr>
          <w:lang w:val="cs-CZ"/>
        </w:rPr>
        <w:t xml:space="preserve"> </w:t>
      </w:r>
      <w:r w:rsidR="00174265">
        <w:rPr>
          <w:b/>
          <w:bCs/>
        </w:rPr>
        <w:t>xxxxxxxx</w:t>
      </w:r>
      <w:r w:rsidRPr="00B8544A">
        <w:rPr>
          <w:b/>
          <w:bCs/>
        </w:rPr>
        <w:t xml:space="preserve"> </w:t>
      </w:r>
      <w:r w:rsidRPr="00B8544A">
        <w:rPr>
          <w:lang w:val="cs-CZ"/>
        </w:rPr>
        <w:t xml:space="preserve">ze dne </w:t>
      </w:r>
      <w:proofErr w:type="spellStart"/>
      <w:r w:rsidR="00174265">
        <w:rPr>
          <w:b/>
          <w:lang w:val="cs-CZ"/>
        </w:rPr>
        <w:t>xxxxxxxxxx</w:t>
      </w:r>
      <w:proofErr w:type="spellEnd"/>
      <w:r w:rsidRPr="00B8544A">
        <w:rPr>
          <w:b/>
          <w:lang w:val="cs-CZ"/>
        </w:rPr>
        <w:t xml:space="preserve"> </w:t>
      </w:r>
      <w:r w:rsidRPr="00B8544A">
        <w:rPr>
          <w:lang w:val="cs-CZ"/>
        </w:rPr>
        <w:t xml:space="preserve">a </w:t>
      </w:r>
      <w:proofErr w:type="gramStart"/>
      <w:r w:rsidRPr="00B8544A">
        <w:rPr>
          <w:lang w:val="cs-CZ"/>
        </w:rPr>
        <w:t>na</w:t>
      </w:r>
      <w:proofErr w:type="gramEnd"/>
      <w:r w:rsidRPr="00B8544A">
        <w:rPr>
          <w:lang w:val="cs-CZ"/>
        </w:rPr>
        <w:t xml:space="preserve"> základě předchozí smlouvy uzavřené mezi Postupitelem a Dlužníkem. Postoupené pohledávky včetně jejich právního titulu byly specifikovány v oznámení o postoupení pohledávek (dále jen „</w:t>
      </w:r>
      <w:r w:rsidRPr="00B8544A">
        <w:rPr>
          <w:b/>
          <w:lang w:val="cs-CZ"/>
        </w:rPr>
        <w:t>Oznámení o postoupení pohledávek</w:t>
      </w:r>
      <w:r w:rsidRPr="00B8544A">
        <w:rPr>
          <w:lang w:val="cs-CZ"/>
        </w:rPr>
        <w:t>“). Dlužník prohlašuje, že si je vědom právního důvodu a výše postoupených pohledávek a že mu bylo postoupení pohledávek řádně Postupitelem oznámeno.</w:t>
      </w:r>
    </w:p>
    <w:p w:rsidR="00BD1168" w:rsidRDefault="00BD1168" w:rsidP="00BD1168">
      <w:pPr>
        <w:numPr>
          <w:ilvl w:val="1"/>
          <w:numId w:val="2"/>
        </w:numPr>
        <w:ind w:left="709" w:hanging="709"/>
        <w:jc w:val="both"/>
        <w:rPr>
          <w:lang w:val="cs-CZ"/>
        </w:rPr>
      </w:pPr>
      <w:r>
        <w:rPr>
          <w:lang w:val="cs-CZ"/>
        </w:rPr>
        <w:t xml:space="preserve">Stav závazků Dlužníka vůči Věřiteli z titulu výše uvedeného postoupení pohledávek a předchozí smlouvy uzavřené mezi Postupitelem a Dlužníkem činí z titulu jistiny </w:t>
      </w:r>
      <w:r>
        <w:rPr>
          <w:b/>
          <w:lang w:val="cs-CZ"/>
        </w:rPr>
        <w:t>4 424 735,93</w:t>
      </w:r>
      <w:r w:rsidRPr="000F3229">
        <w:rPr>
          <w:lang w:val="cs-CZ"/>
        </w:rPr>
        <w:t xml:space="preserve"> </w:t>
      </w:r>
      <w:r w:rsidRPr="000F3229">
        <w:rPr>
          <w:b/>
          <w:bCs/>
          <w:lang w:val="cs-CZ"/>
        </w:rPr>
        <w:t>Kč</w:t>
      </w:r>
      <w:r w:rsidRPr="000F3229">
        <w:rPr>
          <w:bCs/>
          <w:lang w:val="cs-CZ"/>
        </w:rPr>
        <w:t xml:space="preserve"> (slovy:</w:t>
      </w:r>
      <w:r>
        <w:rPr>
          <w:bCs/>
          <w:lang w:val="cs-CZ"/>
        </w:rPr>
        <w:t xml:space="preserve"> Čtyři miliony čtyři sta dvacet čtyři tisíc sedm set třicet pět korun českých, 93/100</w:t>
      </w:r>
      <w:r w:rsidRPr="000F3229">
        <w:rPr>
          <w:lang w:val="cs-CZ"/>
        </w:rPr>
        <w:t>)</w:t>
      </w:r>
      <w:r w:rsidRPr="000F3229">
        <w:rPr>
          <w:b/>
          <w:lang w:val="cs-CZ"/>
        </w:rPr>
        <w:t xml:space="preserve"> </w:t>
      </w:r>
      <w:r>
        <w:rPr>
          <w:lang w:val="cs-CZ"/>
        </w:rPr>
        <w:t xml:space="preserve">a nevyčíslené nabíhající zákonné úroky z prodlení. </w:t>
      </w:r>
    </w:p>
    <w:p w:rsidR="00BD1168" w:rsidRPr="0092635A" w:rsidRDefault="00BD1168" w:rsidP="00BD1168">
      <w:pPr>
        <w:numPr>
          <w:ilvl w:val="1"/>
          <w:numId w:val="2"/>
        </w:numPr>
        <w:ind w:left="709" w:hanging="709"/>
        <w:jc w:val="both"/>
        <w:rPr>
          <w:lang w:val="cs-CZ"/>
        </w:rPr>
      </w:pPr>
      <w:r w:rsidRPr="0092635A">
        <w:rPr>
          <w:lang w:val="cs-CZ"/>
        </w:rPr>
        <w:t xml:space="preserve">Dlužník uznává svůj peněžitý závazek vůči Věřiteli co do důvodu a výše v souladu s Oznámením o postoupení pohledávek, tedy z důvodu vymezeného v odst. </w:t>
      </w:r>
      <w:proofErr w:type="gramStart"/>
      <w:r w:rsidRPr="0092635A">
        <w:rPr>
          <w:lang w:val="cs-CZ"/>
        </w:rPr>
        <w:t>2.1. této</w:t>
      </w:r>
      <w:proofErr w:type="gramEnd"/>
      <w:r w:rsidRPr="0092635A">
        <w:rPr>
          <w:lang w:val="cs-CZ"/>
        </w:rPr>
        <w:t xml:space="preserve"> Dohody a ve výši, jak je uvedena v odstavci 2.2. této Dohody, a prohlašuje, že jeho závazek vůči věřiteli je pravý a splatný.</w:t>
      </w:r>
    </w:p>
    <w:p w:rsidR="00BD1168" w:rsidRPr="005A2397" w:rsidRDefault="00BD1168" w:rsidP="00BD1168">
      <w:pPr>
        <w:ind w:left="709"/>
        <w:jc w:val="both"/>
        <w:rPr>
          <w:lang w:val="cs-CZ"/>
        </w:rPr>
      </w:pPr>
    </w:p>
    <w:p w:rsidR="00BD1168" w:rsidRDefault="00BD1168" w:rsidP="00BD1168">
      <w:pPr>
        <w:ind w:left="709"/>
        <w:jc w:val="both"/>
        <w:rPr>
          <w:lang w:val="cs-CZ"/>
        </w:rPr>
      </w:pPr>
    </w:p>
    <w:p w:rsidR="00BD1168" w:rsidRDefault="00BD1168" w:rsidP="00BD1168">
      <w:pPr>
        <w:rPr>
          <w:b/>
          <w:lang w:val="cs-CZ"/>
        </w:rPr>
      </w:pPr>
      <w:r>
        <w:rPr>
          <w:b/>
          <w:lang w:val="cs-CZ"/>
        </w:rPr>
        <w:t xml:space="preserve">III. </w:t>
      </w:r>
      <w:r>
        <w:rPr>
          <w:b/>
          <w:lang w:val="cs-CZ"/>
        </w:rPr>
        <w:tab/>
        <w:t>ZMĚNA OBSAHU ZÁVAZKU</w:t>
      </w:r>
    </w:p>
    <w:p w:rsidR="00BD1168" w:rsidRDefault="00BD1168" w:rsidP="00BD1168">
      <w:pPr>
        <w:jc w:val="center"/>
        <w:rPr>
          <w:lang w:val="cs-CZ"/>
        </w:rPr>
      </w:pPr>
    </w:p>
    <w:p w:rsidR="00BD1168" w:rsidRDefault="00BD1168" w:rsidP="00BD1168">
      <w:pPr>
        <w:numPr>
          <w:ilvl w:val="1"/>
          <w:numId w:val="3"/>
        </w:numPr>
        <w:ind w:left="709" w:hanging="709"/>
        <w:jc w:val="both"/>
        <w:rPr>
          <w:lang w:val="cs-CZ"/>
        </w:rPr>
      </w:pPr>
      <w:r>
        <w:rPr>
          <w:lang w:val="cs-CZ"/>
        </w:rPr>
        <w:t>Smluvní strany shodně deklarují vůli změnit obsah závazku Dlužníka vůči Věřiteli specifikovaného v článku II. této Dohody.</w:t>
      </w:r>
    </w:p>
    <w:p w:rsidR="00BD1168" w:rsidRDefault="00BD1168" w:rsidP="00BD1168">
      <w:pPr>
        <w:numPr>
          <w:ilvl w:val="1"/>
          <w:numId w:val="3"/>
        </w:numPr>
        <w:ind w:left="709" w:hanging="709"/>
        <w:jc w:val="both"/>
        <w:rPr>
          <w:lang w:val="cs-CZ"/>
        </w:rPr>
      </w:pPr>
      <w:r>
        <w:rPr>
          <w:lang w:val="cs-CZ"/>
        </w:rPr>
        <w:t xml:space="preserve">Smluvní strany se dohodly, že stávající závazek Dlužníka dle článku II. vůči Věřiteli včetně jeho příslušenství a všech nároků vyplývajících z prodlení Dlužníka s hrazením pohledávek specifikovaných v článku II. zaniká a je nahrazován novým závazkem, který činí ke dni podpisu této Dohody na jistině </w:t>
      </w:r>
      <w:r w:rsidRPr="006E5DCD">
        <w:rPr>
          <w:b/>
          <w:lang w:val="cs-CZ"/>
        </w:rPr>
        <w:t>4 424 735,93</w:t>
      </w:r>
      <w:r w:rsidRPr="006E5DCD">
        <w:rPr>
          <w:lang w:val="cs-CZ"/>
        </w:rPr>
        <w:t xml:space="preserve"> </w:t>
      </w:r>
      <w:r w:rsidRPr="006E5DCD">
        <w:rPr>
          <w:b/>
          <w:bCs/>
          <w:lang w:val="cs-CZ"/>
        </w:rPr>
        <w:t>Kč</w:t>
      </w:r>
      <w:r w:rsidRPr="006E5DCD">
        <w:rPr>
          <w:bCs/>
          <w:lang w:val="cs-CZ"/>
        </w:rPr>
        <w:t xml:space="preserve"> (slovy: Čtyři miliony čtyři sta dvacet čtyři tisíc sedm set třicet pět korun českých, 93/100</w:t>
      </w:r>
      <w:r w:rsidRPr="006E5DCD">
        <w:rPr>
          <w:lang w:val="cs-CZ"/>
        </w:rPr>
        <w:t>)</w:t>
      </w:r>
      <w:r>
        <w:rPr>
          <w:lang w:val="cs-CZ"/>
        </w:rPr>
        <w:t>.</w:t>
      </w:r>
      <w:r w:rsidRPr="000F3229">
        <w:rPr>
          <w:b/>
          <w:lang w:val="cs-CZ"/>
        </w:rPr>
        <w:t xml:space="preserve"> </w:t>
      </w:r>
      <w:r>
        <w:rPr>
          <w:lang w:val="cs-CZ"/>
        </w:rPr>
        <w:t xml:space="preserve"> Dlužník tento svůj závazek vůči Věřiteli uznává co do důvodu a výše. Věřitel se zavazuje závazek zaniklý dle věty prvé tohoto odstavce </w:t>
      </w:r>
      <w:proofErr w:type="gramStart"/>
      <w:r>
        <w:rPr>
          <w:lang w:val="cs-CZ"/>
        </w:rPr>
        <w:t>3.2. ani</w:t>
      </w:r>
      <w:proofErr w:type="gramEnd"/>
      <w:r>
        <w:rPr>
          <w:lang w:val="cs-CZ"/>
        </w:rPr>
        <w:t xml:space="preserve"> jakákoliv plnění vyplývající z tohoto zaniklého závazku, s výjimkou plnění výslovně ujednaných v této Dohodě, dále na Dlužníkovi nevymáhat.</w:t>
      </w:r>
    </w:p>
    <w:p w:rsidR="00BD1168" w:rsidRDefault="00BD1168" w:rsidP="00BD1168">
      <w:pPr>
        <w:numPr>
          <w:ilvl w:val="1"/>
          <w:numId w:val="3"/>
        </w:numPr>
        <w:ind w:left="709" w:hanging="709"/>
        <w:jc w:val="both"/>
        <w:rPr>
          <w:lang w:val="cs-CZ"/>
        </w:rPr>
      </w:pPr>
      <w:r>
        <w:rPr>
          <w:lang w:val="cs-CZ"/>
        </w:rPr>
        <w:t>Věřitel souhlasí, aby výše nový závazek založený touto Dohodou byl Dlužníkem hrazen ve splátkách.</w:t>
      </w:r>
    </w:p>
    <w:p w:rsidR="00BD1168" w:rsidRDefault="00BD1168" w:rsidP="00BD1168">
      <w:pPr>
        <w:rPr>
          <w:lang w:val="cs-CZ"/>
        </w:rPr>
      </w:pPr>
    </w:p>
    <w:p w:rsidR="00BD1168" w:rsidRDefault="00BD1168" w:rsidP="00BD1168">
      <w:pPr>
        <w:rPr>
          <w:lang w:val="cs-CZ"/>
        </w:rPr>
      </w:pPr>
    </w:p>
    <w:p w:rsidR="00BD1168" w:rsidRDefault="00BD1168" w:rsidP="00BD1168">
      <w:pPr>
        <w:rPr>
          <w:b/>
          <w:lang w:val="cs-CZ"/>
        </w:rPr>
      </w:pPr>
      <w:r>
        <w:rPr>
          <w:b/>
          <w:lang w:val="cs-CZ"/>
        </w:rPr>
        <w:t>IV.</w:t>
      </w:r>
      <w:r>
        <w:rPr>
          <w:b/>
          <w:lang w:val="cs-CZ"/>
        </w:rPr>
        <w:tab/>
        <w:t>PLNĚNÍ ZÁVAZKU VE SPLÁTKÁCH</w:t>
      </w:r>
    </w:p>
    <w:p w:rsidR="00BD1168" w:rsidRDefault="00BD1168" w:rsidP="00BD1168">
      <w:pPr>
        <w:jc w:val="center"/>
        <w:rPr>
          <w:lang w:val="cs-CZ"/>
        </w:rPr>
      </w:pPr>
    </w:p>
    <w:p w:rsidR="00BD1168" w:rsidRDefault="00BD1168" w:rsidP="00BD1168">
      <w:pPr>
        <w:numPr>
          <w:ilvl w:val="1"/>
          <w:numId w:val="4"/>
        </w:numPr>
        <w:tabs>
          <w:tab w:val="left" w:pos="709"/>
        </w:tabs>
        <w:ind w:left="709" w:hanging="709"/>
        <w:jc w:val="both"/>
        <w:rPr>
          <w:lang w:val="cs-CZ"/>
        </w:rPr>
      </w:pPr>
      <w:r>
        <w:rPr>
          <w:lang w:val="cs-CZ"/>
        </w:rPr>
        <w:t>Smluvní strany se dohodly, že závazek Dlužníka vůči Věřiteli uvedený v článku III. této Dohody bude plněn dle níže uvedeného splátkového kalendáře:</w:t>
      </w:r>
    </w:p>
    <w:p w:rsidR="00BD1168" w:rsidRDefault="00BD1168" w:rsidP="00BD1168">
      <w:pPr>
        <w:tabs>
          <w:tab w:val="left" w:pos="709"/>
        </w:tabs>
        <w:ind w:left="709"/>
        <w:jc w:val="both"/>
        <w:rPr>
          <w:lang w:val="cs-CZ"/>
        </w:rPr>
      </w:pPr>
    </w:p>
    <w:tbl>
      <w:tblPr>
        <w:tblW w:w="8860" w:type="dxa"/>
        <w:tblInd w:w="637" w:type="dxa"/>
        <w:tblCellMar>
          <w:left w:w="70" w:type="dxa"/>
          <w:right w:w="70" w:type="dxa"/>
        </w:tblCellMar>
        <w:tblLook w:val="04A0" w:firstRow="1" w:lastRow="0" w:firstColumn="1" w:lastColumn="0" w:noHBand="0" w:noVBand="1"/>
      </w:tblPr>
      <w:tblGrid>
        <w:gridCol w:w="1340"/>
        <w:gridCol w:w="1840"/>
        <w:gridCol w:w="1980"/>
        <w:gridCol w:w="1980"/>
        <w:gridCol w:w="1720"/>
      </w:tblGrid>
      <w:tr w:rsidR="00BD1168" w:rsidTr="00440C3C">
        <w:trPr>
          <w:trHeight w:val="336"/>
        </w:trPr>
        <w:tc>
          <w:tcPr>
            <w:tcW w:w="134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BD1168" w:rsidRDefault="00BD1168" w:rsidP="00440C3C">
            <w:pPr>
              <w:jc w:val="center"/>
              <w:rPr>
                <w:color w:val="000000"/>
                <w:lang w:val="cs-CZ" w:eastAsia="cs-CZ"/>
              </w:rPr>
            </w:pPr>
            <w:r>
              <w:rPr>
                <w:color w:val="000000"/>
              </w:rPr>
              <w:t>Číslo faktury</w:t>
            </w:r>
          </w:p>
        </w:tc>
        <w:tc>
          <w:tcPr>
            <w:tcW w:w="1840" w:type="dxa"/>
            <w:tcBorders>
              <w:top w:val="single" w:sz="8" w:space="0" w:color="auto"/>
              <w:left w:val="nil"/>
              <w:bottom w:val="double" w:sz="6" w:space="0" w:color="auto"/>
              <w:right w:val="single" w:sz="4" w:space="0" w:color="auto"/>
            </w:tcBorders>
            <w:shd w:val="clear" w:color="auto" w:fill="auto"/>
            <w:noWrap/>
            <w:vAlign w:val="bottom"/>
            <w:hideMark/>
          </w:tcPr>
          <w:p w:rsidR="00BD1168" w:rsidRDefault="00BD1168" w:rsidP="00440C3C">
            <w:pPr>
              <w:jc w:val="center"/>
              <w:rPr>
                <w:color w:val="000000"/>
              </w:rPr>
            </w:pPr>
            <w:r>
              <w:rPr>
                <w:color w:val="000000"/>
              </w:rPr>
              <w:t>Původní splatnost</w:t>
            </w:r>
          </w:p>
        </w:tc>
        <w:tc>
          <w:tcPr>
            <w:tcW w:w="1980" w:type="dxa"/>
            <w:tcBorders>
              <w:top w:val="single" w:sz="8" w:space="0" w:color="auto"/>
              <w:left w:val="nil"/>
              <w:bottom w:val="double" w:sz="6" w:space="0" w:color="auto"/>
              <w:right w:val="single" w:sz="12" w:space="0" w:color="auto"/>
            </w:tcBorders>
            <w:shd w:val="clear" w:color="auto" w:fill="auto"/>
            <w:noWrap/>
            <w:vAlign w:val="bottom"/>
            <w:hideMark/>
          </w:tcPr>
          <w:p w:rsidR="00BD1168" w:rsidRDefault="00BD1168" w:rsidP="00440C3C">
            <w:pPr>
              <w:jc w:val="center"/>
              <w:rPr>
                <w:color w:val="000000"/>
              </w:rPr>
            </w:pPr>
            <w:r>
              <w:rPr>
                <w:color w:val="000000"/>
              </w:rPr>
              <w:t>Částka faktury</w:t>
            </w:r>
          </w:p>
        </w:tc>
        <w:tc>
          <w:tcPr>
            <w:tcW w:w="1980" w:type="dxa"/>
            <w:tcBorders>
              <w:top w:val="single" w:sz="12" w:space="0" w:color="auto"/>
              <w:left w:val="nil"/>
              <w:bottom w:val="double" w:sz="6" w:space="0" w:color="auto"/>
              <w:right w:val="single" w:sz="4" w:space="0" w:color="auto"/>
            </w:tcBorders>
            <w:shd w:val="clear" w:color="000000" w:fill="FFF2CC"/>
            <w:noWrap/>
            <w:vAlign w:val="bottom"/>
            <w:hideMark/>
          </w:tcPr>
          <w:p w:rsidR="00BD1168" w:rsidRDefault="00BD1168" w:rsidP="00440C3C">
            <w:pPr>
              <w:jc w:val="center"/>
              <w:rPr>
                <w:color w:val="000000"/>
              </w:rPr>
            </w:pPr>
            <w:r>
              <w:rPr>
                <w:color w:val="000000"/>
              </w:rPr>
              <w:t>Splátka</w:t>
            </w:r>
          </w:p>
        </w:tc>
        <w:tc>
          <w:tcPr>
            <w:tcW w:w="1720" w:type="dxa"/>
            <w:tcBorders>
              <w:top w:val="single" w:sz="12" w:space="0" w:color="auto"/>
              <w:left w:val="nil"/>
              <w:bottom w:val="double" w:sz="6" w:space="0" w:color="auto"/>
              <w:right w:val="single" w:sz="12" w:space="0" w:color="auto"/>
            </w:tcBorders>
            <w:shd w:val="clear" w:color="000000" w:fill="FFF2CC"/>
            <w:noWrap/>
            <w:vAlign w:val="bottom"/>
            <w:hideMark/>
          </w:tcPr>
          <w:p w:rsidR="00BD1168" w:rsidRDefault="00BD1168" w:rsidP="00440C3C">
            <w:pPr>
              <w:jc w:val="center"/>
              <w:rPr>
                <w:color w:val="000000"/>
              </w:rPr>
            </w:pPr>
            <w:r>
              <w:rPr>
                <w:color w:val="000000"/>
              </w:rPr>
              <w:t>Datum splatnosti</w:t>
            </w:r>
          </w:p>
        </w:tc>
      </w:tr>
      <w:tr w:rsidR="00BD1168" w:rsidTr="00174265">
        <w:trPr>
          <w:trHeight w:val="324"/>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1810015897</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val="restart"/>
            <w:tcBorders>
              <w:top w:val="nil"/>
              <w:left w:val="nil"/>
              <w:bottom w:val="single" w:sz="8" w:space="0" w:color="000000"/>
              <w:right w:val="single" w:sz="4" w:space="0" w:color="auto"/>
            </w:tcBorders>
            <w:shd w:val="clear" w:color="000000" w:fill="FFF2CC"/>
            <w:noWrap/>
            <w:vAlign w:val="center"/>
          </w:tcPr>
          <w:p w:rsidR="00BD1168" w:rsidRDefault="00BD1168" w:rsidP="00440C3C">
            <w:pPr>
              <w:jc w:val="center"/>
              <w:rPr>
                <w:b/>
                <w:bCs/>
                <w:color w:val="000000"/>
              </w:rPr>
            </w:pPr>
          </w:p>
        </w:tc>
        <w:tc>
          <w:tcPr>
            <w:tcW w:w="1720" w:type="dxa"/>
            <w:vMerge w:val="restart"/>
            <w:tcBorders>
              <w:top w:val="nil"/>
              <w:left w:val="single" w:sz="4" w:space="0" w:color="auto"/>
              <w:bottom w:val="single" w:sz="8" w:space="0" w:color="000000"/>
              <w:right w:val="single" w:sz="12" w:space="0" w:color="auto"/>
            </w:tcBorders>
            <w:shd w:val="clear" w:color="000000" w:fill="FFF2CC"/>
            <w:noWrap/>
            <w:vAlign w:val="center"/>
          </w:tcPr>
          <w:p w:rsidR="00BD1168" w:rsidRDefault="00BD1168" w:rsidP="00440C3C">
            <w:pPr>
              <w:jc w:val="cente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1810015912</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1810015979</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24"/>
        </w:trPr>
        <w:tc>
          <w:tcPr>
            <w:tcW w:w="1340" w:type="dxa"/>
            <w:tcBorders>
              <w:top w:val="nil"/>
              <w:left w:val="single" w:sz="8" w:space="0" w:color="auto"/>
              <w:bottom w:val="single" w:sz="8" w:space="0" w:color="auto"/>
              <w:right w:val="single" w:sz="4" w:space="0" w:color="auto"/>
            </w:tcBorders>
            <w:shd w:val="clear" w:color="000000" w:fill="FFFFFF"/>
            <w:noWrap/>
            <w:vAlign w:val="bottom"/>
            <w:hideMark/>
          </w:tcPr>
          <w:p w:rsidR="00BD1168" w:rsidRDefault="00BD1168" w:rsidP="00440C3C">
            <w:pPr>
              <w:jc w:val="center"/>
            </w:pPr>
            <w:r>
              <w:t>1810016072</w:t>
            </w:r>
          </w:p>
        </w:tc>
        <w:tc>
          <w:tcPr>
            <w:tcW w:w="1840" w:type="dxa"/>
            <w:tcBorders>
              <w:top w:val="nil"/>
              <w:left w:val="nil"/>
              <w:bottom w:val="single" w:sz="8" w:space="0" w:color="auto"/>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single" w:sz="8" w:space="0" w:color="auto"/>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1810016136</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val="restart"/>
            <w:tcBorders>
              <w:top w:val="nil"/>
              <w:left w:val="nil"/>
              <w:bottom w:val="single" w:sz="8" w:space="0" w:color="000000"/>
              <w:right w:val="single" w:sz="4" w:space="0" w:color="auto"/>
            </w:tcBorders>
            <w:shd w:val="clear" w:color="000000" w:fill="FFF2CC"/>
            <w:noWrap/>
            <w:vAlign w:val="center"/>
          </w:tcPr>
          <w:p w:rsidR="00BD1168" w:rsidRDefault="00BD1168" w:rsidP="00440C3C">
            <w:pPr>
              <w:jc w:val="center"/>
              <w:rPr>
                <w:b/>
                <w:bCs/>
                <w:color w:val="000000"/>
              </w:rPr>
            </w:pPr>
          </w:p>
        </w:tc>
        <w:tc>
          <w:tcPr>
            <w:tcW w:w="1720" w:type="dxa"/>
            <w:vMerge w:val="restart"/>
            <w:tcBorders>
              <w:top w:val="nil"/>
              <w:left w:val="single" w:sz="4" w:space="0" w:color="auto"/>
              <w:bottom w:val="single" w:sz="8" w:space="0" w:color="000000"/>
              <w:right w:val="single" w:sz="12" w:space="0" w:color="auto"/>
            </w:tcBorders>
            <w:shd w:val="clear" w:color="000000" w:fill="FFF2CC"/>
            <w:noWrap/>
            <w:vAlign w:val="center"/>
          </w:tcPr>
          <w:p w:rsidR="00BD1168" w:rsidRDefault="00BD1168" w:rsidP="00440C3C">
            <w:pPr>
              <w:jc w:val="cente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1810016294</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1810016318</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24"/>
        </w:trPr>
        <w:tc>
          <w:tcPr>
            <w:tcW w:w="1340" w:type="dxa"/>
            <w:tcBorders>
              <w:top w:val="nil"/>
              <w:left w:val="single" w:sz="8" w:space="0" w:color="auto"/>
              <w:bottom w:val="single" w:sz="8" w:space="0" w:color="auto"/>
              <w:right w:val="single" w:sz="4" w:space="0" w:color="auto"/>
            </w:tcBorders>
            <w:shd w:val="clear" w:color="000000" w:fill="FFFFFF"/>
            <w:noWrap/>
            <w:vAlign w:val="bottom"/>
            <w:hideMark/>
          </w:tcPr>
          <w:p w:rsidR="00BD1168" w:rsidRDefault="00BD1168" w:rsidP="00440C3C">
            <w:pPr>
              <w:jc w:val="center"/>
            </w:pPr>
            <w:r>
              <w:t>1810016367</w:t>
            </w:r>
          </w:p>
        </w:tc>
        <w:tc>
          <w:tcPr>
            <w:tcW w:w="1840" w:type="dxa"/>
            <w:tcBorders>
              <w:top w:val="nil"/>
              <w:left w:val="nil"/>
              <w:bottom w:val="single" w:sz="8" w:space="0" w:color="auto"/>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single" w:sz="8" w:space="0" w:color="auto"/>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1810016386</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val="restart"/>
            <w:tcBorders>
              <w:top w:val="nil"/>
              <w:left w:val="nil"/>
              <w:bottom w:val="single" w:sz="8" w:space="0" w:color="000000"/>
              <w:right w:val="single" w:sz="4" w:space="0" w:color="auto"/>
            </w:tcBorders>
            <w:shd w:val="clear" w:color="000000" w:fill="FFF2CC"/>
            <w:noWrap/>
            <w:vAlign w:val="center"/>
          </w:tcPr>
          <w:p w:rsidR="00BD1168" w:rsidRDefault="00BD1168" w:rsidP="00440C3C">
            <w:pPr>
              <w:jc w:val="center"/>
              <w:rPr>
                <w:b/>
                <w:bCs/>
                <w:color w:val="000000"/>
              </w:rPr>
            </w:pPr>
          </w:p>
        </w:tc>
        <w:tc>
          <w:tcPr>
            <w:tcW w:w="1720" w:type="dxa"/>
            <w:vMerge w:val="restart"/>
            <w:tcBorders>
              <w:top w:val="nil"/>
              <w:left w:val="single" w:sz="4" w:space="0" w:color="auto"/>
              <w:bottom w:val="single" w:sz="8" w:space="0" w:color="000000"/>
              <w:right w:val="single" w:sz="12" w:space="0" w:color="auto"/>
            </w:tcBorders>
            <w:shd w:val="clear" w:color="000000" w:fill="FFF2CC"/>
            <w:noWrap/>
            <w:vAlign w:val="center"/>
          </w:tcPr>
          <w:p w:rsidR="00BD1168" w:rsidRDefault="00BD1168" w:rsidP="00440C3C">
            <w:pPr>
              <w:jc w:val="cente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1810016428</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1810016490</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24"/>
        </w:trPr>
        <w:tc>
          <w:tcPr>
            <w:tcW w:w="1340" w:type="dxa"/>
            <w:tcBorders>
              <w:top w:val="nil"/>
              <w:left w:val="single" w:sz="8" w:space="0" w:color="auto"/>
              <w:bottom w:val="single" w:sz="8" w:space="0" w:color="auto"/>
              <w:right w:val="single" w:sz="4" w:space="0" w:color="auto"/>
            </w:tcBorders>
            <w:shd w:val="clear" w:color="000000" w:fill="FFFFFF"/>
            <w:noWrap/>
            <w:vAlign w:val="bottom"/>
            <w:hideMark/>
          </w:tcPr>
          <w:p w:rsidR="00BD1168" w:rsidRDefault="00BD1168" w:rsidP="00440C3C">
            <w:pPr>
              <w:jc w:val="center"/>
            </w:pPr>
            <w:r>
              <w:t>1810016587</w:t>
            </w:r>
          </w:p>
        </w:tc>
        <w:tc>
          <w:tcPr>
            <w:tcW w:w="1840" w:type="dxa"/>
            <w:tcBorders>
              <w:top w:val="nil"/>
              <w:left w:val="nil"/>
              <w:bottom w:val="single" w:sz="8" w:space="0" w:color="auto"/>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single" w:sz="8" w:space="0" w:color="auto"/>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tcPr>
          <w:p w:rsidR="00BD1168" w:rsidRDefault="00BD1168" w:rsidP="00440C3C">
            <w:pPr>
              <w:rPr>
                <w:b/>
                <w:bCs/>
                <w:color w:val="000000"/>
              </w:rPr>
            </w:pPr>
          </w:p>
        </w:tc>
      </w:tr>
      <w:tr w:rsidR="00BD1168" w:rsidTr="00174265">
        <w:trPr>
          <w:trHeight w:val="312"/>
        </w:trPr>
        <w:tc>
          <w:tcPr>
            <w:tcW w:w="1340" w:type="dxa"/>
            <w:tcBorders>
              <w:top w:val="nil"/>
              <w:left w:val="single" w:sz="8" w:space="0" w:color="auto"/>
              <w:bottom w:val="nil"/>
              <w:right w:val="single" w:sz="4" w:space="0" w:color="auto"/>
            </w:tcBorders>
            <w:shd w:val="clear" w:color="000000" w:fill="FFFFFF"/>
            <w:noWrap/>
            <w:vAlign w:val="bottom"/>
            <w:hideMark/>
          </w:tcPr>
          <w:p w:rsidR="00BD1168" w:rsidRDefault="00BD1168" w:rsidP="00440C3C">
            <w:pPr>
              <w:jc w:val="center"/>
            </w:pPr>
            <w:r>
              <w:t>1810016638</w:t>
            </w:r>
          </w:p>
        </w:tc>
        <w:tc>
          <w:tcPr>
            <w:tcW w:w="1840" w:type="dxa"/>
            <w:tcBorders>
              <w:top w:val="nil"/>
              <w:left w:val="nil"/>
              <w:bottom w:val="nil"/>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nil"/>
              <w:right w:val="single" w:sz="12" w:space="0" w:color="auto"/>
            </w:tcBorders>
            <w:shd w:val="clear" w:color="000000" w:fill="FFFFFF"/>
            <w:noWrap/>
            <w:vAlign w:val="bottom"/>
          </w:tcPr>
          <w:p w:rsidR="00BD1168" w:rsidRDefault="00BD1168" w:rsidP="00440C3C">
            <w:pPr>
              <w:jc w:val="right"/>
            </w:pPr>
          </w:p>
        </w:tc>
        <w:tc>
          <w:tcPr>
            <w:tcW w:w="1980" w:type="dxa"/>
            <w:vMerge w:val="restart"/>
            <w:tcBorders>
              <w:top w:val="nil"/>
              <w:left w:val="nil"/>
              <w:bottom w:val="single" w:sz="8" w:space="0" w:color="000000"/>
              <w:right w:val="single" w:sz="4" w:space="0" w:color="auto"/>
            </w:tcBorders>
            <w:shd w:val="clear" w:color="000000" w:fill="FFF2CC"/>
            <w:noWrap/>
            <w:vAlign w:val="center"/>
          </w:tcPr>
          <w:p w:rsidR="00BD1168" w:rsidRDefault="00BD1168" w:rsidP="00440C3C">
            <w:pPr>
              <w:jc w:val="center"/>
              <w:rPr>
                <w:b/>
                <w:bCs/>
                <w:color w:val="000000"/>
              </w:rPr>
            </w:pPr>
          </w:p>
        </w:tc>
        <w:tc>
          <w:tcPr>
            <w:tcW w:w="1720" w:type="dxa"/>
            <w:vMerge w:val="restart"/>
            <w:tcBorders>
              <w:top w:val="nil"/>
              <w:left w:val="single" w:sz="4" w:space="0" w:color="auto"/>
              <w:bottom w:val="single" w:sz="8" w:space="0" w:color="000000"/>
              <w:right w:val="single" w:sz="12" w:space="0" w:color="auto"/>
            </w:tcBorders>
            <w:shd w:val="clear" w:color="000000" w:fill="FFF2CC"/>
            <w:noWrap/>
            <w:vAlign w:val="center"/>
          </w:tcPr>
          <w:p w:rsidR="00BD1168" w:rsidRDefault="00BD1168" w:rsidP="00440C3C">
            <w:pPr>
              <w:jc w:val="center"/>
              <w:rPr>
                <w:b/>
                <w:bCs/>
                <w:color w:val="000000"/>
              </w:rPr>
            </w:pPr>
          </w:p>
        </w:tc>
      </w:tr>
      <w:tr w:rsidR="00BD1168" w:rsidTr="00174265">
        <w:trPr>
          <w:trHeight w:val="324"/>
        </w:trPr>
        <w:tc>
          <w:tcPr>
            <w:tcW w:w="1340" w:type="dxa"/>
            <w:tcBorders>
              <w:top w:val="nil"/>
              <w:left w:val="single" w:sz="8" w:space="0" w:color="auto"/>
              <w:bottom w:val="single" w:sz="8" w:space="0" w:color="auto"/>
              <w:right w:val="single" w:sz="4" w:space="0" w:color="auto"/>
            </w:tcBorders>
            <w:shd w:val="clear" w:color="000000" w:fill="FFFFFF"/>
            <w:noWrap/>
            <w:vAlign w:val="bottom"/>
            <w:hideMark/>
          </w:tcPr>
          <w:p w:rsidR="00BD1168" w:rsidRDefault="00BD1168" w:rsidP="00440C3C">
            <w:pPr>
              <w:jc w:val="center"/>
            </w:pPr>
            <w:r>
              <w:t>1810016689</w:t>
            </w:r>
          </w:p>
        </w:tc>
        <w:tc>
          <w:tcPr>
            <w:tcW w:w="1840" w:type="dxa"/>
            <w:tcBorders>
              <w:top w:val="nil"/>
              <w:left w:val="nil"/>
              <w:bottom w:val="single" w:sz="8" w:space="0" w:color="auto"/>
              <w:right w:val="single" w:sz="4" w:space="0" w:color="auto"/>
            </w:tcBorders>
            <w:shd w:val="clear" w:color="000000" w:fill="FFFFFF"/>
            <w:noWrap/>
            <w:vAlign w:val="bottom"/>
          </w:tcPr>
          <w:p w:rsidR="00BD1168" w:rsidRDefault="00BD1168" w:rsidP="00440C3C">
            <w:pPr>
              <w:jc w:val="center"/>
            </w:pPr>
          </w:p>
        </w:tc>
        <w:tc>
          <w:tcPr>
            <w:tcW w:w="1980" w:type="dxa"/>
            <w:tcBorders>
              <w:top w:val="nil"/>
              <w:left w:val="nil"/>
              <w:bottom w:val="single" w:sz="8" w:space="0" w:color="auto"/>
              <w:right w:val="single" w:sz="12" w:space="0" w:color="auto"/>
            </w:tcBorders>
            <w:shd w:val="clear" w:color="000000" w:fill="FFFFFF"/>
            <w:noWrap/>
            <w:vAlign w:val="bottom"/>
          </w:tcPr>
          <w:p w:rsidR="00BD1168" w:rsidRDefault="00BD1168" w:rsidP="00440C3C">
            <w:pPr>
              <w:jc w:val="right"/>
            </w:pPr>
          </w:p>
        </w:tc>
        <w:tc>
          <w:tcPr>
            <w:tcW w:w="1980" w:type="dxa"/>
            <w:vMerge/>
            <w:tcBorders>
              <w:top w:val="nil"/>
              <w:left w:val="nil"/>
              <w:bottom w:val="single" w:sz="8" w:space="0" w:color="000000"/>
              <w:right w:val="single" w:sz="4" w:space="0" w:color="auto"/>
            </w:tcBorders>
            <w:vAlign w:val="center"/>
            <w:hideMark/>
          </w:tcPr>
          <w:p w:rsidR="00BD1168" w:rsidRDefault="00BD1168" w:rsidP="00440C3C">
            <w:pPr>
              <w:rPr>
                <w:b/>
                <w:bCs/>
                <w:color w:val="000000"/>
              </w:rPr>
            </w:pPr>
          </w:p>
        </w:tc>
        <w:tc>
          <w:tcPr>
            <w:tcW w:w="1720" w:type="dxa"/>
            <w:vMerge/>
            <w:tcBorders>
              <w:top w:val="nil"/>
              <w:left w:val="single" w:sz="4" w:space="0" w:color="auto"/>
              <w:bottom w:val="single" w:sz="8" w:space="0" w:color="000000"/>
              <w:right w:val="single" w:sz="12" w:space="0" w:color="auto"/>
            </w:tcBorders>
            <w:vAlign w:val="center"/>
            <w:hideMark/>
          </w:tcPr>
          <w:p w:rsidR="00BD1168" w:rsidRDefault="00BD1168" w:rsidP="00440C3C">
            <w:pPr>
              <w:rPr>
                <w:b/>
                <w:bCs/>
                <w:color w:val="000000"/>
              </w:rPr>
            </w:pPr>
          </w:p>
        </w:tc>
      </w:tr>
      <w:tr w:rsidR="00BD1168" w:rsidTr="00440C3C">
        <w:trPr>
          <w:trHeight w:val="324"/>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BD1168" w:rsidRDefault="00BD1168" w:rsidP="00440C3C">
            <w:pPr>
              <w:rPr>
                <w:color w:val="000000"/>
              </w:rPr>
            </w:pPr>
            <w:r>
              <w:rPr>
                <w:color w:val="000000"/>
              </w:rPr>
              <w:t> </w:t>
            </w:r>
          </w:p>
        </w:tc>
        <w:tc>
          <w:tcPr>
            <w:tcW w:w="1840" w:type="dxa"/>
            <w:tcBorders>
              <w:top w:val="nil"/>
              <w:left w:val="nil"/>
              <w:bottom w:val="single" w:sz="8" w:space="0" w:color="auto"/>
              <w:right w:val="single" w:sz="4" w:space="0" w:color="auto"/>
            </w:tcBorders>
            <w:shd w:val="clear" w:color="auto" w:fill="auto"/>
            <w:noWrap/>
            <w:vAlign w:val="bottom"/>
            <w:hideMark/>
          </w:tcPr>
          <w:p w:rsidR="00BD1168" w:rsidRDefault="00BD1168" w:rsidP="00440C3C">
            <w:pPr>
              <w:jc w:val="right"/>
              <w:rPr>
                <w:color w:val="000000"/>
              </w:rPr>
            </w:pPr>
            <w:r>
              <w:rPr>
                <w:color w:val="000000"/>
              </w:rPr>
              <w:t>Celkem:</w:t>
            </w:r>
          </w:p>
        </w:tc>
        <w:tc>
          <w:tcPr>
            <w:tcW w:w="1980" w:type="dxa"/>
            <w:tcBorders>
              <w:top w:val="nil"/>
              <w:left w:val="nil"/>
              <w:bottom w:val="single" w:sz="8" w:space="0" w:color="auto"/>
              <w:right w:val="single" w:sz="12" w:space="0" w:color="auto"/>
            </w:tcBorders>
            <w:shd w:val="clear" w:color="auto" w:fill="auto"/>
            <w:noWrap/>
            <w:vAlign w:val="bottom"/>
            <w:hideMark/>
          </w:tcPr>
          <w:p w:rsidR="00BD1168" w:rsidRDefault="00BD1168" w:rsidP="00440C3C">
            <w:pPr>
              <w:jc w:val="right"/>
              <w:rPr>
                <w:color w:val="000000"/>
              </w:rPr>
            </w:pPr>
            <w:r>
              <w:rPr>
                <w:color w:val="000000"/>
              </w:rPr>
              <w:t xml:space="preserve">    4 424 735,93 Kč </w:t>
            </w:r>
          </w:p>
        </w:tc>
        <w:tc>
          <w:tcPr>
            <w:tcW w:w="1980" w:type="dxa"/>
            <w:tcBorders>
              <w:top w:val="nil"/>
              <w:left w:val="nil"/>
              <w:bottom w:val="single" w:sz="12" w:space="0" w:color="auto"/>
              <w:right w:val="single" w:sz="4" w:space="0" w:color="auto"/>
            </w:tcBorders>
            <w:shd w:val="clear" w:color="000000" w:fill="FFF2CC"/>
            <w:noWrap/>
            <w:vAlign w:val="bottom"/>
            <w:hideMark/>
          </w:tcPr>
          <w:p w:rsidR="00BD1168" w:rsidRDefault="00BD1168" w:rsidP="00440C3C">
            <w:pPr>
              <w:rPr>
                <w:b/>
                <w:bCs/>
                <w:color w:val="000000"/>
              </w:rPr>
            </w:pPr>
            <w:r>
              <w:rPr>
                <w:b/>
                <w:bCs/>
                <w:color w:val="000000"/>
              </w:rPr>
              <w:t xml:space="preserve">   4 424 735,93 Kč </w:t>
            </w:r>
          </w:p>
        </w:tc>
        <w:tc>
          <w:tcPr>
            <w:tcW w:w="1720" w:type="dxa"/>
            <w:tcBorders>
              <w:top w:val="nil"/>
              <w:left w:val="nil"/>
              <w:bottom w:val="single" w:sz="12" w:space="0" w:color="auto"/>
              <w:right w:val="single" w:sz="12" w:space="0" w:color="auto"/>
            </w:tcBorders>
            <w:shd w:val="clear" w:color="000000" w:fill="FFF2CC"/>
            <w:noWrap/>
            <w:vAlign w:val="bottom"/>
            <w:hideMark/>
          </w:tcPr>
          <w:p w:rsidR="00BD1168" w:rsidRDefault="00BD1168" w:rsidP="00440C3C">
            <w:pPr>
              <w:rPr>
                <w:color w:val="000000"/>
              </w:rPr>
            </w:pPr>
            <w:r>
              <w:rPr>
                <w:color w:val="000000"/>
              </w:rPr>
              <w:t> </w:t>
            </w:r>
          </w:p>
        </w:tc>
      </w:tr>
    </w:tbl>
    <w:p w:rsidR="00BD1168" w:rsidRDefault="00BD1168" w:rsidP="00BD1168">
      <w:pPr>
        <w:tabs>
          <w:tab w:val="left" w:pos="709"/>
        </w:tabs>
        <w:ind w:left="709"/>
        <w:jc w:val="both"/>
        <w:rPr>
          <w:lang w:val="cs-CZ"/>
        </w:rPr>
      </w:pPr>
    </w:p>
    <w:p w:rsidR="00BD1168" w:rsidRDefault="00BD1168" w:rsidP="00BD1168">
      <w:pPr>
        <w:tabs>
          <w:tab w:val="left" w:pos="1440"/>
        </w:tabs>
        <w:jc w:val="both"/>
        <w:rPr>
          <w:lang w:val="cs-CZ"/>
        </w:rPr>
      </w:pPr>
    </w:p>
    <w:p w:rsidR="00BD1168" w:rsidRDefault="00BD1168" w:rsidP="00BD1168">
      <w:pPr>
        <w:numPr>
          <w:ilvl w:val="1"/>
          <w:numId w:val="4"/>
        </w:numPr>
        <w:tabs>
          <w:tab w:val="left" w:pos="709"/>
        </w:tabs>
        <w:ind w:left="709" w:hanging="709"/>
        <w:jc w:val="both"/>
        <w:rPr>
          <w:lang w:val="cs-CZ"/>
        </w:rPr>
      </w:pPr>
      <w:r>
        <w:rPr>
          <w:lang w:val="cs-CZ"/>
        </w:rPr>
        <w:t xml:space="preserve">Za den úhrady splátky se považuje den, ve kterém bude platba připsána na následující účet Věřitele: </w:t>
      </w:r>
      <w:proofErr w:type="spellStart"/>
      <w:r w:rsidR="00174265">
        <w:rPr>
          <w:b/>
          <w:lang w:val="cs-CZ"/>
        </w:rPr>
        <w:t>xxxxxxxxxxxx</w:t>
      </w:r>
      <w:proofErr w:type="spellEnd"/>
      <w:r w:rsidRPr="008254F9">
        <w:rPr>
          <w:b/>
          <w:lang w:val="cs-CZ"/>
        </w:rPr>
        <w:t>, a.s.</w:t>
      </w:r>
      <w:r>
        <w:rPr>
          <w:lang w:val="cs-CZ"/>
        </w:rPr>
        <w:t xml:space="preserve">, číslo účtu: </w:t>
      </w:r>
      <w:proofErr w:type="spellStart"/>
      <w:r w:rsidR="00174265">
        <w:rPr>
          <w:b/>
          <w:lang w:val="cs-CZ"/>
        </w:rPr>
        <w:t>xxxxxxxxxxxxxx</w:t>
      </w:r>
      <w:proofErr w:type="spellEnd"/>
      <w:r>
        <w:rPr>
          <w:lang w:val="cs-CZ"/>
        </w:rPr>
        <w:t>. Věřitel bude považovat za řádně uhrazenou splátku, která bude připsána na jeho účet do pěti dnů po sjednané lhůtě splatnosti.</w:t>
      </w:r>
    </w:p>
    <w:p w:rsidR="00BD1168" w:rsidRDefault="00BD1168" w:rsidP="00BD1168">
      <w:pPr>
        <w:numPr>
          <w:ilvl w:val="1"/>
          <w:numId w:val="4"/>
        </w:numPr>
        <w:tabs>
          <w:tab w:val="left" w:pos="709"/>
        </w:tabs>
        <w:ind w:left="709" w:hanging="709"/>
        <w:jc w:val="both"/>
        <w:rPr>
          <w:lang w:val="cs-CZ"/>
        </w:rPr>
      </w:pPr>
      <w:r>
        <w:rPr>
          <w:lang w:val="cs-CZ"/>
        </w:rPr>
        <w:lastRenderedPageBreak/>
        <w:t xml:space="preserve">Dlužník se zavazuje uhradit veškeré náklady spojené s poukázáním jednotlivých splátek dle splátkového kalendáře uvedeného v odstavci </w:t>
      </w:r>
      <w:proofErr w:type="gramStart"/>
      <w:r>
        <w:rPr>
          <w:lang w:val="cs-CZ"/>
        </w:rPr>
        <w:t>4.1. této</w:t>
      </w:r>
      <w:proofErr w:type="gramEnd"/>
      <w:r>
        <w:rPr>
          <w:lang w:val="cs-CZ"/>
        </w:rPr>
        <w:t xml:space="preserve"> Dohody na účet Věřitele uvedený v odstavci 4.2. této smlouvy.</w:t>
      </w:r>
    </w:p>
    <w:p w:rsidR="00BD1168" w:rsidRDefault="00BD1168" w:rsidP="00BD1168">
      <w:pPr>
        <w:numPr>
          <w:ilvl w:val="1"/>
          <w:numId w:val="4"/>
        </w:numPr>
        <w:tabs>
          <w:tab w:val="left" w:pos="709"/>
        </w:tabs>
        <w:ind w:left="709" w:hanging="709"/>
        <w:jc w:val="both"/>
        <w:rPr>
          <w:lang w:val="cs-CZ"/>
        </w:rPr>
      </w:pPr>
      <w:r>
        <w:rPr>
          <w:lang w:val="cs-CZ"/>
        </w:rPr>
        <w:t>Neuhradí-li Dlužník některou z uvedených splátek v požadovaném termínu nebo ji v tomto termínu uhradí jen částečně a toto prodlení neodstraní ani v dodatečné lhůtě 5 pracovních dnů:</w:t>
      </w:r>
    </w:p>
    <w:p w:rsidR="00BD1168" w:rsidRDefault="00BD1168" w:rsidP="00BD1168">
      <w:pPr>
        <w:numPr>
          <w:ilvl w:val="2"/>
          <w:numId w:val="4"/>
        </w:numPr>
        <w:ind w:left="1440"/>
        <w:jc w:val="both"/>
        <w:rPr>
          <w:lang w:val="cs-CZ"/>
        </w:rPr>
      </w:pPr>
      <w:r>
        <w:rPr>
          <w:lang w:val="cs-CZ"/>
        </w:rPr>
        <w:t>má Věřitel právo na vyrovnání celé pohledávky v souladu s § 1931 občanského zákoníku,</w:t>
      </w:r>
    </w:p>
    <w:p w:rsidR="00BD1168" w:rsidRDefault="00BD1168" w:rsidP="00BD1168">
      <w:pPr>
        <w:numPr>
          <w:ilvl w:val="2"/>
          <w:numId w:val="4"/>
        </w:numPr>
        <w:ind w:left="1440"/>
        <w:jc w:val="both"/>
        <w:rPr>
          <w:lang w:val="cs-CZ"/>
        </w:rPr>
      </w:pPr>
      <w:r>
        <w:rPr>
          <w:lang w:val="cs-CZ"/>
        </w:rPr>
        <w:t xml:space="preserve">Věřitel má právo vymáhat svou pohledávku s příslušenstvím soudní cestou. </w:t>
      </w:r>
    </w:p>
    <w:p w:rsidR="00BD1168" w:rsidRDefault="00BD1168" w:rsidP="00BD1168">
      <w:pPr>
        <w:numPr>
          <w:ilvl w:val="1"/>
          <w:numId w:val="4"/>
        </w:numPr>
        <w:tabs>
          <w:tab w:val="left" w:pos="709"/>
        </w:tabs>
        <w:ind w:left="709" w:hanging="709"/>
        <w:jc w:val="both"/>
        <w:rPr>
          <w:lang w:val="cs-CZ"/>
        </w:rPr>
      </w:pPr>
      <w:r>
        <w:rPr>
          <w:lang w:val="cs-CZ"/>
        </w:rPr>
        <w:t>V</w:t>
      </w:r>
      <w:r>
        <w:rPr>
          <w:sz w:val="22"/>
          <w:szCs w:val="22"/>
          <w:lang w:val="cs-CZ"/>
        </w:rPr>
        <w:t> </w:t>
      </w:r>
      <w:r>
        <w:rPr>
          <w:lang w:val="cs-CZ"/>
        </w:rPr>
        <w:t xml:space="preserve">případě opakovaného porušení splátkového kalendáře Dlužníkem má Věřitel právo od této Dohody odstoupit. Odstoupením tato Dohoda zaniká s výjimkou uznání dluhu dle odst. </w:t>
      </w:r>
      <w:proofErr w:type="gramStart"/>
      <w:r>
        <w:rPr>
          <w:lang w:val="cs-CZ"/>
        </w:rPr>
        <w:t>2.3. této</w:t>
      </w:r>
      <w:proofErr w:type="gramEnd"/>
      <w:r>
        <w:rPr>
          <w:lang w:val="cs-CZ"/>
        </w:rPr>
        <w:t xml:space="preserve"> Dohody.</w:t>
      </w:r>
    </w:p>
    <w:p w:rsidR="00BD1168" w:rsidRDefault="00BD1168" w:rsidP="00BD1168">
      <w:pPr>
        <w:numPr>
          <w:ilvl w:val="1"/>
          <w:numId w:val="4"/>
        </w:numPr>
        <w:tabs>
          <w:tab w:val="left" w:pos="709"/>
        </w:tabs>
        <w:ind w:left="709" w:hanging="709"/>
        <w:jc w:val="both"/>
        <w:rPr>
          <w:lang w:val="cs-CZ"/>
        </w:rPr>
      </w:pPr>
      <w:r>
        <w:rPr>
          <w:lang w:val="cs-CZ"/>
        </w:rPr>
        <w:t>V případě, že Dlužník opakovaně poruší splátkový kalendář, nebo dlužná částka ve vztahu ke splátkovému kalendáři překročí 30 % jistin</w:t>
      </w:r>
      <w:r w:rsidRPr="008254F9">
        <w:rPr>
          <w:lang w:val="cs-CZ"/>
        </w:rPr>
        <w:t>y</w:t>
      </w:r>
      <w:r>
        <w:rPr>
          <w:i/>
          <w:lang w:val="cs-CZ"/>
        </w:rPr>
        <w:t xml:space="preserve">, </w:t>
      </w:r>
      <w:r>
        <w:rPr>
          <w:lang w:val="cs-CZ"/>
        </w:rPr>
        <w:t>Dlužník je povinen na žádost Věřitele uznat svůj dluh včetně příslušenství formou notářského zápisu s doložkou vykonatelnosti.</w:t>
      </w:r>
    </w:p>
    <w:p w:rsidR="00BD1168" w:rsidRDefault="00BD1168" w:rsidP="00BD1168">
      <w:pPr>
        <w:numPr>
          <w:ilvl w:val="1"/>
          <w:numId w:val="4"/>
        </w:numPr>
        <w:tabs>
          <w:tab w:val="left" w:pos="709"/>
        </w:tabs>
        <w:ind w:left="709" w:hanging="709"/>
        <w:jc w:val="both"/>
        <w:rPr>
          <w:lang w:val="cs-CZ"/>
        </w:rPr>
      </w:pPr>
      <w:r>
        <w:rPr>
          <w:lang w:val="cs-CZ"/>
        </w:rPr>
        <w:t xml:space="preserve">V případě, kdy Dlužník včas oznámí Věřiteli existenci možných problémů s plněním splátkového kalendáře, Věřitel je ochoten přistoupit na </w:t>
      </w:r>
      <w:proofErr w:type="spellStart"/>
      <w:r>
        <w:rPr>
          <w:lang w:val="cs-CZ"/>
        </w:rPr>
        <w:t>renegociaci</w:t>
      </w:r>
      <w:proofErr w:type="spellEnd"/>
      <w:r>
        <w:rPr>
          <w:lang w:val="cs-CZ"/>
        </w:rPr>
        <w:t xml:space="preserve"> splátkového kalendáře.</w:t>
      </w:r>
    </w:p>
    <w:p w:rsidR="00BD1168" w:rsidRDefault="00BD1168" w:rsidP="00BD1168">
      <w:pPr>
        <w:numPr>
          <w:ilvl w:val="1"/>
          <w:numId w:val="4"/>
        </w:numPr>
        <w:tabs>
          <w:tab w:val="left" w:pos="709"/>
        </w:tabs>
        <w:ind w:left="709" w:hanging="709"/>
        <w:jc w:val="both"/>
        <w:rPr>
          <w:lang w:val="cs-CZ"/>
        </w:rPr>
      </w:pPr>
      <w:r>
        <w:rPr>
          <w:lang w:val="cs-CZ"/>
        </w:rPr>
        <w:t>Jestliže Dlužník bude v rozporu s touto Dohodou svůj dluh vůči Věřiteli platit v jiných částkách, než je výše splátek dohodnutých ve splátkovém kalendáři obsaženém v této Dohodě, zavazuje se uhradit smluvní pokutu ve výši 5 000,00 Kč za každý takový případ.</w:t>
      </w:r>
    </w:p>
    <w:p w:rsidR="00BD1168" w:rsidRDefault="00BD1168" w:rsidP="00BD1168">
      <w:pPr>
        <w:numPr>
          <w:ilvl w:val="1"/>
          <w:numId w:val="4"/>
        </w:numPr>
        <w:ind w:left="709" w:hanging="709"/>
        <w:jc w:val="both"/>
        <w:rPr>
          <w:lang w:val="cs-CZ"/>
        </w:rPr>
      </w:pPr>
      <w:r>
        <w:rPr>
          <w:lang w:val="cs-CZ"/>
        </w:rPr>
        <w:t xml:space="preserve">Dlužník je oprávněn Věřiteli uhradit celý svůj závazek předčasně, i mimo termíny uvedené ve splátkovém kalendáři, aniž by z tohoto postupu Dlužníkovi vznikaly vůči Věřiteli další závazky. Tato Dohoda končí ke dni uhrazení závazku Dlužníka dle této Dohody Věřiteli.  </w:t>
      </w:r>
    </w:p>
    <w:p w:rsidR="00BD1168" w:rsidRDefault="00BD1168" w:rsidP="00BD1168">
      <w:pPr>
        <w:numPr>
          <w:ilvl w:val="1"/>
          <w:numId w:val="4"/>
        </w:numPr>
        <w:ind w:left="709" w:hanging="709"/>
        <w:jc w:val="both"/>
        <w:rPr>
          <w:lang w:val="cs-CZ"/>
        </w:rPr>
      </w:pPr>
      <w:r>
        <w:rPr>
          <w:lang w:val="cs-CZ"/>
        </w:rPr>
        <w:t xml:space="preserve">Věřitel bere na vědomí, že </w:t>
      </w:r>
      <w:r w:rsidRPr="00440C3C">
        <w:rPr>
          <w:bCs/>
          <w:lang w:val="cs-CZ"/>
        </w:rPr>
        <w:t>Fakultní nemocnice Brno, příspěvková organizace</w:t>
      </w:r>
      <w:r>
        <w:rPr>
          <w:lang w:val="cs-CZ"/>
        </w:rPr>
        <w:t xml:space="preserve"> je povinným subjektem ve smyslu zákona č. 106/1999 Sb., o svobodném přístupu k informacím, a zákona č. 340/2015 Sb. o registru smluv, z čeho vyplývá povinnost zveřejnit Dohodu v Registru smluv, popř. poskytnout třetím osobám informace z Dohody v zákonném rozsahu.</w:t>
      </w:r>
    </w:p>
    <w:p w:rsidR="00BD1168" w:rsidRDefault="00BD1168" w:rsidP="00BD1168">
      <w:pPr>
        <w:numPr>
          <w:ilvl w:val="1"/>
          <w:numId w:val="4"/>
        </w:numPr>
        <w:ind w:left="709" w:hanging="709"/>
        <w:jc w:val="both"/>
        <w:rPr>
          <w:lang w:val="cs-CZ"/>
        </w:rPr>
      </w:pPr>
      <w:r>
        <w:rPr>
          <w:lang w:val="cs-CZ"/>
        </w:rPr>
        <w:t xml:space="preserve">Zveřejnění Dohody v Registru smluv provede </w:t>
      </w:r>
      <w:r w:rsidRPr="00440C3C">
        <w:rPr>
          <w:bCs/>
          <w:lang w:val="cs-CZ"/>
        </w:rPr>
        <w:t>Fakultní nemocnice Brno, příspěvková organizace</w:t>
      </w:r>
      <w:r w:rsidRPr="001700F4">
        <w:rPr>
          <w:lang w:val="cs-CZ"/>
        </w:rPr>
        <w:t xml:space="preserve"> b</w:t>
      </w:r>
      <w:r>
        <w:rPr>
          <w:lang w:val="cs-CZ"/>
        </w:rPr>
        <w:t>ezprostředně po uzavření Smlouvy, nejpozději však do 30 dnů od uzavření. Pokud je druhá smluvní strana rovněž povinným subjektem dle předchozího odstavce, je povinna předat druhé smluvní straně nejpozději do 5 pracovních dní od zveřejnění informace z Registru smluv o datu zveřejnění a ID smlouvy. Platnost této Dohody nastává jejím podpisem smluvními stranami a účinnost jejím zveřejněním v Registru smluv.</w:t>
      </w:r>
    </w:p>
    <w:p w:rsidR="00BD1168" w:rsidRDefault="00BD1168" w:rsidP="00BD1168">
      <w:pPr>
        <w:numPr>
          <w:ilvl w:val="1"/>
          <w:numId w:val="4"/>
        </w:numPr>
        <w:ind w:left="709" w:hanging="709"/>
        <w:jc w:val="both"/>
        <w:rPr>
          <w:lang w:val="cs-CZ"/>
        </w:rPr>
      </w:pPr>
      <w:r>
        <w:rPr>
          <w:lang w:val="cs-CZ"/>
        </w:rPr>
        <w:t xml:space="preserve">Smluvní strany jsou povinny </w:t>
      </w:r>
      <w:bookmarkStart w:id="0" w:name="_Hlk516073643"/>
      <w:r>
        <w:rPr>
          <w:lang w:val="cs-CZ"/>
        </w:rPr>
        <w:t xml:space="preserve">před zveřejněním Dohody v Registru smluv </w:t>
      </w:r>
      <w:bookmarkEnd w:id="0"/>
      <w:r>
        <w:rPr>
          <w:lang w:val="cs-CZ"/>
        </w:rPr>
        <w:t>znepřístupnit třetím osobám informace ze smlouvy, které smluvní strany považují za obchodní tajemství podle § 504 zákona č. 89/2012 Sb., občanského zákoníku. Pro účely tohoto ustanovení považují smluvní strany za svoje obchodní tajemství především tyto části Dohody, data, informace: harmonogram splátek.</w:t>
      </w:r>
    </w:p>
    <w:p w:rsidR="00BD1168" w:rsidRDefault="00BD1168" w:rsidP="00BD1168">
      <w:pPr>
        <w:ind w:left="360"/>
        <w:jc w:val="both"/>
        <w:rPr>
          <w:lang w:val="cs-CZ"/>
        </w:rPr>
      </w:pPr>
    </w:p>
    <w:p w:rsidR="00BD1168" w:rsidRDefault="00BD1168" w:rsidP="00BD1168">
      <w:pPr>
        <w:rPr>
          <w:lang w:val="cs-CZ"/>
        </w:rPr>
      </w:pPr>
    </w:p>
    <w:p w:rsidR="00BD1168" w:rsidRDefault="00BD1168" w:rsidP="00BD1168">
      <w:pPr>
        <w:autoSpaceDE w:val="0"/>
        <w:autoSpaceDN w:val="0"/>
        <w:adjustRightInd w:val="0"/>
        <w:ind w:left="709" w:hanging="709"/>
        <w:jc w:val="both"/>
        <w:rPr>
          <w:b/>
          <w:color w:val="000000"/>
          <w:lang w:val="cs-CZ"/>
        </w:rPr>
      </w:pPr>
      <w:r>
        <w:rPr>
          <w:b/>
          <w:lang w:val="cs-CZ"/>
        </w:rPr>
        <w:t>V.</w:t>
      </w:r>
      <w:r>
        <w:rPr>
          <w:b/>
          <w:lang w:val="cs-CZ"/>
        </w:rPr>
        <w:tab/>
      </w:r>
      <w:r w:rsidRPr="008254F9">
        <w:rPr>
          <w:b/>
          <w:color w:val="000000"/>
          <w:lang w:val="cs-CZ"/>
        </w:rPr>
        <w:t>OCHRANA OSOBNÍCH ÚDAJŮ</w:t>
      </w:r>
    </w:p>
    <w:p w:rsidR="00BD1168" w:rsidRDefault="00BD1168" w:rsidP="00BD1168">
      <w:pPr>
        <w:autoSpaceDE w:val="0"/>
        <w:autoSpaceDN w:val="0"/>
        <w:adjustRightInd w:val="0"/>
        <w:ind w:left="709" w:hanging="709"/>
        <w:jc w:val="both"/>
        <w:rPr>
          <w:b/>
          <w:lang w:val="cs-CZ"/>
        </w:rPr>
      </w:pPr>
    </w:p>
    <w:p w:rsidR="00BD1168" w:rsidRPr="008254F9" w:rsidRDefault="00BD1168" w:rsidP="00BD1168">
      <w:pPr>
        <w:autoSpaceDE w:val="0"/>
        <w:autoSpaceDN w:val="0"/>
        <w:adjustRightInd w:val="0"/>
        <w:ind w:left="709" w:hanging="709"/>
        <w:jc w:val="both"/>
        <w:rPr>
          <w:lang w:val="cs-CZ"/>
        </w:rPr>
      </w:pPr>
      <w:proofErr w:type="gramStart"/>
      <w:r w:rsidRPr="008254F9">
        <w:rPr>
          <w:lang w:val="cs-CZ"/>
        </w:rPr>
        <w:t>5.1</w:t>
      </w:r>
      <w:proofErr w:type="gramEnd"/>
      <w:r w:rsidRPr="008254F9">
        <w:rPr>
          <w:lang w:val="cs-CZ"/>
        </w:rPr>
        <w:t>.</w:t>
      </w:r>
      <w:r w:rsidRPr="008254F9">
        <w:rPr>
          <w:lang w:val="cs-CZ"/>
        </w:rPr>
        <w:tab/>
      </w:r>
      <w:r>
        <w:rPr>
          <w:lang w:val="cs-CZ"/>
        </w:rPr>
        <w:t>Dlužník</w:t>
      </w:r>
      <w:r w:rsidRPr="008254F9">
        <w:rPr>
          <w:lang w:val="cs-CZ"/>
        </w:rPr>
        <w:t xml:space="preserve"> tímto prohlašuje, že si je vědom a souhlasí s tím, aby jeho osobní údaje o totožnosti byly uchovávány v archivech </w:t>
      </w:r>
      <w:r>
        <w:rPr>
          <w:lang w:val="cs-CZ"/>
        </w:rPr>
        <w:t>Věřitele</w:t>
      </w:r>
      <w:r w:rsidRPr="008254F9">
        <w:rPr>
          <w:lang w:val="cs-CZ"/>
        </w:rPr>
        <w:t xml:space="preserve"> společně s dalšími údaji získanými </w:t>
      </w:r>
      <w:r>
        <w:rPr>
          <w:lang w:val="cs-CZ"/>
        </w:rPr>
        <w:lastRenderedPageBreak/>
        <w:t>Věřitelem</w:t>
      </w:r>
      <w:r w:rsidRPr="008254F9">
        <w:rPr>
          <w:lang w:val="cs-CZ"/>
        </w:rPr>
        <w:t xml:space="preserve"> za účelem hodnocení úvěruschopnosti a dalšími obchodními účely, které úzce souvisí nebo jsou přímo zásadní pro hlavní činnost </w:t>
      </w:r>
      <w:r>
        <w:rPr>
          <w:lang w:val="cs-CZ"/>
        </w:rPr>
        <w:t>Věřitele</w:t>
      </w:r>
      <w:r w:rsidRPr="008254F9">
        <w:rPr>
          <w:lang w:val="cs-CZ"/>
        </w:rPr>
        <w:t xml:space="preserve">, případně za účelem splnění právních, účetních nebo daňových závazků, jakož i za obchodními a reklamními účely, pokud k tomu </w:t>
      </w:r>
      <w:r>
        <w:rPr>
          <w:lang w:val="cs-CZ"/>
        </w:rPr>
        <w:t>Dlužník</w:t>
      </w:r>
      <w:r w:rsidRPr="008254F9">
        <w:rPr>
          <w:lang w:val="cs-CZ"/>
        </w:rPr>
        <w:t xml:space="preserve"> dá souhlas (např. zasílání zpravodajů a katalogů s aktuálními informacemi o nabízených službách či pozvánek na akce a konference pořádané </w:t>
      </w:r>
      <w:r>
        <w:rPr>
          <w:lang w:val="cs-CZ"/>
        </w:rPr>
        <w:t>Věřitelem</w:t>
      </w:r>
      <w:r w:rsidRPr="008254F9">
        <w:rPr>
          <w:lang w:val="cs-CZ"/>
        </w:rPr>
        <w:t xml:space="preserve">). Poskytnutí osobních údajů za účelem dodržení zákonných a smluvních závazků je povinné a jejich odmítnutí znemožňuje výkon předmětu </w:t>
      </w:r>
      <w:r>
        <w:rPr>
          <w:lang w:val="cs-CZ"/>
        </w:rPr>
        <w:t>Dohody</w:t>
      </w:r>
      <w:r w:rsidRPr="008254F9">
        <w:rPr>
          <w:lang w:val="cs-CZ"/>
        </w:rPr>
        <w:t xml:space="preserve"> či poskytnutí služeb </w:t>
      </w:r>
      <w:r>
        <w:rPr>
          <w:lang w:val="cs-CZ"/>
        </w:rPr>
        <w:t>Dohodou</w:t>
      </w:r>
      <w:r w:rsidRPr="008254F9">
        <w:rPr>
          <w:lang w:val="cs-CZ"/>
        </w:rPr>
        <w:t xml:space="preserve"> garantovaných.</w:t>
      </w:r>
    </w:p>
    <w:p w:rsidR="00BD1168" w:rsidRPr="00440C3C" w:rsidRDefault="00BD1168" w:rsidP="00BD1168">
      <w:pPr>
        <w:autoSpaceDE w:val="0"/>
        <w:autoSpaceDN w:val="0"/>
        <w:adjustRightInd w:val="0"/>
        <w:ind w:left="709" w:hanging="709"/>
        <w:jc w:val="both"/>
        <w:rPr>
          <w:lang w:val="cs-CZ"/>
        </w:rPr>
      </w:pPr>
      <w:proofErr w:type="gramStart"/>
      <w:r w:rsidRPr="00440C3C">
        <w:rPr>
          <w:color w:val="000000"/>
          <w:lang w:val="cs-CZ"/>
        </w:rPr>
        <w:t>5.</w:t>
      </w:r>
      <w:r w:rsidRPr="00440C3C">
        <w:rPr>
          <w:lang w:val="cs-CZ"/>
        </w:rPr>
        <w:t>2</w:t>
      </w:r>
      <w:proofErr w:type="gramEnd"/>
      <w:r w:rsidRPr="00440C3C">
        <w:rPr>
          <w:lang w:val="cs-CZ"/>
        </w:rPr>
        <w:t>.</w:t>
      </w:r>
      <w:r w:rsidRPr="00440C3C">
        <w:rPr>
          <w:lang w:val="cs-CZ"/>
        </w:rPr>
        <w:tab/>
        <w:t>Poskytnutí osobních údajů za obchodními a reklamními účely je dobrovolné a jeho odmítnutí není právně postižitelné. Osobní údaje a informace zpracované během výkonu předmětu Dohody mohou být předány třetí straně, jmenovitě státním institucím, aby jim byl umožněn dozor a regulace. Všechny tyto třetí strany musí při zpracování údajů dbát na to, aby se neodchýlily od účelu, za kterým jim byly údaje poskytnuty.</w:t>
      </w:r>
    </w:p>
    <w:p w:rsidR="00BD1168" w:rsidRDefault="00BD1168" w:rsidP="00BD1168">
      <w:pPr>
        <w:autoSpaceDE w:val="0"/>
        <w:autoSpaceDN w:val="0"/>
        <w:adjustRightInd w:val="0"/>
        <w:ind w:left="709" w:hanging="709"/>
        <w:jc w:val="both"/>
      </w:pPr>
      <w:proofErr w:type="gramStart"/>
      <w:r w:rsidRPr="00440C3C">
        <w:rPr>
          <w:color w:val="000000"/>
          <w:lang w:val="cs-CZ"/>
        </w:rPr>
        <w:t>5.</w:t>
      </w:r>
      <w:r w:rsidRPr="00440C3C">
        <w:rPr>
          <w:lang w:val="cs-CZ"/>
        </w:rPr>
        <w:t>3</w:t>
      </w:r>
      <w:proofErr w:type="gramEnd"/>
      <w:r w:rsidRPr="00440C3C">
        <w:rPr>
          <w:lang w:val="cs-CZ"/>
        </w:rPr>
        <w:t>.</w:t>
      </w:r>
      <w:r w:rsidRPr="00440C3C">
        <w:rPr>
          <w:lang w:val="cs-CZ"/>
        </w:rPr>
        <w:tab/>
        <w:t xml:space="preserve">Osobní údaje budou v plném rozsahu uchovávány po celou dobu trvání platnosti této Dohody. </w:t>
      </w:r>
      <w:r>
        <w:t>Poté budou osobní údaje uchovávány i později z důvodu možné kontroly ze strany státních orgánů. Je rovněž možné se domluvit na uchovávání osobních údajů nebo jejich části po delší dobu, a to za účelem uplatnění či ochrany práv ve všech oblastech, zvláště pak při jednání s orgány soudní moci.</w:t>
      </w:r>
    </w:p>
    <w:p w:rsidR="00BD1168" w:rsidRDefault="00BD1168" w:rsidP="00BD1168">
      <w:pPr>
        <w:autoSpaceDE w:val="0"/>
        <w:autoSpaceDN w:val="0"/>
        <w:adjustRightInd w:val="0"/>
        <w:ind w:left="709" w:hanging="709"/>
        <w:jc w:val="both"/>
      </w:pPr>
      <w:r>
        <w:rPr>
          <w:color w:val="000000"/>
        </w:rPr>
        <w:t>5.</w:t>
      </w:r>
      <w:r>
        <w:t>4.</w:t>
      </w:r>
      <w:r>
        <w:tab/>
        <w:t>Dle ustanovení článku 15 a následujících Nařízení Evropského parlamentu a Rady (EU) 2016/679 má Dlužník právo mj. získat potvrzení o zpracovávání osobních údajů, o důvodech a účelech, za nimiž jsou zpracovávány, a o aktualizacích, opravách a integraci těchto údajů do systémů. Dlužník má rovněž právo vyjádřit svůj nesouhlas se zpracováním osobních údajů a požádat o jejich výmaz, s výjimkou případů, kdy je uchovávání údajů vyžadováno zákonem.</w:t>
      </w:r>
    </w:p>
    <w:p w:rsidR="00BD1168" w:rsidRDefault="00BD1168" w:rsidP="00BD1168">
      <w:pPr>
        <w:autoSpaceDE w:val="0"/>
        <w:autoSpaceDN w:val="0"/>
        <w:adjustRightInd w:val="0"/>
        <w:ind w:left="709" w:hanging="709"/>
        <w:jc w:val="both"/>
      </w:pPr>
      <w:r>
        <w:t>5.5.</w:t>
      </w:r>
      <w:r>
        <w:tab/>
        <w:t>Správcem osobních údajů je Věřitel, který jmenoval koordinátora osobních údajů, na něhož se můžete obrátit, pokud si přejete uplatnit svá výše uvedená práva.</w:t>
      </w:r>
    </w:p>
    <w:p w:rsidR="00BD1168" w:rsidRDefault="00BD1168" w:rsidP="00BD1168">
      <w:pPr>
        <w:autoSpaceDE w:val="0"/>
        <w:autoSpaceDN w:val="0"/>
        <w:adjustRightInd w:val="0"/>
        <w:ind w:left="709" w:hanging="709"/>
        <w:jc w:val="both"/>
      </w:pPr>
      <w:r>
        <w:t>5.6.</w:t>
      </w:r>
      <w:r>
        <w:tab/>
        <w:t>Věřitel jako správce jmenoval pověřence pro ochranu osobních údajů, který dohlíží na dodržování Nařízení Evropského parlamentu a Rady (EU) 2016/679, společnost Avvera S.r.l., se sídlem Via Largo Boccioni 1, 21040 Origgio (VA), Itálie.</w:t>
      </w:r>
    </w:p>
    <w:p w:rsidR="00BD1168" w:rsidRDefault="00BD1168" w:rsidP="00BD1168">
      <w:pPr>
        <w:autoSpaceDE w:val="0"/>
        <w:autoSpaceDN w:val="0"/>
        <w:adjustRightInd w:val="0"/>
        <w:ind w:left="709" w:hanging="709"/>
        <w:jc w:val="both"/>
      </w:pPr>
      <w:r>
        <w:t>5.7.</w:t>
      </w:r>
      <w:r>
        <w:tab/>
        <w:t xml:space="preserve">Pokud si přejete uplatnit svá výše uvedená práva, můžete zaslat doporučený dopis s doručenkou na uvedenou adresu nebo e-mail na </w:t>
      </w:r>
      <w:hyperlink r:id="rId6" w:history="1">
        <w:r>
          <w:t>dpo@bffgroup.com</w:t>
        </w:r>
      </w:hyperlink>
      <w:r>
        <w:t>.</w:t>
      </w:r>
    </w:p>
    <w:p w:rsidR="00BD1168" w:rsidRDefault="00BD1168" w:rsidP="00BD1168">
      <w:pPr>
        <w:autoSpaceDE w:val="0"/>
        <w:autoSpaceDN w:val="0"/>
        <w:adjustRightInd w:val="0"/>
        <w:ind w:left="709" w:hanging="709"/>
        <w:jc w:val="both"/>
      </w:pPr>
      <w:r>
        <w:t>5.8.</w:t>
      </w:r>
      <w:r>
        <w:tab/>
        <w:t>Dlužnk</w:t>
      </w:r>
    </w:p>
    <w:p w:rsidR="00BD1168" w:rsidRDefault="00BD1168" w:rsidP="00BD1168">
      <w:r>
        <w:tab/>
        <w:t xml:space="preserve">□ dává souhlas </w:t>
      </w:r>
      <w:r>
        <w:tab/>
      </w:r>
      <w:r>
        <w:tab/>
      </w:r>
      <w:r>
        <w:tab/>
      </w:r>
      <w:r>
        <w:tab/>
        <w:t xml:space="preserve">□ nedává souhlas </w:t>
      </w:r>
    </w:p>
    <w:p w:rsidR="00BD1168" w:rsidRDefault="00BD1168" w:rsidP="00BD1168">
      <w:pPr>
        <w:autoSpaceDE w:val="0"/>
        <w:autoSpaceDN w:val="0"/>
        <w:adjustRightInd w:val="0"/>
        <w:ind w:left="709" w:hanging="1"/>
        <w:jc w:val="both"/>
      </w:pPr>
      <w:r>
        <w:t>Věřiteli se zpracováním svých osobních údajů i pro obchodní a reklamní účely (např. pro účely zasílání zpravodajů a katalogů s aktuálními informacemi o nabízených službách či pozvánek na akce a konference pořádané Věřitelem).</w:t>
      </w:r>
    </w:p>
    <w:p w:rsidR="00BD1168" w:rsidRDefault="00BD1168" w:rsidP="00BD1168">
      <w:pPr>
        <w:ind w:left="705" w:hanging="705"/>
        <w:jc w:val="both"/>
      </w:pPr>
      <w:r>
        <w:t>5.9.</w:t>
      </w:r>
      <w:r>
        <w:tab/>
        <w:t>Věřitel se zároveň zavazuje zacházet s osobními údaji Dlužníka tak, aby byla zachována jejich důvěrnost, a svěřovat zpracování těchto údajů pouze osobám, které tím zvlášť pověřil.</w:t>
      </w:r>
    </w:p>
    <w:p w:rsidR="00BD1168" w:rsidRDefault="00BD1168" w:rsidP="00BD1168">
      <w:pPr>
        <w:ind w:left="705" w:hanging="705"/>
        <w:jc w:val="both"/>
        <w:rPr>
          <w:b/>
          <w:lang w:val="cs-CZ"/>
        </w:rPr>
      </w:pPr>
    </w:p>
    <w:p w:rsidR="00BD1168" w:rsidRDefault="00BD1168" w:rsidP="00BD1168">
      <w:pPr>
        <w:rPr>
          <w:b/>
          <w:lang w:val="cs-CZ"/>
        </w:rPr>
      </w:pPr>
    </w:p>
    <w:p w:rsidR="00BD1168" w:rsidRDefault="00BD1168" w:rsidP="00BD1168">
      <w:pPr>
        <w:rPr>
          <w:b/>
          <w:lang w:val="cs-CZ"/>
        </w:rPr>
      </w:pPr>
      <w:r>
        <w:rPr>
          <w:b/>
          <w:lang w:val="cs-CZ"/>
        </w:rPr>
        <w:t>VI.</w:t>
      </w:r>
      <w:r>
        <w:rPr>
          <w:b/>
          <w:lang w:val="cs-CZ"/>
        </w:rPr>
        <w:tab/>
        <w:t>SPOLEČNÁ A ZÁVĚREČNÁ USTANOVENÍ</w:t>
      </w:r>
    </w:p>
    <w:p w:rsidR="00BD1168" w:rsidRDefault="00BD1168" w:rsidP="00BD1168">
      <w:pPr>
        <w:jc w:val="center"/>
        <w:rPr>
          <w:lang w:val="cs-CZ"/>
        </w:rPr>
      </w:pPr>
    </w:p>
    <w:p w:rsidR="00BD1168" w:rsidRDefault="00BD1168" w:rsidP="00BD1168">
      <w:pPr>
        <w:ind w:left="708" w:hanging="708"/>
        <w:jc w:val="both"/>
        <w:rPr>
          <w:lang w:val="cs-CZ"/>
        </w:rPr>
      </w:pPr>
      <w:proofErr w:type="gramStart"/>
      <w:r>
        <w:rPr>
          <w:lang w:val="cs-CZ"/>
        </w:rPr>
        <w:t>6.1</w:t>
      </w:r>
      <w:proofErr w:type="gramEnd"/>
      <w:r>
        <w:rPr>
          <w:lang w:val="cs-CZ"/>
        </w:rPr>
        <w:t>.</w:t>
      </w:r>
      <w:r>
        <w:rPr>
          <w:lang w:val="cs-CZ"/>
        </w:rPr>
        <w:tab/>
        <w:t>Smluvní strany sjednávají, že tato Dohoda a vztahy na základě této dohody vzniklé se řídí zákonem č. 89/2012 Sb., občanským zákoníkem, ve znění pozdějších předpisů.</w:t>
      </w:r>
    </w:p>
    <w:p w:rsidR="00BD1168" w:rsidRDefault="00BD1168" w:rsidP="00BD1168">
      <w:pPr>
        <w:ind w:left="708" w:hanging="708"/>
        <w:jc w:val="both"/>
        <w:rPr>
          <w:lang w:val="cs-CZ"/>
        </w:rPr>
      </w:pPr>
      <w:proofErr w:type="gramStart"/>
      <w:r>
        <w:rPr>
          <w:lang w:val="cs-CZ"/>
        </w:rPr>
        <w:t>6.2</w:t>
      </w:r>
      <w:proofErr w:type="gramEnd"/>
      <w:r>
        <w:rPr>
          <w:lang w:val="cs-CZ"/>
        </w:rPr>
        <w:t>.</w:t>
      </w:r>
      <w:r>
        <w:rPr>
          <w:lang w:val="cs-CZ"/>
        </w:rPr>
        <w:tab/>
        <w:t>Veškeré spory, které mohou vzniknout na základě této Dohody budou řešeny soudem místně a věcně příslušným dle sídla Věřitele.</w:t>
      </w:r>
    </w:p>
    <w:p w:rsidR="00BD1168" w:rsidRDefault="00BD1168" w:rsidP="00BD1168">
      <w:pPr>
        <w:jc w:val="both"/>
        <w:rPr>
          <w:lang w:val="cs-CZ"/>
        </w:rPr>
      </w:pPr>
      <w:proofErr w:type="gramStart"/>
      <w:r>
        <w:rPr>
          <w:lang w:val="cs-CZ"/>
        </w:rPr>
        <w:t>6.3</w:t>
      </w:r>
      <w:proofErr w:type="gramEnd"/>
      <w:r>
        <w:rPr>
          <w:lang w:val="cs-CZ"/>
        </w:rPr>
        <w:t>.</w:t>
      </w:r>
      <w:r>
        <w:rPr>
          <w:lang w:val="cs-CZ"/>
        </w:rPr>
        <w:tab/>
        <w:t>Veškeré změny této Dohody mohou být provedeny pouze v písemné formě.</w:t>
      </w:r>
    </w:p>
    <w:p w:rsidR="00BD1168" w:rsidRDefault="00BD1168" w:rsidP="00BD1168">
      <w:pPr>
        <w:ind w:left="708" w:hanging="708"/>
        <w:jc w:val="both"/>
        <w:rPr>
          <w:lang w:val="cs-CZ"/>
        </w:rPr>
      </w:pPr>
      <w:proofErr w:type="gramStart"/>
      <w:r>
        <w:rPr>
          <w:lang w:val="cs-CZ" w:eastAsia="cs-CZ"/>
        </w:rPr>
        <w:t>6.4</w:t>
      </w:r>
      <w:proofErr w:type="gramEnd"/>
      <w:r>
        <w:rPr>
          <w:lang w:val="cs-CZ" w:eastAsia="cs-CZ"/>
        </w:rPr>
        <w:t>.</w:t>
      </w:r>
      <w:r>
        <w:rPr>
          <w:lang w:val="cs-CZ" w:eastAsia="cs-CZ"/>
        </w:rPr>
        <w:tab/>
        <w:t>Smluvní strany se dohodly, že pokud by jakékoliv ujednání této Dohody bylo shledáno neplatným, zdánlivým nebo neúčinným, nahradí jej do 30 dnů ode dne zjištění této skutečnosti ujednáním, které bude obsahem a účelem nejbližší dotčenému ujednání. Smluvní strany vylučují své právo domáhat se u soudu spravedlivého uspořádání práv a povinností podle § 577 občanského zákoníku.</w:t>
      </w:r>
    </w:p>
    <w:p w:rsidR="00BD1168" w:rsidRDefault="00BD1168" w:rsidP="00BD1168">
      <w:pPr>
        <w:ind w:left="708" w:hanging="708"/>
        <w:jc w:val="both"/>
        <w:rPr>
          <w:lang w:val="cs-CZ"/>
        </w:rPr>
      </w:pPr>
      <w:r>
        <w:t>6.5.</w:t>
      </w:r>
      <w:r>
        <w:tab/>
        <w:t>Smluvní strany tímto v souladu s ustanovením § 558 odst. 2 občanského zákoníku vylučují pro účely této Dohody a práv a povinností z ní vyplývajících možnost přihlížet k obecně zachovávaným obchodním zvyklostem a výslovně ujednávají, že obchodní zvyklosti nemají přednost před ustanovením občanského zákoníku, jež nemá donucující účinky.</w:t>
      </w:r>
    </w:p>
    <w:p w:rsidR="00BD1168" w:rsidRDefault="00BD1168" w:rsidP="00BD1168">
      <w:pPr>
        <w:ind w:left="708" w:hanging="708"/>
        <w:jc w:val="both"/>
        <w:rPr>
          <w:lang w:val="cs-CZ"/>
        </w:rPr>
      </w:pPr>
      <w:proofErr w:type="gramStart"/>
      <w:r>
        <w:rPr>
          <w:lang w:val="cs-CZ"/>
        </w:rPr>
        <w:t>6.6</w:t>
      </w:r>
      <w:proofErr w:type="gramEnd"/>
      <w:r>
        <w:rPr>
          <w:lang w:val="cs-CZ"/>
        </w:rPr>
        <w:t>.</w:t>
      </w:r>
      <w:r>
        <w:rPr>
          <w:lang w:val="cs-CZ"/>
        </w:rPr>
        <w:tab/>
        <w:t>Smluvní strany dále v souladu s ustanovením § 1801 občanského zákoníku vylučují právní úpravu smluv uzavíraných adhezním způsobem, tj. úpravu doložek pro osobu průměrného rozumu nesrozumitelných a doložek pro slabší stranu bez rozumného důvodu zvláště nevýhodných.</w:t>
      </w:r>
    </w:p>
    <w:p w:rsidR="00BD1168" w:rsidRDefault="00BD1168" w:rsidP="00BD1168">
      <w:pPr>
        <w:ind w:left="708" w:hanging="708"/>
        <w:jc w:val="both"/>
        <w:rPr>
          <w:lang w:val="cs-CZ"/>
        </w:rPr>
      </w:pPr>
      <w:proofErr w:type="gramStart"/>
      <w:r>
        <w:rPr>
          <w:lang w:val="cs-CZ"/>
        </w:rPr>
        <w:t>6.7</w:t>
      </w:r>
      <w:proofErr w:type="gramEnd"/>
      <w:r>
        <w:rPr>
          <w:lang w:val="cs-CZ"/>
        </w:rPr>
        <w:t>.</w:t>
      </w:r>
      <w:r>
        <w:rPr>
          <w:lang w:val="cs-CZ"/>
        </w:rPr>
        <w:tab/>
        <w:t>Smluvní strany vylučují také použití ustanovení § 545 občanského zákoníku v takovém rozsahu, že jejich právní jednání nebude vyvolávat právní následky plynoucí ze zvyklostí a zavedené praxe stran.</w:t>
      </w:r>
    </w:p>
    <w:p w:rsidR="00BD1168" w:rsidRDefault="00BD1168" w:rsidP="00BD1168">
      <w:pPr>
        <w:ind w:left="708" w:hanging="708"/>
        <w:jc w:val="both"/>
        <w:rPr>
          <w:lang w:val="cs-CZ"/>
        </w:rPr>
      </w:pPr>
      <w:proofErr w:type="gramStart"/>
      <w:r>
        <w:rPr>
          <w:lang w:val="cs-CZ"/>
        </w:rPr>
        <w:t>6.8</w:t>
      </w:r>
      <w:proofErr w:type="gramEnd"/>
      <w:r>
        <w:rPr>
          <w:lang w:val="cs-CZ"/>
        </w:rPr>
        <w:t>.</w:t>
      </w:r>
      <w:r>
        <w:rPr>
          <w:lang w:val="cs-CZ"/>
        </w:rPr>
        <w:tab/>
        <w:t>Tato dohoda byla vyhotovena ve dvou stejnopisech, z nichž každý účastník obdrží po jednom.</w:t>
      </w:r>
    </w:p>
    <w:p w:rsidR="00BD1168" w:rsidRDefault="00BD1168" w:rsidP="00BD1168">
      <w:pPr>
        <w:ind w:left="708" w:hanging="708"/>
        <w:jc w:val="both"/>
        <w:rPr>
          <w:lang w:val="cs-CZ"/>
        </w:rPr>
      </w:pPr>
      <w:proofErr w:type="gramStart"/>
      <w:r>
        <w:rPr>
          <w:lang w:val="cs-CZ"/>
        </w:rPr>
        <w:t>6.9</w:t>
      </w:r>
      <w:proofErr w:type="gramEnd"/>
      <w:r>
        <w:rPr>
          <w:lang w:val="cs-CZ"/>
        </w:rPr>
        <w:t>.</w:t>
      </w:r>
      <w:r>
        <w:rPr>
          <w:lang w:val="cs-CZ"/>
        </w:rPr>
        <w:tab/>
        <w:t>Účastníci si tuto dohodu přečetli, s jejím obsahem souhlasí a prohlašují, že právní úkon byl učiněn svobodně a vážně, určitě a srozumitelně, což stvrzují vlastnoručními podpisy.</w:t>
      </w:r>
    </w:p>
    <w:p w:rsidR="00BD1168" w:rsidRDefault="00BD1168" w:rsidP="00BD1168">
      <w:pPr>
        <w:jc w:val="both"/>
        <w:rPr>
          <w:lang w:val="cs-CZ"/>
        </w:rPr>
      </w:pPr>
    </w:p>
    <w:p w:rsidR="00BD1168" w:rsidRDefault="00BD1168" w:rsidP="00BD1168">
      <w:pPr>
        <w:jc w:val="both"/>
        <w:rPr>
          <w:lang w:val="cs-CZ"/>
        </w:rPr>
      </w:pPr>
      <w:r>
        <w:rPr>
          <w:lang w:val="cs-CZ"/>
        </w:rPr>
        <w:t xml:space="preserve">Příloha: plná moc pro </w:t>
      </w:r>
      <w:proofErr w:type="spellStart"/>
      <w:r w:rsidR="00174265">
        <w:rPr>
          <w:lang w:val="cs-CZ"/>
        </w:rPr>
        <w:t>xxxxxxxxxxxx</w:t>
      </w:r>
      <w:proofErr w:type="spellEnd"/>
    </w:p>
    <w:p w:rsidR="00BD1168" w:rsidRDefault="00BD1168" w:rsidP="00BD1168">
      <w:pPr>
        <w:jc w:val="both"/>
        <w:rPr>
          <w:lang w:val="cs-CZ"/>
        </w:rPr>
      </w:pPr>
    </w:p>
    <w:p w:rsidR="00BD1168" w:rsidRDefault="00BD1168" w:rsidP="00BD1168">
      <w:pPr>
        <w:jc w:val="both"/>
        <w:rPr>
          <w:lang w:val="cs-CZ"/>
        </w:rPr>
      </w:pPr>
    </w:p>
    <w:p w:rsidR="00BD1168" w:rsidRDefault="00BD1168" w:rsidP="00BD1168">
      <w:pPr>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6"/>
        <w:gridCol w:w="4697"/>
      </w:tblGrid>
      <w:tr w:rsidR="00BD1168" w:rsidTr="00440C3C">
        <w:tc>
          <w:tcPr>
            <w:tcW w:w="4696" w:type="dxa"/>
            <w:tcBorders>
              <w:top w:val="nil"/>
              <w:left w:val="nil"/>
              <w:bottom w:val="nil"/>
              <w:right w:val="nil"/>
            </w:tcBorders>
            <w:shd w:val="clear" w:color="auto" w:fill="auto"/>
          </w:tcPr>
          <w:p w:rsidR="00BD1168" w:rsidRDefault="00BD1168" w:rsidP="00440C3C">
            <w:pPr>
              <w:pStyle w:val="Zkladntext"/>
              <w:jc w:val="center"/>
              <w:rPr>
                <w:b/>
                <w:color w:val="auto"/>
                <w:lang w:val="cs-CZ"/>
              </w:rPr>
            </w:pPr>
            <w:r>
              <w:rPr>
                <w:b/>
                <w:color w:val="auto"/>
                <w:lang w:val="cs-CZ"/>
              </w:rPr>
              <w:t>Dlužník</w:t>
            </w:r>
          </w:p>
        </w:tc>
        <w:tc>
          <w:tcPr>
            <w:tcW w:w="4697" w:type="dxa"/>
            <w:tcBorders>
              <w:top w:val="nil"/>
              <w:left w:val="nil"/>
              <w:bottom w:val="nil"/>
              <w:right w:val="nil"/>
            </w:tcBorders>
            <w:shd w:val="clear" w:color="auto" w:fill="auto"/>
          </w:tcPr>
          <w:p w:rsidR="00BD1168" w:rsidRDefault="00BD1168" w:rsidP="00440C3C">
            <w:pPr>
              <w:pStyle w:val="Zkladntext"/>
              <w:jc w:val="center"/>
              <w:rPr>
                <w:b/>
                <w:color w:val="auto"/>
                <w:lang w:val="cs-CZ"/>
              </w:rPr>
            </w:pPr>
            <w:r>
              <w:rPr>
                <w:b/>
                <w:color w:val="auto"/>
                <w:lang w:val="cs-CZ"/>
              </w:rPr>
              <w:t>Věřitel</w:t>
            </w:r>
          </w:p>
          <w:p w:rsidR="00BD1168" w:rsidRDefault="00BD1168" w:rsidP="00440C3C">
            <w:pPr>
              <w:pStyle w:val="Zkladntext"/>
              <w:jc w:val="center"/>
              <w:rPr>
                <w:b/>
                <w:color w:val="auto"/>
                <w:lang w:val="cs-CZ"/>
              </w:rPr>
            </w:pPr>
          </w:p>
        </w:tc>
      </w:tr>
      <w:tr w:rsidR="00BD1168" w:rsidTr="00440C3C">
        <w:tc>
          <w:tcPr>
            <w:tcW w:w="4696" w:type="dxa"/>
            <w:tcBorders>
              <w:top w:val="nil"/>
              <w:left w:val="nil"/>
              <w:bottom w:val="nil"/>
              <w:right w:val="nil"/>
            </w:tcBorders>
            <w:shd w:val="clear" w:color="auto" w:fill="auto"/>
          </w:tcPr>
          <w:p w:rsidR="00BD1168" w:rsidRDefault="00BD1168" w:rsidP="00440C3C">
            <w:pPr>
              <w:pStyle w:val="Zkladntext"/>
              <w:jc w:val="center"/>
              <w:rPr>
                <w:color w:val="auto"/>
                <w:lang w:val="cs-CZ"/>
              </w:rPr>
            </w:pPr>
            <w:r>
              <w:rPr>
                <w:color w:val="auto"/>
                <w:lang w:val="cs-CZ"/>
              </w:rPr>
              <w:t>V Brně dne …………………</w:t>
            </w:r>
          </w:p>
        </w:tc>
        <w:tc>
          <w:tcPr>
            <w:tcW w:w="4697" w:type="dxa"/>
            <w:tcBorders>
              <w:top w:val="nil"/>
              <w:left w:val="nil"/>
              <w:bottom w:val="nil"/>
              <w:right w:val="nil"/>
            </w:tcBorders>
            <w:shd w:val="clear" w:color="auto" w:fill="auto"/>
          </w:tcPr>
          <w:p w:rsidR="00BD1168" w:rsidRDefault="00BD1168" w:rsidP="00440C3C">
            <w:pPr>
              <w:pStyle w:val="Zkladntext"/>
              <w:jc w:val="center"/>
              <w:rPr>
                <w:color w:val="auto"/>
                <w:lang w:val="cs-CZ"/>
              </w:rPr>
            </w:pPr>
            <w:r>
              <w:rPr>
                <w:color w:val="auto"/>
                <w:lang w:val="cs-CZ"/>
              </w:rPr>
              <w:t>V Praze dne ………………..</w:t>
            </w:r>
          </w:p>
        </w:tc>
      </w:tr>
      <w:tr w:rsidR="00BD1168" w:rsidTr="00440C3C">
        <w:tc>
          <w:tcPr>
            <w:tcW w:w="4696" w:type="dxa"/>
            <w:tcBorders>
              <w:top w:val="nil"/>
              <w:left w:val="nil"/>
              <w:bottom w:val="nil"/>
              <w:right w:val="nil"/>
            </w:tcBorders>
            <w:shd w:val="clear" w:color="auto" w:fill="auto"/>
          </w:tcPr>
          <w:p w:rsidR="00BD1168" w:rsidRPr="008254F9" w:rsidRDefault="00BD1168" w:rsidP="00440C3C">
            <w:pPr>
              <w:rPr>
                <w:lang w:val="cs-CZ"/>
              </w:rPr>
            </w:pPr>
          </w:p>
          <w:p w:rsidR="00BD1168" w:rsidRPr="008254F9" w:rsidRDefault="00BD1168" w:rsidP="00440C3C">
            <w:pPr>
              <w:rPr>
                <w:lang w:val="cs-CZ"/>
              </w:rPr>
            </w:pPr>
          </w:p>
          <w:p w:rsidR="00BD1168" w:rsidRPr="008254F9" w:rsidRDefault="00BD1168" w:rsidP="00440C3C">
            <w:pPr>
              <w:rPr>
                <w:lang w:val="cs-CZ"/>
              </w:rPr>
            </w:pPr>
          </w:p>
          <w:p w:rsidR="00BD1168" w:rsidRPr="008254F9" w:rsidRDefault="00BD1168" w:rsidP="00440C3C">
            <w:pPr>
              <w:rPr>
                <w:lang w:val="cs-CZ"/>
              </w:rPr>
            </w:pPr>
          </w:p>
        </w:tc>
        <w:tc>
          <w:tcPr>
            <w:tcW w:w="4697" w:type="dxa"/>
            <w:tcBorders>
              <w:top w:val="nil"/>
              <w:left w:val="nil"/>
              <w:bottom w:val="nil"/>
              <w:right w:val="nil"/>
            </w:tcBorders>
            <w:shd w:val="clear" w:color="auto" w:fill="auto"/>
          </w:tcPr>
          <w:p w:rsidR="00BD1168" w:rsidRPr="008254F9" w:rsidRDefault="00BD1168" w:rsidP="00440C3C">
            <w:pPr>
              <w:rPr>
                <w:lang w:val="cs-CZ"/>
              </w:rPr>
            </w:pPr>
          </w:p>
        </w:tc>
      </w:tr>
      <w:tr w:rsidR="00BD1168" w:rsidRPr="00BE1540" w:rsidTr="00440C3C">
        <w:tc>
          <w:tcPr>
            <w:tcW w:w="4696" w:type="dxa"/>
            <w:tcBorders>
              <w:top w:val="nil"/>
              <w:left w:val="nil"/>
              <w:bottom w:val="nil"/>
              <w:right w:val="nil"/>
            </w:tcBorders>
            <w:shd w:val="clear" w:color="auto" w:fill="auto"/>
          </w:tcPr>
          <w:p w:rsidR="00BD1168" w:rsidRDefault="00BD1168" w:rsidP="00440C3C">
            <w:pPr>
              <w:jc w:val="center"/>
              <w:rPr>
                <w:lang w:val="cs-CZ"/>
              </w:rPr>
            </w:pPr>
            <w:r w:rsidRPr="008254F9">
              <w:rPr>
                <w:lang w:val="cs-CZ"/>
              </w:rPr>
              <w:t>……………………………………</w:t>
            </w:r>
          </w:p>
          <w:p w:rsidR="00BD1168" w:rsidRDefault="00BD1168" w:rsidP="00440C3C">
            <w:pPr>
              <w:suppressAutoHyphens/>
              <w:autoSpaceDE w:val="0"/>
              <w:autoSpaceDN w:val="0"/>
              <w:adjustRightInd w:val="0"/>
              <w:jc w:val="center"/>
              <w:rPr>
                <w:b/>
                <w:bCs/>
                <w:color w:val="000000"/>
                <w:lang w:val="cs-CZ" w:eastAsia="en-US"/>
              </w:rPr>
            </w:pPr>
            <w:r>
              <w:rPr>
                <w:b/>
                <w:bCs/>
                <w:color w:val="000000"/>
                <w:lang w:val="cs-CZ" w:eastAsia="en-US"/>
              </w:rPr>
              <w:t xml:space="preserve">Fakultní nemocnice Brno, </w:t>
            </w:r>
          </w:p>
          <w:p w:rsidR="00BD1168" w:rsidRDefault="00BD1168" w:rsidP="00440C3C">
            <w:pPr>
              <w:suppressAutoHyphens/>
              <w:autoSpaceDE w:val="0"/>
              <w:autoSpaceDN w:val="0"/>
              <w:adjustRightInd w:val="0"/>
              <w:jc w:val="center"/>
              <w:rPr>
                <w:lang w:val="cs-CZ"/>
              </w:rPr>
            </w:pPr>
            <w:r>
              <w:rPr>
                <w:b/>
                <w:bCs/>
                <w:lang w:val="cs-CZ" w:eastAsia="en-US"/>
              </w:rPr>
              <w:t>příspěvková organizace</w:t>
            </w:r>
          </w:p>
          <w:p w:rsidR="00BD1168" w:rsidRDefault="00BD1168" w:rsidP="00440C3C">
            <w:pPr>
              <w:pStyle w:val="Zkladntext"/>
              <w:jc w:val="center"/>
              <w:rPr>
                <w:b/>
                <w:lang w:val="cs-CZ"/>
              </w:rPr>
            </w:pPr>
            <w:r w:rsidRPr="001700F4">
              <w:rPr>
                <w:b/>
                <w:lang w:val="cs-CZ"/>
              </w:rPr>
              <w:t>MUDr. Roman Kraus, MBA</w:t>
            </w:r>
            <w:r>
              <w:rPr>
                <w:b/>
                <w:lang w:val="cs-CZ"/>
              </w:rPr>
              <w:t xml:space="preserve"> </w:t>
            </w:r>
          </w:p>
          <w:p w:rsidR="00BD1168" w:rsidRDefault="00BD1168" w:rsidP="00440C3C">
            <w:pPr>
              <w:pStyle w:val="Zkladntext"/>
              <w:jc w:val="center"/>
              <w:rPr>
                <w:lang w:val="cs-CZ"/>
              </w:rPr>
            </w:pPr>
            <w:r>
              <w:rPr>
                <w:b/>
                <w:lang w:val="cs-CZ"/>
              </w:rPr>
              <w:t>ředitel</w:t>
            </w:r>
            <w:r w:rsidRPr="001700F4">
              <w:rPr>
                <w:b/>
                <w:lang w:val="cs-CZ"/>
              </w:rPr>
              <w:t xml:space="preserve"> nemocnice</w:t>
            </w:r>
            <w:r w:rsidRPr="001700F4" w:rsidDel="005A2397">
              <w:rPr>
                <w:b/>
                <w:lang w:val="cs-CZ"/>
              </w:rPr>
              <w:t xml:space="preserve"> </w:t>
            </w: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jc w:val="center"/>
              <w:rPr>
                <w:lang w:val="cs-CZ"/>
              </w:rPr>
            </w:pPr>
          </w:p>
          <w:p w:rsidR="00BD1168" w:rsidRDefault="00BD1168" w:rsidP="00440C3C">
            <w:pPr>
              <w:pStyle w:val="Zkladntext"/>
              <w:rPr>
                <w:color w:val="auto"/>
                <w:lang w:val="cs-CZ"/>
              </w:rPr>
            </w:pPr>
            <w:r>
              <w:rPr>
                <w:lang w:val="cs-CZ"/>
              </w:rPr>
              <w:t xml:space="preserve"> </w:t>
            </w:r>
          </w:p>
        </w:tc>
        <w:tc>
          <w:tcPr>
            <w:tcW w:w="4697" w:type="dxa"/>
            <w:tcBorders>
              <w:top w:val="nil"/>
              <w:left w:val="nil"/>
              <w:bottom w:val="nil"/>
              <w:right w:val="nil"/>
            </w:tcBorders>
            <w:shd w:val="clear" w:color="auto" w:fill="auto"/>
          </w:tcPr>
          <w:p w:rsidR="00BD1168" w:rsidRDefault="00BD1168" w:rsidP="00440C3C">
            <w:pPr>
              <w:jc w:val="center"/>
              <w:rPr>
                <w:lang w:val="cs-CZ"/>
              </w:rPr>
            </w:pPr>
            <w:r w:rsidRPr="008254F9">
              <w:rPr>
                <w:lang w:val="cs-CZ"/>
              </w:rPr>
              <w:t>……………………………………</w:t>
            </w:r>
          </w:p>
          <w:p w:rsidR="00BD1168" w:rsidRPr="008254F9" w:rsidRDefault="00BD1168" w:rsidP="00440C3C">
            <w:pPr>
              <w:jc w:val="center"/>
              <w:rPr>
                <w:b/>
                <w:lang w:val="cs-CZ"/>
              </w:rPr>
            </w:pPr>
            <w:r>
              <w:rPr>
                <w:b/>
                <w:lang w:val="cs-CZ"/>
              </w:rPr>
              <w:t>BFF</w:t>
            </w:r>
            <w:r w:rsidRPr="008254F9">
              <w:rPr>
                <w:b/>
                <w:lang w:val="cs-CZ"/>
              </w:rPr>
              <w:t xml:space="preserve"> Česká republika s.r.o.</w:t>
            </w:r>
          </w:p>
          <w:p w:rsidR="00BD1168" w:rsidRPr="008254F9" w:rsidRDefault="00174265" w:rsidP="00440C3C">
            <w:pPr>
              <w:jc w:val="center"/>
              <w:rPr>
                <w:b/>
                <w:lang w:val="cs-CZ"/>
              </w:rPr>
            </w:pPr>
            <w:r>
              <w:rPr>
                <w:b/>
                <w:lang w:val="cs-CZ"/>
              </w:rPr>
              <w:t>xxxxxxxxxx</w:t>
            </w:r>
            <w:bookmarkStart w:id="1" w:name="_GoBack"/>
            <w:bookmarkEnd w:id="1"/>
          </w:p>
          <w:p w:rsidR="00BD1168" w:rsidRDefault="00BD1168" w:rsidP="00440C3C">
            <w:pPr>
              <w:pStyle w:val="Zkladntext"/>
              <w:jc w:val="center"/>
              <w:rPr>
                <w:color w:val="auto"/>
                <w:lang w:val="cs-CZ"/>
              </w:rPr>
            </w:pPr>
            <w:r>
              <w:rPr>
                <w:color w:val="auto"/>
                <w:lang w:val="cs-CZ"/>
              </w:rPr>
              <w:t>na základě plné moci</w:t>
            </w: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jc w:val="center"/>
              <w:rPr>
                <w:color w:val="auto"/>
                <w:lang w:val="cs-CZ"/>
              </w:rPr>
            </w:pPr>
          </w:p>
          <w:p w:rsidR="00BD1168" w:rsidRDefault="00BD1168" w:rsidP="00440C3C">
            <w:pPr>
              <w:pStyle w:val="Zkladntext"/>
              <w:rPr>
                <w:color w:val="auto"/>
                <w:lang w:val="cs-CZ"/>
              </w:rPr>
            </w:pPr>
          </w:p>
        </w:tc>
      </w:tr>
    </w:tbl>
    <w:p w:rsidR="00EF7409" w:rsidRDefault="00EF7409"/>
    <w:sectPr w:rsidR="00EF7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208DF"/>
    <w:multiLevelType w:val="multilevel"/>
    <w:tmpl w:val="2A8208D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D33B87"/>
    <w:multiLevelType w:val="multilevel"/>
    <w:tmpl w:val="3BD33B8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3429F2"/>
    <w:multiLevelType w:val="multilevel"/>
    <w:tmpl w:val="453429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E565D75"/>
    <w:multiLevelType w:val="multilevel"/>
    <w:tmpl w:val="5E565D75"/>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68"/>
    <w:rsid w:val="00174265"/>
    <w:rsid w:val="002613F1"/>
    <w:rsid w:val="00BD1168"/>
    <w:rsid w:val="00EF7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1168"/>
    <w:pPr>
      <w:spacing w:after="0" w:line="240" w:lineRule="auto"/>
    </w:pPr>
    <w:rPr>
      <w:rFonts w:ascii="Times New Roman" w:eastAsia="Times New Roman" w:hAnsi="Times New Roman" w:cs="Times New Roman"/>
      <w:sz w:val="24"/>
      <w:szCs w:val="24"/>
      <w:lang w:val="pl-PL" w:eastAsia="pl-PL"/>
    </w:rPr>
  </w:style>
  <w:style w:type="paragraph" w:styleId="Nadpis1">
    <w:name w:val="heading 1"/>
    <w:basedOn w:val="Normln"/>
    <w:next w:val="Normln"/>
    <w:link w:val="Nadpis1Char"/>
    <w:qFormat/>
    <w:rsid w:val="00BD1168"/>
    <w:pPr>
      <w:keepNext/>
      <w:jc w:val="center"/>
      <w:outlineLvl w:val="0"/>
    </w:pPr>
    <w:rPr>
      <w:b/>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1168"/>
    <w:rPr>
      <w:rFonts w:ascii="Times New Roman" w:eastAsia="Times New Roman" w:hAnsi="Times New Roman" w:cs="Times New Roman"/>
      <w:b/>
      <w:sz w:val="32"/>
      <w:szCs w:val="32"/>
      <w:lang w:eastAsia="pl-PL"/>
    </w:rPr>
  </w:style>
  <w:style w:type="character" w:styleId="Odkaznakoment">
    <w:name w:val="annotation reference"/>
    <w:uiPriority w:val="99"/>
    <w:unhideWhenUsed/>
    <w:rsid w:val="00BD1168"/>
    <w:rPr>
      <w:sz w:val="16"/>
      <w:szCs w:val="16"/>
    </w:rPr>
  </w:style>
  <w:style w:type="character" w:customStyle="1" w:styleId="TextkomenteChar">
    <w:name w:val="Text komentáře Char"/>
    <w:link w:val="Textkomente"/>
    <w:uiPriority w:val="99"/>
    <w:rsid w:val="00BD1168"/>
    <w:rPr>
      <w:lang w:val="pl-PL" w:eastAsia="pl-PL"/>
    </w:rPr>
  </w:style>
  <w:style w:type="paragraph" w:styleId="Zkladntext">
    <w:name w:val="Body Text"/>
    <w:basedOn w:val="Normln"/>
    <w:link w:val="ZkladntextChar"/>
    <w:rsid w:val="00BD1168"/>
    <w:pPr>
      <w:autoSpaceDE w:val="0"/>
      <w:autoSpaceDN w:val="0"/>
      <w:adjustRightInd w:val="0"/>
      <w:jc w:val="both"/>
    </w:pPr>
    <w:rPr>
      <w:color w:val="000000"/>
      <w:lang w:val="en-US"/>
    </w:rPr>
  </w:style>
  <w:style w:type="character" w:customStyle="1" w:styleId="ZkladntextChar">
    <w:name w:val="Základní text Char"/>
    <w:basedOn w:val="Standardnpsmoodstavce"/>
    <w:link w:val="Zkladntext"/>
    <w:rsid w:val="00BD1168"/>
    <w:rPr>
      <w:rFonts w:ascii="Times New Roman" w:eastAsia="Times New Roman" w:hAnsi="Times New Roman" w:cs="Times New Roman"/>
      <w:color w:val="000000"/>
      <w:sz w:val="24"/>
      <w:szCs w:val="24"/>
      <w:lang w:val="en-US" w:eastAsia="pl-PL"/>
    </w:rPr>
  </w:style>
  <w:style w:type="paragraph" w:styleId="Textkomente">
    <w:name w:val="annotation text"/>
    <w:basedOn w:val="Normln"/>
    <w:link w:val="TextkomenteChar"/>
    <w:uiPriority w:val="99"/>
    <w:unhideWhenUsed/>
    <w:rsid w:val="00BD1168"/>
    <w:rPr>
      <w:rFonts w:asciiTheme="minorHAnsi" w:eastAsiaTheme="minorHAnsi" w:hAnsiTheme="minorHAnsi" w:cstheme="minorBidi"/>
      <w:sz w:val="22"/>
      <w:szCs w:val="22"/>
    </w:rPr>
  </w:style>
  <w:style w:type="character" w:customStyle="1" w:styleId="TextkomenteChar1">
    <w:name w:val="Text komentáře Char1"/>
    <w:basedOn w:val="Standardnpsmoodstavce"/>
    <w:uiPriority w:val="99"/>
    <w:semiHidden/>
    <w:rsid w:val="00BD1168"/>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1168"/>
    <w:pPr>
      <w:spacing w:after="0" w:line="240" w:lineRule="auto"/>
    </w:pPr>
    <w:rPr>
      <w:rFonts w:ascii="Times New Roman" w:eastAsia="Times New Roman" w:hAnsi="Times New Roman" w:cs="Times New Roman"/>
      <w:sz w:val="24"/>
      <w:szCs w:val="24"/>
      <w:lang w:val="pl-PL" w:eastAsia="pl-PL"/>
    </w:rPr>
  </w:style>
  <w:style w:type="paragraph" w:styleId="Nadpis1">
    <w:name w:val="heading 1"/>
    <w:basedOn w:val="Normln"/>
    <w:next w:val="Normln"/>
    <w:link w:val="Nadpis1Char"/>
    <w:qFormat/>
    <w:rsid w:val="00BD1168"/>
    <w:pPr>
      <w:keepNext/>
      <w:jc w:val="center"/>
      <w:outlineLvl w:val="0"/>
    </w:pPr>
    <w:rPr>
      <w:b/>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1168"/>
    <w:rPr>
      <w:rFonts w:ascii="Times New Roman" w:eastAsia="Times New Roman" w:hAnsi="Times New Roman" w:cs="Times New Roman"/>
      <w:b/>
      <w:sz w:val="32"/>
      <w:szCs w:val="32"/>
      <w:lang w:eastAsia="pl-PL"/>
    </w:rPr>
  </w:style>
  <w:style w:type="character" w:styleId="Odkaznakoment">
    <w:name w:val="annotation reference"/>
    <w:uiPriority w:val="99"/>
    <w:unhideWhenUsed/>
    <w:rsid w:val="00BD1168"/>
    <w:rPr>
      <w:sz w:val="16"/>
      <w:szCs w:val="16"/>
    </w:rPr>
  </w:style>
  <w:style w:type="character" w:customStyle="1" w:styleId="TextkomenteChar">
    <w:name w:val="Text komentáře Char"/>
    <w:link w:val="Textkomente"/>
    <w:uiPriority w:val="99"/>
    <w:rsid w:val="00BD1168"/>
    <w:rPr>
      <w:lang w:val="pl-PL" w:eastAsia="pl-PL"/>
    </w:rPr>
  </w:style>
  <w:style w:type="paragraph" w:styleId="Zkladntext">
    <w:name w:val="Body Text"/>
    <w:basedOn w:val="Normln"/>
    <w:link w:val="ZkladntextChar"/>
    <w:rsid w:val="00BD1168"/>
    <w:pPr>
      <w:autoSpaceDE w:val="0"/>
      <w:autoSpaceDN w:val="0"/>
      <w:adjustRightInd w:val="0"/>
      <w:jc w:val="both"/>
    </w:pPr>
    <w:rPr>
      <w:color w:val="000000"/>
      <w:lang w:val="en-US"/>
    </w:rPr>
  </w:style>
  <w:style w:type="character" w:customStyle="1" w:styleId="ZkladntextChar">
    <w:name w:val="Základní text Char"/>
    <w:basedOn w:val="Standardnpsmoodstavce"/>
    <w:link w:val="Zkladntext"/>
    <w:rsid w:val="00BD1168"/>
    <w:rPr>
      <w:rFonts w:ascii="Times New Roman" w:eastAsia="Times New Roman" w:hAnsi="Times New Roman" w:cs="Times New Roman"/>
      <w:color w:val="000000"/>
      <w:sz w:val="24"/>
      <w:szCs w:val="24"/>
      <w:lang w:val="en-US" w:eastAsia="pl-PL"/>
    </w:rPr>
  </w:style>
  <w:style w:type="paragraph" w:styleId="Textkomente">
    <w:name w:val="annotation text"/>
    <w:basedOn w:val="Normln"/>
    <w:link w:val="TextkomenteChar"/>
    <w:uiPriority w:val="99"/>
    <w:unhideWhenUsed/>
    <w:rsid w:val="00BD1168"/>
    <w:rPr>
      <w:rFonts w:asciiTheme="minorHAnsi" w:eastAsiaTheme="minorHAnsi" w:hAnsiTheme="minorHAnsi" w:cstheme="minorBidi"/>
      <w:sz w:val="22"/>
      <w:szCs w:val="22"/>
    </w:rPr>
  </w:style>
  <w:style w:type="character" w:customStyle="1" w:styleId="TextkomenteChar1">
    <w:name w:val="Text komentáře Char1"/>
    <w:basedOn w:val="Standardnpsmoodstavce"/>
    <w:uiPriority w:val="99"/>
    <w:semiHidden/>
    <w:rsid w:val="00BD1168"/>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ffgroup.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9C4AE-C052-4C75-82EE-EE813860EC68}"/>
</file>

<file path=customXml/itemProps2.xml><?xml version="1.0" encoding="utf-8"?>
<ds:datastoreItem xmlns:ds="http://schemas.openxmlformats.org/officeDocument/2006/customXml" ds:itemID="{9370A7E2-F288-42C8-B126-2A303F0E29D9}"/>
</file>

<file path=customXml/itemProps3.xml><?xml version="1.0" encoding="utf-8"?>
<ds:datastoreItem xmlns:ds="http://schemas.openxmlformats.org/officeDocument/2006/customXml" ds:itemID="{22EF0A21-6892-46D9-99CB-7A9B268A151E}"/>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10596</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Zidlikova</dc:creator>
  <cp:lastModifiedBy>Kaňová Glajchova Lenka</cp:lastModifiedBy>
  <cp:revision>2</cp:revision>
  <dcterms:created xsi:type="dcterms:W3CDTF">2019-03-11T09:15:00Z</dcterms:created>
  <dcterms:modified xsi:type="dcterms:W3CDTF">2019-03-11T09:15:00Z</dcterms:modified>
</cp:coreProperties>
</file>