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BC0" w:rsidRDefault="00D5736B">
      <w:pPr>
        <w:outlineLvl w:val="2"/>
      </w:pPr>
      <w:r>
        <w:t>1.</w:t>
      </w:r>
    </w:p>
    <w:p w:rsidR="00FA0BC0" w:rsidRDefault="00D5736B">
      <w:pPr>
        <w:outlineLvl w:val="1"/>
      </w:pPr>
      <w:bookmarkStart w:id="0" w:name="bookmark0"/>
      <w:r>
        <w:rPr>
          <w:lang w:val="de-DE" w:eastAsia="de-DE" w:bidi="de-DE"/>
        </w:rPr>
        <w:t>Schindler</w:t>
      </w:r>
      <w:bookmarkEnd w:id="0"/>
    </w:p>
    <w:p w:rsidR="00FA0BC0" w:rsidRDefault="00D5736B">
      <w:pPr>
        <w:outlineLvl w:val="3"/>
      </w:pPr>
      <w:bookmarkStart w:id="1" w:name="bookmark1"/>
      <w:r>
        <w:rPr>
          <w:lang w:val="de-DE" w:eastAsia="de-DE" w:bidi="de-DE"/>
        </w:rPr>
        <w:t xml:space="preserve">SCHINDLER </w:t>
      </w:r>
      <w:r>
        <w:t>EXCELLENCE</w:t>
      </w:r>
      <w:bookmarkEnd w:id="1"/>
    </w:p>
    <w:p w:rsidR="00FA0BC0" w:rsidRDefault="00FA0BC0"/>
    <w:p w:rsidR="00FA0BC0" w:rsidRDefault="00D5736B">
      <w:pPr>
        <w:outlineLvl w:val="2"/>
      </w:pPr>
      <w:bookmarkStart w:id="2" w:name="bookmark2"/>
      <w:r>
        <w:t>Smlouva o údržbě zařízení</w:t>
      </w:r>
      <w:bookmarkEnd w:id="2"/>
    </w:p>
    <w:p w:rsidR="00FA0BC0" w:rsidRDefault="00D5736B">
      <w:pPr>
        <w:outlineLvl w:val="2"/>
      </w:pPr>
      <w:bookmarkStart w:id="3" w:name="bookmark3"/>
      <w:r>
        <w:t xml:space="preserve">Číslo smlouvy: </w:t>
      </w:r>
      <w:r>
        <w:rPr>
          <w:lang w:val="de-DE" w:eastAsia="de-DE" w:bidi="de-DE"/>
        </w:rPr>
        <w:t xml:space="preserve">HS </w:t>
      </w:r>
      <w:r>
        <w:t>71969</w:t>
      </w:r>
      <w:bookmarkEnd w:id="3"/>
    </w:p>
    <w:p w:rsidR="00FA0BC0" w:rsidRDefault="00D5736B">
      <w:r>
        <w:t>Zoologická zahrada Liberec,</w:t>
      </w:r>
    </w:p>
    <w:p w:rsidR="00FA0BC0" w:rsidRDefault="00D5736B">
      <w:r>
        <w:t>Lidové sady 425/1, 460 01 Liberec 1</w:t>
      </w:r>
    </w:p>
    <w:p w:rsidR="00A53820" w:rsidRDefault="00A53820">
      <w:pPr>
        <w:outlineLvl w:val="3"/>
      </w:pPr>
      <w:bookmarkStart w:id="4" w:name="bookmark4"/>
    </w:p>
    <w:p w:rsidR="00FA0BC0" w:rsidRDefault="00D5736B">
      <w:pPr>
        <w:outlineLvl w:val="3"/>
      </w:pPr>
      <w:r>
        <w:t>Zahrnuje tyto služby:</w:t>
      </w:r>
      <w:bookmarkEnd w:id="4"/>
    </w:p>
    <w:p w:rsidR="00FA0BC0" w:rsidRDefault="00D5736B">
      <w:pPr>
        <w:tabs>
          <w:tab w:val="left" w:pos="356"/>
        </w:tabs>
        <w:outlineLvl w:val="3"/>
      </w:pPr>
      <w:bookmarkStart w:id="5" w:name="bookmark5"/>
      <w:r>
        <w:t>■</w:t>
      </w:r>
      <w:r>
        <w:tab/>
        <w:t xml:space="preserve">Údržba </w:t>
      </w:r>
      <w:r>
        <w:t>typu Standard</w:t>
      </w:r>
      <w:bookmarkEnd w:id="5"/>
    </w:p>
    <w:p w:rsidR="00FA0BC0" w:rsidRDefault="00D5736B">
      <w:pPr>
        <w:tabs>
          <w:tab w:val="left" w:pos="356"/>
        </w:tabs>
        <w:outlineLvl w:val="3"/>
      </w:pPr>
      <w:bookmarkStart w:id="6" w:name="bookmark6"/>
      <w:r>
        <w:t>■</w:t>
      </w:r>
      <w:r>
        <w:tab/>
      </w:r>
      <w:r>
        <w:rPr>
          <w:lang w:val="de-DE" w:eastAsia="de-DE" w:bidi="de-DE"/>
        </w:rPr>
        <w:t xml:space="preserve">Schindler </w:t>
      </w:r>
      <w:r>
        <w:t>e-Alarm®</w:t>
      </w:r>
      <w:bookmarkEnd w:id="6"/>
    </w:p>
    <w:p w:rsidR="00A53820" w:rsidRDefault="00A53820"/>
    <w:p w:rsidR="00FA0BC0" w:rsidRDefault="00D5736B">
      <w:pPr>
        <w:tabs>
          <w:tab w:val="left" w:pos="4190"/>
        </w:tabs>
      </w:pPr>
      <w:r>
        <w:t>Servisní smlouva č</w:t>
      </w:r>
      <w:r>
        <w:t>íslo:</w:t>
      </w:r>
      <w:r>
        <w:tab/>
        <w:t>HS 71969</w:t>
      </w:r>
    </w:p>
    <w:p w:rsidR="00FA0BC0" w:rsidRDefault="00D5736B">
      <w:pPr>
        <w:tabs>
          <w:tab w:val="left" w:pos="4190"/>
        </w:tabs>
      </w:pPr>
      <w:r>
        <w:t>Číslo nabídky:</w:t>
      </w:r>
      <w:r>
        <w:tab/>
        <w:t>N161101-03</w:t>
      </w:r>
    </w:p>
    <w:p w:rsidR="00FA0BC0" w:rsidRDefault="00D5736B">
      <w:r w:rsidRPr="00A53820">
        <w:rPr>
          <w:lang w:eastAsia="de-DE" w:bidi="de-DE"/>
        </w:rPr>
        <w:t>Schindler</w:t>
      </w:r>
    </w:p>
    <w:p w:rsidR="00FA0BC0" w:rsidRDefault="00D5736B">
      <w:r>
        <w:t>Objednatel</w:t>
      </w:r>
    </w:p>
    <w:p w:rsidR="00FA0BC0" w:rsidRDefault="00D5736B">
      <w:pPr>
        <w:tabs>
          <w:tab w:val="left" w:pos="2840"/>
        </w:tabs>
      </w:pPr>
      <w:r>
        <w:t>Společnost:</w:t>
      </w:r>
      <w:r>
        <w:tab/>
        <w:t>Zoologická zahrada Liberec příspěvková organizace</w:t>
      </w:r>
    </w:p>
    <w:p w:rsidR="00FA0BC0" w:rsidRDefault="00D5736B">
      <w:pPr>
        <w:tabs>
          <w:tab w:val="left" w:pos="2804"/>
        </w:tabs>
      </w:pPr>
      <w:r>
        <w:t>Sídlo:</w:t>
      </w:r>
      <w:r>
        <w:tab/>
        <w:t>Lidové Sady 425/1</w:t>
      </w:r>
    </w:p>
    <w:p w:rsidR="00FA0BC0" w:rsidRDefault="00D5736B">
      <w:pPr>
        <w:tabs>
          <w:tab w:val="left" w:pos="2801"/>
        </w:tabs>
      </w:pPr>
      <w:r>
        <w:t>Město/PSČ</w:t>
      </w:r>
      <w:r>
        <w:tab/>
        <w:t>460 01 , Liberec 1</w:t>
      </w:r>
    </w:p>
    <w:p w:rsidR="00FA0BC0" w:rsidRDefault="00D5736B">
      <w:pPr>
        <w:tabs>
          <w:tab w:val="left" w:pos="2815"/>
        </w:tabs>
      </w:pPr>
      <w:r>
        <w:t xml:space="preserve">Zapsaná v obchodním rejstříku u Krajského soudu v Ústí nad Labem,oddíl </w:t>
      </w:r>
      <w:r>
        <w:t>Pr.vl..623 IČ/</w:t>
      </w:r>
      <w:r>
        <w:tab/>
        <w:t>00079651</w:t>
      </w:r>
    </w:p>
    <w:p w:rsidR="00FA0BC0" w:rsidRDefault="00D5736B">
      <w:pPr>
        <w:tabs>
          <w:tab w:val="left" w:pos="2801"/>
        </w:tabs>
      </w:pPr>
      <w:r>
        <w:t>DIČ:</w:t>
      </w:r>
      <w:r>
        <w:tab/>
        <w:t>CZ00079651</w:t>
      </w:r>
    </w:p>
    <w:p w:rsidR="00FA0BC0" w:rsidRDefault="00D5736B">
      <w:pPr>
        <w:tabs>
          <w:tab w:val="left" w:pos="2815"/>
        </w:tabs>
      </w:pPr>
      <w:r>
        <w:t>zastoupená:</w:t>
      </w:r>
      <w:r>
        <w:tab/>
        <w:t>MVDr David Nejedlo - ředitel</w:t>
      </w:r>
    </w:p>
    <w:p w:rsidR="00FA0BC0" w:rsidRDefault="00D5736B">
      <w:pPr>
        <w:tabs>
          <w:tab w:val="left" w:pos="2815"/>
        </w:tabs>
      </w:pPr>
      <w:r>
        <w:t>tel.:</w:t>
      </w:r>
      <w:r>
        <w:tab/>
      </w:r>
      <w:r w:rsidR="00A53820">
        <w:t>xxx</w:t>
      </w:r>
    </w:p>
    <w:p w:rsidR="00FA0BC0" w:rsidRDefault="00D5736B">
      <w:pPr>
        <w:tabs>
          <w:tab w:val="left" w:pos="2862"/>
        </w:tabs>
      </w:pPr>
      <w:r>
        <w:t>Zasílací adresa:</w:t>
      </w:r>
      <w:r>
        <w:tab/>
        <w:t>Lidové Sady 425/1,460 01 , Liberec 1</w:t>
      </w:r>
    </w:p>
    <w:p w:rsidR="00FA0BC0" w:rsidRDefault="00D5736B">
      <w:r>
        <w:t>dále jen „Objednatel“</w:t>
      </w:r>
    </w:p>
    <w:p w:rsidR="00FA0BC0" w:rsidRDefault="00A53820">
      <w:pPr>
        <w:tabs>
          <w:tab w:val="left" w:pos="2732"/>
        </w:tabs>
      </w:pPr>
      <w:r>
        <w:t>kontaktní osoba:</w:t>
      </w:r>
      <w:r>
        <w:tab/>
        <w:t xml:space="preserve">xxx </w:t>
      </w:r>
    </w:p>
    <w:p w:rsidR="00A53820" w:rsidRDefault="00A53820"/>
    <w:p w:rsidR="00FA0BC0" w:rsidRDefault="00D5736B">
      <w:r>
        <w:t>Zhotovitel</w:t>
      </w:r>
    </w:p>
    <w:p w:rsidR="00FA0BC0" w:rsidRDefault="00D5736B">
      <w:r>
        <w:t>Společnost:</w:t>
      </w:r>
    </w:p>
    <w:p w:rsidR="00FA0BC0" w:rsidRDefault="00D5736B">
      <w:r>
        <w:t>Sídlo:</w:t>
      </w:r>
    </w:p>
    <w:p w:rsidR="00FA0BC0" w:rsidRDefault="00D5736B">
      <w:r>
        <w:t>Město/PSČ</w:t>
      </w:r>
    </w:p>
    <w:p w:rsidR="00FA0BC0" w:rsidRDefault="00D5736B">
      <w:r w:rsidRPr="00A53820">
        <w:rPr>
          <w:lang w:eastAsia="de-DE" w:bidi="de-DE"/>
        </w:rPr>
        <w:lastRenderedPageBreak/>
        <w:t xml:space="preserve">Schindler </w:t>
      </w:r>
      <w:r>
        <w:t>CZ, a.s. Řevnická 170/4 Praha 5, 155 21</w:t>
      </w:r>
    </w:p>
    <w:p w:rsidR="00FA0BC0" w:rsidRDefault="00D5736B">
      <w:r>
        <w:t xml:space="preserve">Zapsaná v obchodním </w:t>
      </w:r>
      <w:r>
        <w:t>rejstříku u Městského soudu v Praze, odd. B vl. č. 9174</w:t>
      </w:r>
    </w:p>
    <w:p w:rsidR="00FA0BC0" w:rsidRDefault="00D5736B">
      <w:r>
        <w:t>IČ</w:t>
      </w:r>
    </w:p>
    <w:p w:rsidR="00FA0BC0" w:rsidRDefault="00D5736B">
      <w:r>
        <w:t>DIČ:</w:t>
      </w:r>
    </w:p>
    <w:p w:rsidR="00FA0BC0" w:rsidRDefault="00D5736B">
      <w:r>
        <w:t>bank.spoj.:</w:t>
      </w:r>
      <w:r w:rsidR="00A53820">
        <w:t xml:space="preserve"> xxx</w:t>
      </w:r>
    </w:p>
    <w:p w:rsidR="00FA0BC0" w:rsidRDefault="00D5736B">
      <w:r>
        <w:t>č.účtu:</w:t>
      </w:r>
      <w:r w:rsidR="00A53820">
        <w:t xml:space="preserve"> xxx</w:t>
      </w:r>
    </w:p>
    <w:p w:rsidR="00A53820" w:rsidRDefault="00D5736B" w:rsidP="00A53820">
      <w:r>
        <w:t>zastoupená:</w:t>
      </w:r>
      <w:r w:rsidR="00A53820" w:rsidRPr="00A53820">
        <w:t xml:space="preserve"> </w:t>
      </w:r>
      <w:r w:rsidR="00A53820">
        <w:t>Vratislav Simandl, Vedoucí odd. admin. podpory NI/MOD/EI ČR &amp; SR (ve věcech smluvních)</w:t>
      </w:r>
    </w:p>
    <w:p w:rsidR="00A53820" w:rsidRDefault="00A53820" w:rsidP="00A53820">
      <w:r>
        <w:t>Jaroslav Pokorný, Ředitel oblasti (ve věcech smluvních)</w:t>
      </w:r>
    </w:p>
    <w:p w:rsidR="00FA0BC0" w:rsidRDefault="00FA0BC0"/>
    <w:p w:rsidR="00FA0BC0" w:rsidRDefault="00D5736B">
      <w:pPr>
        <w:tabs>
          <w:tab w:val="left" w:pos="2783"/>
        </w:tabs>
      </w:pPr>
      <w:r>
        <w:t>tel.:</w:t>
      </w:r>
      <w:r>
        <w:tab/>
      </w:r>
      <w:r w:rsidR="00A53820">
        <w:t>xxx</w:t>
      </w:r>
    </w:p>
    <w:p w:rsidR="00FA0BC0" w:rsidRDefault="00D5736B">
      <w:pPr>
        <w:tabs>
          <w:tab w:val="left" w:pos="2783"/>
        </w:tabs>
      </w:pPr>
      <w:r>
        <w:t>fax:</w:t>
      </w:r>
      <w:r>
        <w:tab/>
      </w:r>
      <w:r w:rsidR="00A53820">
        <w:t>xxx</w:t>
      </w:r>
    </w:p>
    <w:p w:rsidR="00FA0BC0" w:rsidRDefault="00D5736B">
      <w:r>
        <w:t>dále jen „Zhotovitel“</w:t>
      </w:r>
    </w:p>
    <w:p w:rsidR="00FA0BC0" w:rsidRDefault="00D5736B">
      <w:pPr>
        <w:tabs>
          <w:tab w:val="left" w:pos="2884"/>
        </w:tabs>
      </w:pPr>
      <w:r>
        <w:t>Kontaktní osoba zhotovitele ve věcech provozních a technických jméno a tel.č.:</w:t>
      </w:r>
      <w:r>
        <w:tab/>
      </w:r>
      <w:r w:rsidR="00A53820">
        <w:t>xxx</w:t>
      </w:r>
    </w:p>
    <w:p w:rsidR="00FA0BC0" w:rsidRDefault="00D5736B">
      <w:pPr>
        <w:tabs>
          <w:tab w:val="left" w:pos="2855"/>
        </w:tabs>
      </w:pPr>
      <w:r>
        <w:t>kontaktní e-mail:</w:t>
      </w:r>
      <w:r>
        <w:tab/>
      </w:r>
      <w:hyperlink r:id="rId6" w:history="1">
        <w:r w:rsidR="00A53820">
          <w:rPr>
            <w:rStyle w:val="Hypertextovodkaz"/>
            <w:lang w:val="de-DE" w:eastAsia="en-US" w:bidi="en-US"/>
          </w:rPr>
          <w:t>xxx</w:t>
        </w:r>
      </w:hyperlink>
    </w:p>
    <w:p w:rsidR="00FA0BC0" w:rsidRDefault="00D5736B">
      <w:pPr>
        <w:outlineLvl w:val="4"/>
      </w:pPr>
      <w:bookmarkStart w:id="7" w:name="bookmark7"/>
      <w:r>
        <w:t xml:space="preserve">Poruchy hlaste na centrální dispečink </w:t>
      </w:r>
      <w:r w:rsidRPr="00A53820">
        <w:rPr>
          <w:lang w:eastAsia="de-DE" w:bidi="de-DE"/>
        </w:rPr>
        <w:t xml:space="preserve">Schindler </w:t>
      </w:r>
      <w:r>
        <w:t>24/7 tel</w:t>
      </w:r>
      <w:bookmarkEnd w:id="7"/>
      <w:r w:rsidR="00A53820">
        <w:t xml:space="preserve"> xxx</w:t>
      </w:r>
    </w:p>
    <w:p w:rsidR="00A53820" w:rsidRDefault="00A53820">
      <w:pPr>
        <w:outlineLvl w:val="4"/>
      </w:pPr>
    </w:p>
    <w:p w:rsidR="00FA0BC0" w:rsidRDefault="00D5736B">
      <w:pPr>
        <w:ind w:left="360" w:hanging="360"/>
        <w:outlineLvl w:val="4"/>
      </w:pPr>
      <w:bookmarkStart w:id="8" w:name="bookmark8"/>
      <w:r>
        <w:t>ČI. 1 Předmět smlouvy</w:t>
      </w:r>
      <w:bookmarkEnd w:id="8"/>
    </w:p>
    <w:p w:rsidR="00FA0BC0" w:rsidRDefault="00D5736B">
      <w:r w:rsidRPr="00A53820">
        <w:rPr>
          <w:lang w:eastAsia="en-US" w:bidi="en-US"/>
        </w:rPr>
        <w:t>Schindler</w:t>
      </w:r>
    </w:p>
    <w:p w:rsidR="00FA0BC0" w:rsidRDefault="00D5736B">
      <w:pPr>
        <w:tabs>
          <w:tab w:val="left" w:pos="734"/>
        </w:tabs>
        <w:ind w:left="360" w:hanging="360"/>
      </w:pPr>
      <w:r>
        <w:t>1.1</w:t>
      </w:r>
      <w:r>
        <w:tab/>
        <w:t>Zhotovitel se zavazuje poskytovat Objednateli služby na zařízení v rozsahu s</w:t>
      </w:r>
      <w:r>
        <w:t>jednaném v čl. 3 této Smlouvy a v souladu s přiloženými všeobecnými obchodními podmínkami Zhotovitele.</w:t>
      </w:r>
    </w:p>
    <w:p w:rsidR="00FA0BC0" w:rsidRDefault="00D5736B">
      <w:pPr>
        <w:ind w:left="360" w:hanging="360"/>
        <w:outlineLvl w:val="4"/>
      </w:pPr>
      <w:bookmarkStart w:id="9" w:name="bookmark9"/>
      <w:r>
        <w:t>Čl. 2 Trvání smlouvy</w:t>
      </w:r>
      <w:bookmarkEnd w:id="9"/>
    </w:p>
    <w:p w:rsidR="00FA0BC0" w:rsidRDefault="00D5736B">
      <w:pPr>
        <w:tabs>
          <w:tab w:val="left" w:pos="734"/>
        </w:tabs>
        <w:ind w:left="360" w:hanging="360"/>
      </w:pPr>
      <w:r>
        <w:t>2.1</w:t>
      </w:r>
      <w:r>
        <w:tab/>
        <w:t>Doba trvání této Smlouvy je sjednána na 36 měsíců. Smlouva se vždy</w:t>
      </w:r>
    </w:p>
    <w:p w:rsidR="00FA0BC0" w:rsidRDefault="00D5736B">
      <w:r>
        <w:t>automaticky prodlužuje o stejné období, nevypoví-li tuto Smlo</w:t>
      </w:r>
      <w:r>
        <w:t>uvu jedna ze</w:t>
      </w:r>
      <w:r w:rsidR="00A53820">
        <w:t xml:space="preserve"> smluvních stran písemnou formou nejpozději 3 měsíce před ukončením účinnosti Smlouvy. Dále dohodou smluvních stran nebo odstoupení od smlouvy při podstatném porušení povinností 1 ze smluvních stran.</w:t>
      </w:r>
    </w:p>
    <w:p w:rsidR="00FA0BC0" w:rsidRDefault="00D5736B">
      <w:pPr>
        <w:tabs>
          <w:tab w:val="left" w:pos="734"/>
        </w:tabs>
        <w:ind w:left="360" w:hanging="360"/>
      </w:pPr>
      <w:r>
        <w:t>2.2</w:t>
      </w:r>
      <w:r>
        <w:tab/>
        <w:t>Smlouva nabývá účinnosti podpisem oběma stranami</w:t>
      </w:r>
    </w:p>
    <w:p w:rsidR="00FA0BC0" w:rsidRDefault="00D5736B">
      <w:pPr>
        <w:tabs>
          <w:tab w:val="left" w:pos="734"/>
        </w:tabs>
        <w:ind w:left="360" w:hanging="360"/>
      </w:pPr>
      <w:r>
        <w:t>3.2</w:t>
      </w:r>
      <w:r>
        <w:tab/>
        <w:t xml:space="preserve">Tato smlouva ruší a nahrazuje v plném rozsahu </w:t>
      </w:r>
      <w:r>
        <w:t>předchozí servisní smlouvu č.70 188 včetně dodatků.</w:t>
      </w:r>
    </w:p>
    <w:p w:rsidR="00A53820" w:rsidRDefault="00A53820">
      <w:pPr>
        <w:tabs>
          <w:tab w:val="left" w:pos="734"/>
        </w:tabs>
        <w:ind w:left="360" w:hanging="360"/>
      </w:pPr>
    </w:p>
    <w:p w:rsidR="00A53820" w:rsidRDefault="00A53820">
      <w:pPr>
        <w:tabs>
          <w:tab w:val="left" w:pos="734"/>
        </w:tabs>
        <w:ind w:left="360" w:hanging="360"/>
      </w:pPr>
    </w:p>
    <w:p w:rsidR="00FA0BC0" w:rsidRDefault="00D5736B">
      <w:pPr>
        <w:ind w:left="360" w:hanging="360"/>
        <w:outlineLvl w:val="4"/>
      </w:pPr>
      <w:bookmarkStart w:id="10" w:name="bookmark10"/>
      <w:r>
        <w:lastRenderedPageBreak/>
        <w:t>ČI.3 Rozsah služeb</w:t>
      </w:r>
      <w:bookmarkEnd w:id="10"/>
    </w:p>
    <w:p w:rsidR="00A53820" w:rsidRDefault="00A53820">
      <w:pPr>
        <w:ind w:left="360" w:hanging="360"/>
        <w:outlineLvl w:val="4"/>
      </w:pPr>
      <w:r>
        <w:t>Výtahy: Lidové sady 425/1 (2), Lidové sady 425/1 (A2) – HOSPODÁŘSKÁ BUDOVA</w:t>
      </w:r>
    </w:p>
    <w:p w:rsidR="00A53820" w:rsidRDefault="00A53820">
      <w:pPr>
        <w:ind w:left="360" w:hanging="360"/>
        <w:outlineLvl w:val="4"/>
      </w:pPr>
      <w:r>
        <w:t>Přehled služeb zahrnutých v paušální ceně</w:t>
      </w:r>
    </w:p>
    <w:p w:rsidR="00FA0BC0" w:rsidRDefault="00D5736B">
      <w:r>
        <w:t xml:space="preserve">preventivní údržba </w:t>
      </w:r>
      <w:r w:rsidRPr="00A53820">
        <w:rPr>
          <w:lang w:eastAsia="de-DE" w:bidi="de-DE"/>
        </w:rPr>
        <w:t>Schindler</w:t>
      </w:r>
    </w:p>
    <w:p w:rsidR="00FA0BC0" w:rsidRDefault="00D5736B">
      <w:r>
        <w:t>kontrola funkčnosti a nepoškozenosti zařízení</w:t>
      </w:r>
    </w:p>
    <w:p w:rsidR="00FA0BC0" w:rsidRDefault="00D5736B">
      <w:r>
        <w:t>mazání</w:t>
      </w:r>
    </w:p>
    <w:p w:rsidR="00FA0BC0" w:rsidRDefault="00D5736B">
      <w:r>
        <w:t xml:space="preserve">čištění klece výtahu, strojovny a suché prohlubně od provozních nečistot dispečink pro hlášení poruch </w:t>
      </w:r>
      <w:r>
        <w:t>24hod/7dní kontrola funkčnosti systému havarijní komunikace kontrola funkčnosti zařízení pro vyproštění pasažérů</w:t>
      </w:r>
    </w:p>
    <w:p w:rsidR="00FA0BC0" w:rsidRDefault="00D5736B">
      <w:r>
        <w:t xml:space="preserve">nástup na opravu v době od 7:00 do 15:30 nejpozději následující pracovní den od nahlášení na dispečink </w:t>
      </w:r>
      <w:r w:rsidRPr="00A53820">
        <w:rPr>
          <w:lang w:eastAsia="de-DE" w:bidi="de-DE"/>
        </w:rPr>
        <w:t xml:space="preserve">Schindler </w:t>
      </w:r>
      <w:r>
        <w:t xml:space="preserve">tel. </w:t>
      </w:r>
      <w:r w:rsidR="00A53820">
        <w:t>xxx</w:t>
      </w:r>
      <w:r>
        <w:t xml:space="preserve"> odborná zkouš</w:t>
      </w:r>
      <w:r>
        <w:t>ka dle ČSN 27 4007</w:t>
      </w:r>
    </w:p>
    <w:p w:rsidR="00FA0BC0" w:rsidRDefault="00D5736B">
      <w:r>
        <w:t>opravy (práce technika) v pracovních dnech v čase 7:00 až 15:30 hod v délce opravy maximálně 8 člověkohodin</w:t>
      </w:r>
    </w:p>
    <w:p w:rsidR="00FA0BC0" w:rsidRDefault="00D5736B">
      <w:r>
        <w:t xml:space="preserve">vyproštění uvízlých osob s nástupem na vyproštění </w:t>
      </w:r>
      <w:r w:rsidR="00A53820">
        <w:t>nejpozději</w:t>
      </w:r>
      <w:r>
        <w:t xml:space="preserve"> do 60 min od nahlášení na dispečink 24hod/7dní</w:t>
      </w:r>
    </w:p>
    <w:p w:rsidR="00FA0BC0" w:rsidRDefault="00FA0BC0"/>
    <w:p w:rsidR="00FA0BC0" w:rsidRDefault="00A53820">
      <w:pPr>
        <w:tabs>
          <w:tab w:val="left" w:leader="underscore" w:pos="436"/>
        </w:tabs>
      </w:pPr>
      <w:r>
        <w:t>Přehled služeb na objednávku</w:t>
      </w:r>
    </w:p>
    <w:p w:rsidR="00FA0BC0" w:rsidRDefault="00D5736B">
      <w:r>
        <w:t>odborná asistence</w:t>
      </w:r>
    </w:p>
    <w:p w:rsidR="00FA0BC0" w:rsidRDefault="00D5736B">
      <w:r>
        <w:t xml:space="preserve">práce na opravách a údržbě, které přesahují rozsah služeb podle této Smlouvy, cenu dodaných dílů a materiálu hradí Objednatel Zhotoviteli samostatně zásahy způsobené zneužitím nebo nesprávným </w:t>
      </w:r>
      <w:r>
        <w:t>použitím nouzového volání se účtují podle aktuálních výdajů a vzniklých nákladů inspekční prohlídky dle ČSN 27 4007</w:t>
      </w:r>
    </w:p>
    <w:p w:rsidR="00FA0BC0" w:rsidRDefault="00D5736B">
      <w:r>
        <w:t>nástup na opravu v prodloužené pracovní době 7:00 až 22:00 hod vč. víkendů a svátků</w:t>
      </w:r>
    </w:p>
    <w:p w:rsidR="00FA0BC0" w:rsidRDefault="00D5736B">
      <w:r>
        <w:t>výměna nefunkčních žárovek v kleci výtahu během pravidel</w:t>
      </w:r>
      <w:r>
        <w:t>né kontroly a preventivní údržby zařízení</w:t>
      </w:r>
    </w:p>
    <w:p w:rsidR="00A53820" w:rsidRDefault="00A53820"/>
    <w:p w:rsidR="00FA0BC0" w:rsidRDefault="00D5736B">
      <w:pPr>
        <w:tabs>
          <w:tab w:val="left" w:pos="8501"/>
        </w:tabs>
        <w:outlineLvl w:val="1"/>
      </w:pPr>
      <w:bookmarkStart w:id="11" w:name="bookmark11"/>
      <w:r>
        <w:t>či.4 cena</w:t>
      </w:r>
      <w:r>
        <w:tab/>
      </w:r>
      <w:bookmarkEnd w:id="11"/>
    </w:p>
    <w:p w:rsidR="00FA0BC0" w:rsidRDefault="00D5736B">
      <w:pPr>
        <w:tabs>
          <w:tab w:val="left" w:pos="872"/>
        </w:tabs>
        <w:ind w:left="360" w:hanging="360"/>
      </w:pPr>
      <w:r>
        <w:t>4.1</w:t>
      </w:r>
      <w:r>
        <w:tab/>
        <w:t>Celková měsíční cena bez DPH za služby uvedené v čl. 3 této Smlouvy činí:</w:t>
      </w:r>
    </w:p>
    <w:p w:rsidR="00FA0BC0" w:rsidRDefault="00D5736B">
      <w:r>
        <w:t>846,00,- Kč. Příslušná daň z přidané hodnoty bude účtována dle zákona č. 235/2004 Sb., o dani z přidané hodnoty, v p</w:t>
      </w:r>
      <w:r>
        <w:t>latném znění.</w:t>
      </w:r>
    </w:p>
    <w:p w:rsidR="00FA0BC0" w:rsidRDefault="00D5736B">
      <w:r>
        <w:t>V případě, že dojde ke změně sazby DPH, bude tato sazba odpovídajícím způsobem upravena.</w:t>
      </w:r>
    </w:p>
    <w:p w:rsidR="00FA0BC0" w:rsidRDefault="00D5736B">
      <w:pPr>
        <w:tabs>
          <w:tab w:val="left" w:pos="872"/>
        </w:tabs>
        <w:ind w:left="360" w:hanging="360"/>
      </w:pPr>
      <w:r>
        <w:lastRenderedPageBreak/>
        <w:t>4.2</w:t>
      </w:r>
      <w:r>
        <w:tab/>
        <w:t>Zhotovitel má právo jednostranně upravit cenu na základě navýšení nákladů způsobených změnami norem, předpisů, vyhlášek a zákonů s účinností 2 měsíce</w:t>
      </w:r>
      <w:r>
        <w:t xml:space="preserve"> po odeslání písemného avíza Objednateli. Nevyjádří-li Objednatel písemně do 1 měsíce po obdržení avíza svůj nesouhlas se změnou ceny, platí, že nová cena byla dohodnuta.</w:t>
      </w:r>
    </w:p>
    <w:p w:rsidR="00FA0BC0" w:rsidRDefault="00D5736B">
      <w:pPr>
        <w:tabs>
          <w:tab w:val="left" w:pos="872"/>
        </w:tabs>
        <w:ind w:left="360" w:hanging="360"/>
      </w:pPr>
      <w:r>
        <w:t>4.3</w:t>
      </w:r>
      <w:r>
        <w:tab/>
        <w:t>Další úprava ceny pouze dle přiložených všeobecných obchodních podmínek.</w:t>
      </w:r>
    </w:p>
    <w:p w:rsidR="00A53820" w:rsidRDefault="00A53820">
      <w:pPr>
        <w:tabs>
          <w:tab w:val="left" w:pos="872"/>
        </w:tabs>
        <w:ind w:left="360" w:hanging="360"/>
      </w:pPr>
    </w:p>
    <w:p w:rsidR="00FA0BC0" w:rsidRDefault="00D5736B">
      <w:pPr>
        <w:outlineLvl w:val="4"/>
      </w:pPr>
      <w:bookmarkStart w:id="12" w:name="bookmark12"/>
      <w:r>
        <w:t>Čl. 5 Pl</w:t>
      </w:r>
      <w:r>
        <w:t>atební podmínky/ fakturace</w:t>
      </w:r>
      <w:bookmarkEnd w:id="12"/>
    </w:p>
    <w:p w:rsidR="00FA0BC0" w:rsidRDefault="00D5736B">
      <w:pPr>
        <w:tabs>
          <w:tab w:val="left" w:pos="872"/>
        </w:tabs>
        <w:ind w:left="360" w:hanging="360"/>
      </w:pPr>
      <w:r>
        <w:t>5.1</w:t>
      </w:r>
      <w:r>
        <w:tab/>
        <w:t>Frekvence plateb: Čtvrtletně</w:t>
      </w:r>
    </w:p>
    <w:p w:rsidR="00FA0BC0" w:rsidRDefault="00D5736B">
      <w:pPr>
        <w:tabs>
          <w:tab w:val="left" w:pos="872"/>
        </w:tabs>
        <w:ind w:left="360" w:hanging="360"/>
      </w:pPr>
      <w:r>
        <w:t>5.2</w:t>
      </w:r>
      <w:r>
        <w:tab/>
        <w:t>Zhotovitel vystaví daňový doklad dle zákona č. 235/2004 Sb., o dani z přidané hodnoty, v platném znění) vždy k 15. dni 2. měsíce platebního období, jímž vyúčtuje smluvní cenu služeb.</w:t>
      </w:r>
    </w:p>
    <w:p w:rsidR="00FA0BC0" w:rsidRDefault="00D5736B">
      <w:pPr>
        <w:tabs>
          <w:tab w:val="left" w:pos="872"/>
        </w:tabs>
        <w:ind w:left="360" w:hanging="360"/>
      </w:pPr>
      <w:r>
        <w:t>5.3</w:t>
      </w:r>
      <w:r>
        <w:tab/>
      </w:r>
      <w:r>
        <w:t>Mimořádné práce provedené nad rozsah sjednaný touto Smlouvou, včetně materiálu a náhradních dílů provede Zhotovitel na základě cenové nabídky a objednávky od Objednatele.</w:t>
      </w:r>
      <w:r w:rsidR="00A53820">
        <w:t xml:space="preserve"> </w:t>
      </w:r>
      <w:r>
        <w:t>Práce bude Zhotovitel fakturovat po jejich dokončení v běžných zakázkových sazbách, kt</w:t>
      </w:r>
      <w:r>
        <w:t xml:space="preserve">eré mohou obsahovat přirážku za práci přesčasovou, o svátcích či ve dnech pracovního klidu. Mimořádnou prací se vždy rozumí provedení oprav vyvolaných vandalismem, nesprávným použitím nebo vnějším vlivem (voda, oheň, blesk atd.), jakož i oprav vyloučených </w:t>
      </w:r>
      <w:r>
        <w:t>ze sjednaného rozsahu servisních prací a oprav poruch mimo sjednané pracovní hodiny. Zásahy způsobené zneužitím nebo nesprávným použitím nouzového volání se účtují podle aktuálních výdajů a vzniklých nákladů.</w:t>
      </w:r>
    </w:p>
    <w:p w:rsidR="00FA0BC0" w:rsidRDefault="00D5736B">
      <w:r w:rsidRPr="00A53820">
        <w:rPr>
          <w:lang w:eastAsia="de-DE" w:bidi="de-DE"/>
        </w:rPr>
        <w:t>5.4</w:t>
      </w:r>
    </w:p>
    <w:p w:rsidR="00FA0BC0" w:rsidRDefault="00D5736B">
      <w:r>
        <w:t>Objednatel prohlašuje, že objekty uvedené v</w:t>
      </w:r>
      <w:r>
        <w:t xml:space="preserve"> této Smlouvě o dílo n</w:t>
      </w:r>
      <w:r w:rsidR="00A53820">
        <w:t>esplňují</w:t>
      </w:r>
      <w:r>
        <w:t xml:space="preserve"> podmínky pro uplatnění snížené sazby DPH. Současně se Objednatel zavazuje Zhotovitele bez zbytečného odkladu informovat o případné změně rozhodných skutečností, k níž by došlo v době platnosti této Smlouvy.</w:t>
      </w:r>
    </w:p>
    <w:p w:rsidR="00FA0BC0" w:rsidRDefault="00D5736B">
      <w:pPr>
        <w:tabs>
          <w:tab w:val="left" w:pos="702"/>
        </w:tabs>
        <w:ind w:left="360" w:hanging="360"/>
      </w:pPr>
      <w:r>
        <w:t>5.5</w:t>
      </w:r>
      <w:r>
        <w:tab/>
        <w:t>Objednate</w:t>
      </w:r>
      <w:r>
        <w:t xml:space="preserve">l souhlasí se zasíláním daňových dokladů (faktur) v elektronické podobě na email: </w:t>
      </w:r>
      <w:r w:rsidR="00A53820" w:rsidRPr="00A53820">
        <w:rPr>
          <w:lang w:eastAsia="en-US" w:bidi="en-US"/>
        </w:rPr>
        <w:t>xxx</w:t>
      </w:r>
      <w:r w:rsidRPr="00A53820">
        <w:rPr>
          <w:lang w:eastAsia="en-US" w:bidi="en-US"/>
        </w:rPr>
        <w:t xml:space="preserve">. </w:t>
      </w:r>
      <w:r>
        <w:t>Na základě tohoto ujednání nebude zhotovitel posílat tištěné daňové doklady.</w:t>
      </w:r>
    </w:p>
    <w:p w:rsidR="00FA0BC0" w:rsidRDefault="00D5736B">
      <w:pPr>
        <w:tabs>
          <w:tab w:val="left" w:pos="702"/>
        </w:tabs>
        <w:ind w:left="360" w:hanging="360"/>
      </w:pPr>
      <w:r>
        <w:t>5.6</w:t>
      </w:r>
      <w:r>
        <w:tab/>
        <w:t>Objednatel dále prohlašuje, že pr</w:t>
      </w:r>
      <w:r>
        <w:t>o přijatá zdanitelná plnění vystupuje v postavení osoby povinné k dani.</w:t>
      </w:r>
    </w:p>
    <w:p w:rsidR="00A53820" w:rsidRDefault="00A53820">
      <w:pPr>
        <w:tabs>
          <w:tab w:val="left" w:pos="702"/>
        </w:tabs>
        <w:ind w:left="360" w:hanging="360"/>
      </w:pPr>
    </w:p>
    <w:p w:rsidR="00FA0BC0" w:rsidRDefault="00D5736B">
      <w:pPr>
        <w:outlineLvl w:val="4"/>
      </w:pPr>
      <w:bookmarkStart w:id="13" w:name="bookmark13"/>
      <w:r>
        <w:lastRenderedPageBreak/>
        <w:t>ČI. 6 Záruční podmínky</w:t>
      </w:r>
      <w:bookmarkEnd w:id="13"/>
    </w:p>
    <w:p w:rsidR="00FA0BC0" w:rsidRDefault="00D5736B">
      <w:pPr>
        <w:tabs>
          <w:tab w:val="left" w:pos="702"/>
        </w:tabs>
        <w:ind w:left="360" w:hanging="360"/>
      </w:pPr>
      <w:r>
        <w:t>6.1</w:t>
      </w:r>
      <w:r>
        <w:tab/>
        <w:t xml:space="preserve">V případě, že je předmětem Smlouvy nové zařízení </w:t>
      </w:r>
      <w:r w:rsidRPr="00A53820">
        <w:rPr>
          <w:lang w:eastAsia="de-DE" w:bidi="de-DE"/>
        </w:rPr>
        <w:t xml:space="preserve">Schindler </w:t>
      </w:r>
      <w:r>
        <w:t>bude záruka poskytována v souladu se Smlouvou na dodávku a instalaci zařízení. Během záruky nebudo</w:t>
      </w:r>
      <w:r>
        <w:t>u záruční opravy fakturovány.</w:t>
      </w:r>
    </w:p>
    <w:p w:rsidR="00FA0BC0" w:rsidRDefault="00D5736B">
      <w:pPr>
        <w:tabs>
          <w:tab w:val="left" w:pos="702"/>
        </w:tabs>
        <w:ind w:left="360" w:hanging="360"/>
      </w:pPr>
      <w:r>
        <w:t>6.2</w:t>
      </w:r>
      <w:r>
        <w:tab/>
        <w:t xml:space="preserve">Zhotovitel je vázán záručními </w:t>
      </w:r>
      <w:r w:rsidR="00A53820">
        <w:t>podmínkami, pouze</w:t>
      </w:r>
      <w:r>
        <w:t xml:space="preserve"> pokud byly uhrazeny všechny pohledávky za instalaci zařízení, v opačném případě mohou být Objednateli fakturovány i záruční opravy a materiál.</w:t>
      </w:r>
    </w:p>
    <w:p w:rsidR="00FA0BC0" w:rsidRDefault="00D5736B">
      <w:pPr>
        <w:tabs>
          <w:tab w:val="left" w:pos="702"/>
        </w:tabs>
        <w:ind w:left="360" w:hanging="360"/>
      </w:pPr>
      <w:r>
        <w:t>6.3</w:t>
      </w:r>
      <w:r>
        <w:tab/>
        <w:t>V případě provedení servisní</w:t>
      </w:r>
      <w:r>
        <w:t>ch oprav poskytuje Zhotovitel záruku 6 měsíců na provedené práce a 24 měsíců na instalovaný materiál mimo materiálu podléhajícímu běžnému opotřebení.</w:t>
      </w:r>
    </w:p>
    <w:p w:rsidR="00A53820" w:rsidRDefault="00A53820">
      <w:pPr>
        <w:tabs>
          <w:tab w:val="left" w:pos="702"/>
        </w:tabs>
        <w:ind w:left="360" w:hanging="360"/>
      </w:pPr>
    </w:p>
    <w:p w:rsidR="00FA0BC0" w:rsidRDefault="00D5736B">
      <w:pPr>
        <w:outlineLvl w:val="4"/>
      </w:pPr>
      <w:bookmarkStart w:id="14" w:name="bookmark14"/>
      <w:r>
        <w:t>ČI. 7 Ostatní ujednání</w:t>
      </w:r>
      <w:bookmarkEnd w:id="14"/>
    </w:p>
    <w:p w:rsidR="00FA0BC0" w:rsidRDefault="00D5736B">
      <w:pPr>
        <w:tabs>
          <w:tab w:val="left" w:pos="702"/>
        </w:tabs>
        <w:ind w:left="360" w:hanging="360"/>
      </w:pPr>
      <w:r>
        <w:t>7.1</w:t>
      </w:r>
      <w:r>
        <w:tab/>
        <w:t>Všeobecné obchodní podmínky ve verzi 15.1.2014 jsou nedílnou součástí této Smlo</w:t>
      </w:r>
      <w:r>
        <w:t>uvy a blíže upravují práva a povinnosti obou Smluvních stran, vč. zajištění převzatých smluvních závazků. Smluvní strany prohlašují, že se jimi cítí být vázány. V případě rozporu mezi ustanoveními této Smlouvy a všeobecnými obchodními podmínkami mají předn</w:t>
      </w:r>
      <w:r>
        <w:t>ost ustanovení této Smlouvy.</w:t>
      </w:r>
    </w:p>
    <w:p w:rsidR="00FA0BC0" w:rsidRDefault="00D5736B">
      <w:pPr>
        <w:tabs>
          <w:tab w:val="left" w:pos="702"/>
        </w:tabs>
        <w:ind w:left="360" w:hanging="360"/>
      </w:pPr>
      <w:r>
        <w:t>7.2</w:t>
      </w:r>
      <w:r>
        <w:tab/>
        <w:t>Smluvní strany se dohodly, že veškerá oznámení, výzvy, notifikace, sdělení apod. podle této Smlouvy musí být písemná a zaslána prostřednictvím poštovní přepravy, a to na adresu příslušné Smluvní strany uvedenou v záhlaví té</w:t>
      </w:r>
      <w:r>
        <w:t>to Smlouvy. Pokud dojde ke změně těchto adres u některé ze Smluvních stran, je tato Smluvní strana povinna neprodleně oznámit druhé Smluvní straně tuto změnu, a to způsobem dle tohoto bodu Smlouvy.</w:t>
      </w:r>
    </w:p>
    <w:p w:rsidR="00FA0BC0" w:rsidRDefault="00D5736B">
      <w:pPr>
        <w:tabs>
          <w:tab w:val="left" w:pos="702"/>
        </w:tabs>
        <w:ind w:left="360" w:hanging="360"/>
      </w:pPr>
      <w:r>
        <w:t>7.3</w:t>
      </w:r>
      <w:r>
        <w:tab/>
        <w:t>Tato Smlouva je podepsána ve 3 vyhotoveních, z nichž d</w:t>
      </w:r>
      <w:r>
        <w:t>vě obdrží zhotovitel a zbývající jedno objednatel. Pro vznik Smlouvy se vyžaduje dohoda o celém jejím obsahu, změny lze provést pouze písemně, formou dodatků. Smlouva nabývá platnosti dnem doručení řádně podepsaného stejnopisu této Smlouvy Zhotoviteli.</w:t>
      </w:r>
    </w:p>
    <w:p w:rsidR="00A53820" w:rsidRDefault="00A53820">
      <w:pPr>
        <w:rPr>
          <w:lang w:eastAsia="de-DE" w:bidi="de-DE"/>
        </w:rPr>
      </w:pPr>
    </w:p>
    <w:p w:rsidR="00FA0BC0" w:rsidRDefault="00A53820">
      <w:r>
        <w:rPr>
          <w:lang w:eastAsia="de-DE" w:bidi="de-DE"/>
        </w:rPr>
        <w:t xml:space="preserve">7.4 </w:t>
      </w:r>
      <w:r w:rsidR="00D5736B">
        <w:t>Smluvní strany se dohodly, že se právní vztahy vzniklé mezi nimi touto- Smlouvou řídí zákonem č. 89/2012 Sb., (občanský zákoník) v platném znění a dalšími právními předpisy ČR.</w:t>
      </w:r>
    </w:p>
    <w:p w:rsidR="00FA0BC0" w:rsidRDefault="00A53820">
      <w:r>
        <w:t xml:space="preserve">7.5 </w:t>
      </w:r>
      <w:r w:rsidR="00D5736B">
        <w:t>Zhotovitel bude zajišťovat náhradní díly po dobu</w:t>
      </w:r>
      <w:r w:rsidR="00D5736B">
        <w:t xml:space="preserve"> 25 let od data uvedení do provozu příslušných výtahových instalací </w:t>
      </w:r>
      <w:r w:rsidR="00D5736B" w:rsidRPr="00A53820">
        <w:rPr>
          <w:lang w:eastAsia="de-DE" w:bidi="de-DE"/>
        </w:rPr>
        <w:t xml:space="preserve">Schindler. </w:t>
      </w:r>
      <w:r w:rsidR="00D5736B">
        <w:t xml:space="preserve">To se nevztahuje na moduly </w:t>
      </w:r>
      <w:r w:rsidR="00D5736B">
        <w:lastRenderedPageBreak/>
        <w:t>obsahující elektronické komponenty. Při ukončení jejich dostupnosti nebo podpory jiných náhradních dílů ze strany externích dodavatelů, nabídne Zhotov</w:t>
      </w:r>
      <w:r w:rsidR="00D5736B">
        <w:t>itel Objednateli placená opatření, která budou sloužit k zajištění provozu instalace / instalací.</w:t>
      </w:r>
    </w:p>
    <w:p w:rsidR="00FA0BC0" w:rsidRDefault="00A53820">
      <w:r>
        <w:t xml:space="preserve">7.6 </w:t>
      </w:r>
      <w:r w:rsidR="00D5736B">
        <w:t>Zhotovitel přebírá demontované náhradní díly, použitý olej a maziva do svého vlastnictví a na vlastní náklady zajišťuje jejich řádnou likvidaci.</w:t>
      </w:r>
    </w:p>
    <w:p w:rsidR="00FA0BC0" w:rsidRDefault="00D5736B">
      <w:pPr>
        <w:tabs>
          <w:tab w:val="left" w:pos="727"/>
        </w:tabs>
        <w:ind w:left="360" w:hanging="360"/>
      </w:pPr>
      <w:r>
        <w:t>7.7</w:t>
      </w:r>
      <w:r>
        <w:tab/>
      </w:r>
      <w:r w:rsidR="00A53820">
        <w:t xml:space="preserve"> </w:t>
      </w:r>
      <w:r>
        <w:t xml:space="preserve">Na přání </w:t>
      </w:r>
      <w:r>
        <w:t>Objednatele vydá Zhotovitel vyměněné náhradní díly, použitý olej, či maziva. V tomto případě je Objednatel odpovědný za jejich řádnou likvidaci na vlastní náklady.</w:t>
      </w:r>
    </w:p>
    <w:p w:rsidR="00FA0BC0" w:rsidRDefault="00D5736B">
      <w:pPr>
        <w:tabs>
          <w:tab w:val="left" w:pos="727"/>
        </w:tabs>
        <w:ind w:left="360" w:hanging="360"/>
      </w:pPr>
      <w:r>
        <w:t>7.8</w:t>
      </w:r>
      <w:r w:rsidR="00A53820">
        <w:t xml:space="preserve"> </w:t>
      </w:r>
      <w:r>
        <w:tab/>
        <w:t>Zhotovitel nebude od uvízlých pasažérů požadovat sdělení jejich osobních údajů, a to ani</w:t>
      </w:r>
      <w:r>
        <w:t xml:space="preserve"> v případě zneužití systému z jejich strany.</w:t>
      </w:r>
    </w:p>
    <w:p w:rsidR="00FA0BC0" w:rsidRDefault="00D5736B">
      <w:pPr>
        <w:tabs>
          <w:tab w:val="left" w:pos="727"/>
        </w:tabs>
        <w:ind w:left="360" w:hanging="360"/>
      </w:pPr>
      <w:r>
        <w:t>7.9</w:t>
      </w:r>
      <w:r w:rsidR="00A53820">
        <w:t xml:space="preserve"> </w:t>
      </w:r>
      <w:r>
        <w:tab/>
        <w:t>Smluvní strany prohlašují, že souhlasí s případným zveřejněním obsahu této smlouvy v souladu ustanovením zákona č. 340/2015 Sb., zákona o registru smluv ve znění novely zákona</w:t>
      </w:r>
    </w:p>
    <w:p w:rsidR="00FA0BC0" w:rsidRDefault="00D5736B">
      <w:pPr>
        <w:tabs>
          <w:tab w:val="left" w:pos="727"/>
        </w:tabs>
        <w:ind w:left="360" w:hanging="360"/>
      </w:pPr>
      <w:r>
        <w:t>7.10</w:t>
      </w:r>
      <w:r>
        <w:tab/>
        <w:t xml:space="preserve">Po provedení revizní </w:t>
      </w:r>
      <w:r>
        <w:t>prohlídky předá zhotovitel objednateli revizní zprávu a soupis zjištěných závad, nad</w:t>
      </w:r>
      <w:r>
        <w:t xml:space="preserve"> rámec prací, které</w:t>
      </w:r>
      <w:r>
        <w:t xml:space="preserve"> řeší tato smlouva v paušále.</w:t>
      </w:r>
    </w:p>
    <w:p w:rsidR="00FA0BC0" w:rsidRDefault="00D5736B">
      <w:r>
        <w:t>Objednatel tímto potvrzuje, že obdržel všeobecné obchodní podmínky přiložené k této Smlouvě jako její nedílnou součást, že se</w:t>
      </w:r>
      <w:r>
        <w:t xml:space="preserve"> s obsahem Smlouvy a všeobecnými obchodními podmínkami seznámil, jejich obsahu rozumí a s jejich obsahem souhlasí.</w:t>
      </w:r>
    </w:p>
    <w:p w:rsidR="00D5736B" w:rsidRDefault="00D5736B"/>
    <w:p w:rsidR="00FA0BC0" w:rsidRDefault="00D5736B">
      <w:r>
        <w:t xml:space="preserve">Místo </w:t>
      </w:r>
      <w:r w:rsidRPr="00A53820">
        <w:rPr>
          <w:lang w:val="de-DE" w:eastAsia="en-US" w:bidi="en-US"/>
        </w:rPr>
        <w:t xml:space="preserve">a </w:t>
      </w:r>
      <w:r>
        <w:t>Datum:</w:t>
      </w:r>
    </w:p>
    <w:p w:rsidR="00FA0BC0" w:rsidRDefault="00D5736B">
      <w:r>
        <w:t>Podpis:</w:t>
      </w:r>
    </w:p>
    <w:p w:rsidR="00D5736B" w:rsidRDefault="00D5736B">
      <w:pPr>
        <w:outlineLvl w:val="1"/>
        <w:rPr>
          <w:lang w:val="de-DE" w:eastAsia="en-US" w:bidi="en-US"/>
        </w:rPr>
      </w:pPr>
      <w:bookmarkStart w:id="15" w:name="bookmark16"/>
    </w:p>
    <w:bookmarkEnd w:id="15"/>
    <w:p w:rsidR="00FA0BC0" w:rsidRDefault="00D5736B">
      <w:r>
        <w:t>Objednatel</w:t>
      </w:r>
    </w:p>
    <w:p w:rsidR="00FA0BC0" w:rsidRDefault="00D5736B">
      <w:r>
        <w:t>Zhotovitel</w:t>
      </w:r>
    </w:p>
    <w:p w:rsidR="00FA0BC0" w:rsidRDefault="00FA0BC0">
      <w:pPr>
        <w:rPr>
          <w:lang w:eastAsia="de-DE" w:bidi="de-DE"/>
        </w:rPr>
      </w:pPr>
    </w:p>
    <w:p w:rsidR="00D5736B" w:rsidRDefault="00D5736B">
      <w:pPr>
        <w:rPr>
          <w:lang w:eastAsia="de-DE" w:bidi="de-DE"/>
        </w:rPr>
      </w:pPr>
    </w:p>
    <w:p w:rsidR="00D5736B" w:rsidRDefault="00D5736B">
      <w:pPr>
        <w:rPr>
          <w:lang w:eastAsia="de-DE" w:bidi="de-DE"/>
        </w:rPr>
      </w:pPr>
    </w:p>
    <w:p w:rsidR="00D5736B" w:rsidRDefault="00D5736B">
      <w:pPr>
        <w:rPr>
          <w:lang w:eastAsia="de-DE" w:bidi="de-DE"/>
        </w:rPr>
      </w:pPr>
    </w:p>
    <w:p w:rsidR="00D5736B" w:rsidRDefault="00D5736B">
      <w:pPr>
        <w:rPr>
          <w:lang w:eastAsia="de-DE" w:bidi="de-DE"/>
        </w:rPr>
      </w:pPr>
    </w:p>
    <w:p w:rsidR="00D5736B" w:rsidRDefault="00D5736B">
      <w:pPr>
        <w:rPr>
          <w:lang w:eastAsia="de-DE" w:bidi="de-DE"/>
        </w:rPr>
      </w:pPr>
    </w:p>
    <w:p w:rsidR="00D5736B" w:rsidRDefault="00D5736B">
      <w:pPr>
        <w:rPr>
          <w:lang w:eastAsia="de-DE" w:bidi="de-DE"/>
        </w:rPr>
      </w:pPr>
    </w:p>
    <w:p w:rsidR="00D5736B" w:rsidRDefault="00D5736B">
      <w:pPr>
        <w:rPr>
          <w:lang w:eastAsia="de-DE" w:bidi="de-DE"/>
        </w:rPr>
      </w:pPr>
    </w:p>
    <w:p w:rsidR="00D5736B" w:rsidRDefault="00D5736B"/>
    <w:p w:rsidR="00FA0BC0" w:rsidRDefault="00D5736B">
      <w:r>
        <w:lastRenderedPageBreak/>
        <w:t xml:space="preserve">Příloha 1: Všeobecné obchodní podmínky společnosti </w:t>
      </w:r>
      <w:r w:rsidRPr="00A53820">
        <w:rPr>
          <w:lang w:eastAsia="de-DE" w:bidi="de-DE"/>
        </w:rPr>
        <w:t>Schindler</w:t>
      </w:r>
    </w:p>
    <w:p w:rsidR="00FA0BC0" w:rsidRDefault="00D5736B">
      <w:r>
        <w:t>Verze 15.1.2014</w:t>
      </w:r>
    </w:p>
    <w:p w:rsidR="00FA0BC0" w:rsidRDefault="00D5736B">
      <w:pPr>
        <w:tabs>
          <w:tab w:val="left" w:pos="256"/>
        </w:tabs>
      </w:pPr>
      <w:r>
        <w:t>1.</w:t>
      </w:r>
      <w:r>
        <w:tab/>
        <w:t>Provádění služby</w:t>
      </w:r>
    </w:p>
    <w:p w:rsidR="00FA0BC0" w:rsidRDefault="00D5736B">
      <w:r>
        <w:t>Pokud není v popisu služeb dohodnuto jinak, Zhotovitel sjednané služby provádí v pracovních d</w:t>
      </w:r>
      <w:r>
        <w:t>nech od 7:00 do 15:30 hod. Zhotovitel zaměstnává školené servisní techniky a zajišťuje nástroje a měřicí</w:t>
      </w:r>
      <w:r>
        <w:t xml:space="preserve"> přístroje, které jsou pro poskytování sjednaných služeb nezbytné.</w:t>
      </w:r>
    </w:p>
    <w:p w:rsidR="00FA0BC0" w:rsidRDefault="00D5736B">
      <w:pPr>
        <w:tabs>
          <w:tab w:val="left" w:pos="256"/>
        </w:tabs>
      </w:pPr>
      <w:r>
        <w:t>2.</w:t>
      </w:r>
      <w:r>
        <w:tab/>
        <w:t>Výjimky</w:t>
      </w:r>
    </w:p>
    <w:p w:rsidR="00FA0BC0" w:rsidRDefault="00D5736B">
      <w:r>
        <w:t>Pokud není v popisu služeb dohodnuto jinak, údržba, jejíž provedení bylo n</w:t>
      </w:r>
      <w:r>
        <w:t>utné na základě zásahu vyšší moci, nesprávného používání instalace / instalací nebo nevhodného zacházení s ní, přetěžování, vandalismu, požár, působení vody, vlhkosti nebo přepětí v napájecí síti, není součástí dohodnutých služeb. Ze sjednaných služeb Zhot</w:t>
      </w:r>
      <w:r>
        <w:t>ovitele jsou dále vyloučeny případy technického zhodnocení, výměna žárovek v kabině, šachtě a ve strojovně, úpravy povrchů komponent jako např. nátěry a výměny dekorativních prvků, čištění budov, kabiny a dveří, kompletní čištění eskalátorů, zejména schodn</w:t>
      </w:r>
      <w:r>
        <w:t>ic a palet, a dále úpravy, které jsou vyžadované novou právní úpravou, doporučeny nebo nařízeny odpovědnými kontrolními orgány, nebo nezávaznými technickými normami. Ve struktuře sjednání služeb Zhotovitele dále nejsou zahrnuty práce na údržbě kabelů elekt</w:t>
      </w:r>
      <w:r>
        <w:t>rického napájení nebo telefonních a datových kabelů pro e-alarm a elektronické monitorování. Pokud dojde k porušení telefonního spojení, není Zhotovitel po dobu trvání poruchy povinna poskytovat příslušné služby (e-alarm a elektronické monitorování). Vypro</w:t>
      </w:r>
      <w:r>
        <w:t>štění předmětů se účtují dle aktuální hodinové zúčtovací sazby pouze Objednateli smlouvy, a to i v případě požadavků třetích stran.</w:t>
      </w:r>
    </w:p>
    <w:p w:rsidR="00FA0BC0" w:rsidRDefault="00D5736B">
      <w:pPr>
        <w:tabs>
          <w:tab w:val="left" w:pos="256"/>
        </w:tabs>
      </w:pPr>
      <w:r>
        <w:t>3.</w:t>
      </w:r>
      <w:r>
        <w:tab/>
        <w:t>Práva k předmětům duševního vlastnictví</w:t>
      </w:r>
    </w:p>
    <w:p w:rsidR="00FA0BC0" w:rsidRDefault="00D5736B">
      <w:r>
        <w:t>Zhotovitel může za účelem rozšíření</w:t>
      </w:r>
      <w:r>
        <w:t xml:space="preserve"> funkčnosti řídícího software instalovaného na</w:t>
      </w:r>
      <w:r>
        <w:t xml:space="preserve"> instalaci ("Řídicí software") instalovat dodatečná zařízení nebo software, pokud se jedná o zařízení nebo software vhodné pro připojení k servisnímu zařízeni, přičemž taková dodatečná zařízení nebo software bude neustále majetkem Zhotovitele a Zhotovitel </w:t>
      </w:r>
      <w:r>
        <w:t>je může při ukončení této Smlouvy z místa instalace odstranit.</w:t>
      </w:r>
    </w:p>
    <w:p w:rsidR="00FA0BC0" w:rsidRDefault="00D5736B">
      <w:r>
        <w:t xml:space="preserve">Objednatel Zhotoviteli uděluje právo připojit elektronickou cestou dodatečné servisní zařízení k instalaci, a dále Zhotoviteli poskytuje plný přístup za účelem odečítání, použití a aktualizaci </w:t>
      </w:r>
      <w:r>
        <w:t>dat vytvořených řídícím software.</w:t>
      </w:r>
    </w:p>
    <w:p w:rsidR="00FA0BC0" w:rsidRDefault="00D5736B">
      <w:pPr>
        <w:tabs>
          <w:tab w:val="left" w:pos="256"/>
        </w:tabs>
        <w:ind w:left="360" w:hanging="360"/>
      </w:pPr>
      <w:r>
        <w:lastRenderedPageBreak/>
        <w:t>4.</w:t>
      </w:r>
      <w:r>
        <w:tab/>
        <w:t>Majetková práva týkající se dálkového monitorovacího systému</w:t>
      </w:r>
    </w:p>
    <w:p w:rsidR="00FA0BC0" w:rsidRDefault="00D5736B">
      <w:r>
        <w:t xml:space="preserve">Pokud bude Zhotovitel instalovat systém dálkového monitorování Servitel ©, poskytuje jej Objednateli na dobu trvání Smlouvy. Tento systém zůstává majetkem </w:t>
      </w:r>
      <w:r>
        <w:t>Zhotovitele a slouží k dočasným účelům. Při ukončení Smlouvy Zhotovitel systém dálkové monitorování odinstaluje.</w:t>
      </w:r>
    </w:p>
    <w:p w:rsidR="00FA0BC0" w:rsidRDefault="00D5736B">
      <w:pPr>
        <w:tabs>
          <w:tab w:val="left" w:pos="256"/>
        </w:tabs>
      </w:pPr>
      <w:r>
        <w:t>5.</w:t>
      </w:r>
      <w:r>
        <w:tab/>
        <w:t>Povinnosti Objednatele</w:t>
      </w:r>
    </w:p>
    <w:p w:rsidR="00FA0BC0" w:rsidRDefault="00D5736B">
      <w:r>
        <w:t>Aby byl Zhotovitel schopen sjednané služby poskytovat, musí Objednatel Zhotoviteli umožnit kdykoli přístup ke všem so</w:t>
      </w:r>
      <w:r>
        <w:t>učástem instalace / instalací. Stavební úpravy, které by mohly ohrozit činnost instalace / instalaci, musí být v dostatečné předstihu oznámeny Zhotoviteli. Objednatel je dále povinen hlásit veškeré závady, škody a úpravy bezprostředně poté, kdy se o nich d</w:t>
      </w:r>
      <w:r>
        <w:t>ozví. Provozovatelem instalace / instalací je i nadále Objednatel. Právní závazky vzniklé Objednateli z tohoto postavení nejsou touto Smlouvou dotčeny. Objednatel určí osobu / -y (jméno, příjmení, adresa, telefon) oprávněnou /- é jeho jménem ověřovat výkaz</w:t>
      </w:r>
      <w:r>
        <w:t>y pracovníků Zhotovitele. V případě neurčení oprávněné osoby strany sjednávají vyvratitelnou domněnku, že výkazy pracovníků Zhotovitele jsou bezvadné a odpovídají skutečnosti.</w:t>
      </w:r>
    </w:p>
    <w:p w:rsidR="00FA0BC0" w:rsidRDefault="00D5736B">
      <w:pPr>
        <w:tabs>
          <w:tab w:val="left" w:pos="256"/>
        </w:tabs>
      </w:pPr>
      <w:r>
        <w:t>6.</w:t>
      </w:r>
      <w:r>
        <w:tab/>
        <w:t>Odměňování</w:t>
      </w:r>
    </w:p>
    <w:p w:rsidR="00FA0BC0" w:rsidRDefault="00D5736B">
      <w:pPr>
        <w:tabs>
          <w:tab w:val="left" w:pos="256"/>
        </w:tabs>
      </w:pPr>
      <w:r>
        <w:t>a.</w:t>
      </w:r>
      <w:r>
        <w:tab/>
        <w:t>Platební podmínky</w:t>
      </w:r>
    </w:p>
    <w:p w:rsidR="00FA0BC0" w:rsidRDefault="00D5736B">
      <w:r>
        <w:t>Dohodnutá odměna pokrývá vyslání technika, ce</w:t>
      </w:r>
      <w:r>
        <w:t>stovní náklady a dobu jízdy spojené s výkonem služeb popsaných v této Smlouvě.</w:t>
      </w:r>
    </w:p>
    <w:p w:rsidR="00FA0BC0" w:rsidRDefault="00D5736B">
      <w:r>
        <w:t>Dohodnutá lhůta splatnosti faktury je 14 dní. Pro případ prodlení Objednatele s úhradou peněžitých závazků sjednávají smluvní strany smluvní pokutu ve výši 0,05% z dlužné částky</w:t>
      </w:r>
      <w:r>
        <w:t xml:space="preserve"> za každý den prodlení.</w:t>
      </w:r>
    </w:p>
    <w:p w:rsidR="00FA0BC0" w:rsidRDefault="00D5736B">
      <w:pPr>
        <w:tabs>
          <w:tab w:val="left" w:pos="256"/>
        </w:tabs>
      </w:pPr>
      <w:r>
        <w:t>b.</w:t>
      </w:r>
      <w:r>
        <w:tab/>
        <w:t>Úprava odměny</w:t>
      </w:r>
    </w:p>
    <w:p w:rsidR="00FA0BC0" w:rsidRDefault="00D5736B">
      <w:r>
        <w:t>Na základě údajů zveřejňovaných Českým statistickým úřadem, případně jiným příslušným úřadem o míre inflace za předchozí kalendářní rok je zhotovitel oprávněn dohodnutou cenu každý rok upravit o vyhlášenou průměrnou</w:t>
      </w:r>
      <w:r>
        <w:t xml:space="preserve"> roční míru</w:t>
      </w:r>
      <w:r>
        <w:t xml:space="preserve"> inflace, počínaje lednem roku, následujícího po roce, za který byla vyhlášena. Objednatel se zavazuje takto upravenou odměnu uhradit způsobem sjednaným ve Smlouvě.</w:t>
      </w:r>
    </w:p>
    <w:p w:rsidR="00FA0BC0" w:rsidRDefault="00D5736B">
      <w:pPr>
        <w:tabs>
          <w:tab w:val="left" w:pos="287"/>
        </w:tabs>
      </w:pPr>
      <w:r>
        <w:t>7.</w:t>
      </w:r>
      <w:r>
        <w:tab/>
        <w:t>Právo přerušení poskytování služeb</w:t>
      </w:r>
    </w:p>
    <w:p w:rsidR="00FA0BC0" w:rsidRDefault="00D5736B">
      <w:r>
        <w:t>Zhotovitel je oprávněn pozastavit služby b</w:t>
      </w:r>
      <w:r>
        <w:t xml:space="preserve">ez dopadu na povinnost Objednatele řádně hradit sjednané peněžité závazky za sjednané plnění, pokud Objednatel nedokáže poskytnout přistup do zařízení nebo platit faktury v době splatnosti. Vlastník zařízení </w:t>
      </w:r>
      <w:r>
        <w:lastRenderedPageBreak/>
        <w:t>je zodpovědný za jakékoli selhání zařízení během</w:t>
      </w:r>
      <w:r>
        <w:t xml:space="preserve"> takového pozastavení služeb, jakož i z toho vzniklé škody a zbavuje se jakýchkoli nároků vůči Zhotoviteli. Před obnovením služeb po takovém pozastavení Zhotovitel provede samostatný technický audit na náklady Objednatele.</w:t>
      </w:r>
    </w:p>
    <w:p w:rsidR="00FA0BC0" w:rsidRDefault="00D5736B">
      <w:pPr>
        <w:tabs>
          <w:tab w:val="left" w:pos="287"/>
        </w:tabs>
      </w:pPr>
      <w:r>
        <w:t>8.</w:t>
      </w:r>
      <w:r>
        <w:tab/>
        <w:t>Reklamace</w:t>
      </w:r>
    </w:p>
    <w:p w:rsidR="00FA0BC0" w:rsidRDefault="00D5736B">
      <w:r>
        <w:t>Zhotovitel provede s</w:t>
      </w:r>
      <w:r>
        <w:t>jednané služby řádně, včas a na dohodnutém místě. V případě, že Zhotovitel nesplní tuto povinnost, může Objednatel, za zákonem stanovených podmínek, žádat snížení ceny. Svépomoc může Objednatel realizovat jen v naléhavých případech ohrožení bezpečnosti pro</w:t>
      </w:r>
      <w:r>
        <w:t>vozu Zařízení, nebo aby se zabránilo hrozící škodě. Další reklamační požadavky jsou - v závislosti na následujícím odstavci 9 - vyloučeny.</w:t>
      </w:r>
    </w:p>
    <w:p w:rsidR="00FA0BC0" w:rsidRDefault="00D5736B">
      <w:pPr>
        <w:tabs>
          <w:tab w:val="left" w:pos="287"/>
        </w:tabs>
      </w:pPr>
      <w:r>
        <w:t>9.</w:t>
      </w:r>
      <w:r>
        <w:tab/>
        <w:t>Odpovědnost</w:t>
      </w:r>
    </w:p>
    <w:p w:rsidR="00FA0BC0" w:rsidRDefault="00D5736B">
      <w:r>
        <w:t>Strany dohodly na limitování odpovědnosti Zhotovitele za škodu tak, že celková odpovědnost Zhotovitele</w:t>
      </w:r>
      <w:r>
        <w:t xml:space="preserve"> za jakékoli škody je vždy za kalendářní rok omezena do výše ve Smlouvě sjednané roční odměny. Zhotovitel nenese žádnou odpovědnost za ušlý zisk a za nepřímé škody nebo následné škody.</w:t>
      </w:r>
    </w:p>
    <w:p w:rsidR="00FA0BC0" w:rsidRDefault="00D5736B">
      <w:pPr>
        <w:tabs>
          <w:tab w:val="left" w:pos="306"/>
        </w:tabs>
      </w:pPr>
      <w:r>
        <w:t>10.</w:t>
      </w:r>
      <w:r>
        <w:tab/>
        <w:t>Vyšší moc</w:t>
      </w:r>
    </w:p>
    <w:p w:rsidR="00FA0BC0" w:rsidRDefault="00D5736B">
      <w:r>
        <w:t>Zhotovitel není odpovědný za plnění svých závazků v přípa</w:t>
      </w:r>
      <w:r>
        <w:t>dě poruch vyplývajících z okolností, které nebylo možné předvídat, a které jsou mimo kontrolu Zhotovitele, např. zásah vyšší moci, úřední rozhodnutí, válka anebo přírodní katastrofa.</w:t>
      </w:r>
    </w:p>
    <w:p w:rsidR="00FA0BC0" w:rsidRDefault="00D5736B">
      <w:pPr>
        <w:tabs>
          <w:tab w:val="left" w:pos="306"/>
        </w:tabs>
      </w:pPr>
      <w:r>
        <w:t>11.</w:t>
      </w:r>
      <w:r>
        <w:tab/>
        <w:t>Změna vlastnictví</w:t>
      </w:r>
    </w:p>
    <w:p w:rsidR="00FA0BC0" w:rsidRDefault="00D5736B">
      <w:r>
        <w:t>Obě strany se zavazují veškerá práva a povinnosti z</w:t>
      </w:r>
      <w:r>
        <w:t xml:space="preserve"> této Smlouvy převést na své právní nástupce. V případě změny vlastníka budovy lze Smlouvu k datu změny vlastnictví výjimečně vypovědět písemnou výpovědí ve formě doporučeného dopisu s výpovědní lhůtou v délce 60 dnů. Nebude-li Smlouva takto ukončena, nese</w:t>
      </w:r>
      <w:r>
        <w:t xml:space="preserve"> původní majitel/Objednatel nadále odpovědnost za úhradu sjednané smluvní ceny.</w:t>
      </w:r>
    </w:p>
    <w:p w:rsidR="00FA0BC0" w:rsidRDefault="00D5736B">
      <w:pPr>
        <w:tabs>
          <w:tab w:val="left" w:pos="306"/>
        </w:tabs>
      </w:pPr>
      <w:r>
        <w:t>12.</w:t>
      </w:r>
      <w:r>
        <w:tab/>
        <w:t>Předčasné ukončení</w:t>
      </w:r>
    </w:p>
    <w:p w:rsidR="00FA0BC0" w:rsidRDefault="00D5736B">
      <w:r>
        <w:t>Tato Smlouva zavazuje obě smluvní strany dodržet dohodnutou dobu trvání Smlouvy. V případě závažného porušení Smlouvy (tj. neplacení smluvní ceny za serv</w:t>
      </w:r>
      <w:r>
        <w:t xml:space="preserve">is, neprovádění sjednané služby), může kterákoliv ze stran této Smlouvy odstoupit. Pokud se však některá strana rozhodne tuto Smlouvu ukončit před datem jejího řádného ukončení jinak, než odstoupením od Smlouvy z důvodu závažného porušení Smlouvy, dohodly </w:t>
      </w:r>
      <w:r>
        <w:t xml:space="preserve">se smluvní strany na tom, že ukončující strana zaplatí </w:t>
      </w:r>
      <w:r>
        <w:lastRenderedPageBreak/>
        <w:t xml:space="preserve">druhé straně náhradu škody ve výší 50% částky, která se měla fakturovat za údržbu, kterou zbývá vyfakturovat do řádného ukončení Smlouvy, a to na základě poslední faktury a slev poskytnutých klientovi </w:t>
      </w:r>
      <w:r>
        <w:t>na dobu trvání Smlouvy.</w:t>
      </w:r>
    </w:p>
    <w:p w:rsidR="00FA0BC0" w:rsidRDefault="00D5736B">
      <w:pPr>
        <w:tabs>
          <w:tab w:val="left" w:pos="306"/>
        </w:tabs>
      </w:pPr>
      <w:r>
        <w:t>13.</w:t>
      </w:r>
      <w:r>
        <w:tab/>
        <w:t>Místo jurisdikce</w:t>
      </w:r>
    </w:p>
    <w:p w:rsidR="00FA0BC0" w:rsidRDefault="00D5736B">
      <w:r>
        <w:t>Příslušnost a pravomoc soudu je dána místem sídla Zhotovitele.</w:t>
      </w:r>
    </w:p>
    <w:p w:rsidR="00FA0BC0" w:rsidRDefault="00D5736B">
      <w:pPr>
        <w:tabs>
          <w:tab w:val="left" w:pos="306"/>
        </w:tabs>
      </w:pPr>
      <w:r>
        <w:t>14.</w:t>
      </w:r>
      <w:r>
        <w:tab/>
        <w:t>Různé</w:t>
      </w:r>
    </w:p>
    <w:p w:rsidR="00FA0BC0" w:rsidRDefault="00D5736B">
      <w:r>
        <w:t xml:space="preserve">Uzavřením této Smlouvy pozbývají platnosti veškeré dříve uzavřené Smlouvy a dohody týkající se předmětu plnění této Smlouvy. V případě </w:t>
      </w:r>
      <w:r>
        <w:t>jakýchkoli rozporů mezi těmito Všeobecnými obchodními podmínkami a předcházejícími částmi Smlouvy, mají přednost předcházející části Smlouvy před Všeobecnými obchodními podmínkami.</w:t>
      </w:r>
    </w:p>
    <w:p w:rsidR="00D5736B" w:rsidRDefault="00D5736B">
      <w:pPr>
        <w:tabs>
          <w:tab w:val="left" w:leader="underscore" w:pos="9932"/>
        </w:tabs>
        <w:outlineLvl w:val="3"/>
      </w:pPr>
      <w:bookmarkStart w:id="16" w:name="bookmark18"/>
    </w:p>
    <w:p w:rsidR="00FA0BC0" w:rsidRDefault="00D5736B">
      <w:pPr>
        <w:tabs>
          <w:tab w:val="left" w:leader="underscore" w:pos="9932"/>
        </w:tabs>
        <w:outlineLvl w:val="3"/>
      </w:pPr>
      <w:r>
        <w:t>Formulář kontaktů osob jednajících za smluvní strany</w:t>
      </w:r>
      <w:r>
        <w:tab/>
      </w:r>
      <w:bookmarkEnd w:id="16"/>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57"/>
        <w:gridCol w:w="2567"/>
        <w:gridCol w:w="2282"/>
        <w:gridCol w:w="2851"/>
      </w:tblGrid>
      <w:tr w:rsidR="00FA0BC0">
        <w:tblPrEx>
          <w:tblCellMar>
            <w:top w:w="0" w:type="dxa"/>
            <w:bottom w:w="0" w:type="dxa"/>
          </w:tblCellMar>
        </w:tblPrEx>
        <w:trPr>
          <w:trHeight w:val="904"/>
        </w:trPr>
        <w:tc>
          <w:tcPr>
            <w:tcW w:w="2257" w:type="dxa"/>
            <w:tcBorders>
              <w:top w:val="single" w:sz="4" w:space="0" w:color="auto"/>
              <w:left w:val="single" w:sz="4" w:space="0" w:color="auto"/>
            </w:tcBorders>
            <w:shd w:val="clear" w:color="auto" w:fill="FFFFFF"/>
            <w:vAlign w:val="center"/>
          </w:tcPr>
          <w:p w:rsidR="00FA0BC0" w:rsidRDefault="00D5736B">
            <w:r>
              <w:t>Zákazn</w:t>
            </w:r>
            <w:r>
              <w:t>ík:</w:t>
            </w:r>
          </w:p>
        </w:tc>
        <w:tc>
          <w:tcPr>
            <w:tcW w:w="7700" w:type="dxa"/>
            <w:gridSpan w:val="3"/>
            <w:tcBorders>
              <w:top w:val="single" w:sz="4" w:space="0" w:color="auto"/>
              <w:left w:val="single" w:sz="4" w:space="0" w:color="auto"/>
              <w:right w:val="single" w:sz="4" w:space="0" w:color="auto"/>
            </w:tcBorders>
            <w:shd w:val="clear" w:color="auto" w:fill="FFFFFF"/>
          </w:tcPr>
          <w:p w:rsidR="00FA0BC0" w:rsidRDefault="00D5736B">
            <w:r>
              <w:t>Zoologická zahrada Liberec - příspěvková organizace , Lidové Sady 425/1, Liberec 1</w:t>
            </w:r>
          </w:p>
        </w:tc>
      </w:tr>
      <w:tr w:rsidR="00FA0BC0">
        <w:tblPrEx>
          <w:tblCellMar>
            <w:top w:w="0" w:type="dxa"/>
            <w:bottom w:w="0" w:type="dxa"/>
          </w:tblCellMar>
        </w:tblPrEx>
        <w:trPr>
          <w:trHeight w:val="241"/>
        </w:trPr>
        <w:tc>
          <w:tcPr>
            <w:tcW w:w="2257" w:type="dxa"/>
            <w:vMerge w:val="restart"/>
            <w:tcBorders>
              <w:top w:val="single" w:sz="4" w:space="0" w:color="auto"/>
              <w:left w:val="single" w:sz="4" w:space="0" w:color="auto"/>
            </w:tcBorders>
            <w:shd w:val="clear" w:color="auto" w:fill="FFFFFF"/>
            <w:vAlign w:val="center"/>
          </w:tcPr>
          <w:p w:rsidR="00FA0BC0" w:rsidRDefault="00D5736B">
            <w:r>
              <w:t>Kontaktní osoba zákazníka</w:t>
            </w:r>
          </w:p>
          <w:p w:rsidR="00FA0BC0" w:rsidRDefault="00D5736B">
            <w:r>
              <w:t>pro podpis smlouvy a smluvní záležitosti</w:t>
            </w:r>
          </w:p>
        </w:tc>
        <w:tc>
          <w:tcPr>
            <w:tcW w:w="2567" w:type="dxa"/>
            <w:tcBorders>
              <w:top w:val="single" w:sz="4" w:space="0" w:color="auto"/>
              <w:left w:val="single" w:sz="4" w:space="0" w:color="auto"/>
            </w:tcBorders>
            <w:shd w:val="clear" w:color="auto" w:fill="FFFFFF"/>
          </w:tcPr>
          <w:p w:rsidR="00FA0BC0" w:rsidRDefault="00D5736B">
            <w:r>
              <w:t>Jméno</w:t>
            </w:r>
          </w:p>
        </w:tc>
        <w:tc>
          <w:tcPr>
            <w:tcW w:w="2282" w:type="dxa"/>
            <w:tcBorders>
              <w:top w:val="single" w:sz="4" w:space="0" w:color="auto"/>
              <w:left w:val="single" w:sz="4" w:space="0" w:color="auto"/>
            </w:tcBorders>
            <w:shd w:val="clear" w:color="auto" w:fill="FFFFFF"/>
          </w:tcPr>
          <w:p w:rsidR="00FA0BC0" w:rsidRDefault="00D5736B">
            <w:r>
              <w:t>Příjmení</w:t>
            </w:r>
          </w:p>
        </w:tc>
        <w:tc>
          <w:tcPr>
            <w:tcW w:w="2851" w:type="dxa"/>
            <w:tcBorders>
              <w:top w:val="single" w:sz="4" w:space="0" w:color="auto"/>
              <w:left w:val="single" w:sz="4" w:space="0" w:color="auto"/>
              <w:right w:val="single" w:sz="4" w:space="0" w:color="auto"/>
            </w:tcBorders>
            <w:shd w:val="clear" w:color="auto" w:fill="FFFFFF"/>
          </w:tcPr>
          <w:p w:rsidR="00FA0BC0" w:rsidRDefault="00D5736B">
            <w:r>
              <w:t>Titul</w:t>
            </w:r>
          </w:p>
        </w:tc>
      </w:tr>
      <w:tr w:rsidR="00FA0BC0">
        <w:tblPrEx>
          <w:tblCellMar>
            <w:top w:w="0" w:type="dxa"/>
            <w:bottom w:w="0" w:type="dxa"/>
          </w:tblCellMar>
        </w:tblPrEx>
        <w:trPr>
          <w:trHeight w:val="439"/>
        </w:trPr>
        <w:tc>
          <w:tcPr>
            <w:tcW w:w="2257" w:type="dxa"/>
            <w:vMerge/>
            <w:tcBorders>
              <w:left w:val="single" w:sz="4" w:space="0" w:color="auto"/>
            </w:tcBorders>
            <w:shd w:val="clear" w:color="auto" w:fill="FFFFFF"/>
            <w:vAlign w:val="center"/>
          </w:tcPr>
          <w:p w:rsidR="00FA0BC0" w:rsidRDefault="00FA0BC0"/>
        </w:tc>
        <w:tc>
          <w:tcPr>
            <w:tcW w:w="2567" w:type="dxa"/>
            <w:tcBorders>
              <w:top w:val="single" w:sz="4" w:space="0" w:color="auto"/>
              <w:left w:val="single" w:sz="4" w:space="0" w:color="auto"/>
            </w:tcBorders>
            <w:shd w:val="clear" w:color="auto" w:fill="FFFFFF"/>
            <w:vAlign w:val="center"/>
          </w:tcPr>
          <w:p w:rsidR="00FA0BC0" w:rsidRDefault="00D5736B">
            <w:r>
              <w:t>xxx</w:t>
            </w:r>
          </w:p>
        </w:tc>
        <w:tc>
          <w:tcPr>
            <w:tcW w:w="2282" w:type="dxa"/>
            <w:tcBorders>
              <w:top w:val="single" w:sz="4" w:space="0" w:color="auto"/>
              <w:left w:val="single" w:sz="4" w:space="0" w:color="auto"/>
            </w:tcBorders>
            <w:shd w:val="clear" w:color="auto" w:fill="FFFFFF"/>
            <w:vAlign w:val="center"/>
          </w:tcPr>
          <w:p w:rsidR="00FA0BC0" w:rsidRDefault="00D5736B">
            <w:r>
              <w:t>xxx</w:t>
            </w:r>
          </w:p>
        </w:tc>
        <w:tc>
          <w:tcPr>
            <w:tcW w:w="2851" w:type="dxa"/>
            <w:tcBorders>
              <w:top w:val="single" w:sz="4" w:space="0" w:color="auto"/>
              <w:left w:val="single" w:sz="4" w:space="0" w:color="auto"/>
              <w:right w:val="single" w:sz="4" w:space="0" w:color="auto"/>
            </w:tcBorders>
            <w:shd w:val="clear" w:color="auto" w:fill="FFFFFF"/>
            <w:vAlign w:val="center"/>
          </w:tcPr>
          <w:p w:rsidR="00FA0BC0" w:rsidRDefault="00D5736B">
            <w:r>
              <w:t>xxx</w:t>
            </w:r>
            <w:bookmarkStart w:id="17" w:name="_GoBack"/>
            <w:bookmarkEnd w:id="17"/>
          </w:p>
        </w:tc>
      </w:tr>
      <w:tr w:rsidR="00FA0BC0">
        <w:tblPrEx>
          <w:tblCellMar>
            <w:top w:w="0" w:type="dxa"/>
            <w:bottom w:w="0" w:type="dxa"/>
          </w:tblCellMar>
        </w:tblPrEx>
        <w:trPr>
          <w:trHeight w:val="252"/>
        </w:trPr>
        <w:tc>
          <w:tcPr>
            <w:tcW w:w="2257" w:type="dxa"/>
            <w:vMerge/>
            <w:tcBorders>
              <w:left w:val="single" w:sz="4" w:space="0" w:color="auto"/>
            </w:tcBorders>
            <w:shd w:val="clear" w:color="auto" w:fill="FFFFFF"/>
            <w:vAlign w:val="center"/>
          </w:tcPr>
          <w:p w:rsidR="00FA0BC0" w:rsidRDefault="00FA0BC0"/>
        </w:tc>
        <w:tc>
          <w:tcPr>
            <w:tcW w:w="2567" w:type="dxa"/>
            <w:tcBorders>
              <w:top w:val="single" w:sz="4" w:space="0" w:color="auto"/>
              <w:left w:val="single" w:sz="4" w:space="0" w:color="auto"/>
            </w:tcBorders>
            <w:shd w:val="clear" w:color="auto" w:fill="FFFFFF"/>
          </w:tcPr>
          <w:p w:rsidR="00FA0BC0" w:rsidRDefault="00D5736B">
            <w:r>
              <w:t>Funkce</w:t>
            </w:r>
          </w:p>
        </w:tc>
        <w:tc>
          <w:tcPr>
            <w:tcW w:w="2282" w:type="dxa"/>
            <w:tcBorders>
              <w:top w:val="single" w:sz="4" w:space="0" w:color="auto"/>
              <w:left w:val="single" w:sz="4" w:space="0" w:color="auto"/>
            </w:tcBorders>
            <w:shd w:val="clear" w:color="auto" w:fill="FFFFFF"/>
          </w:tcPr>
          <w:p w:rsidR="00FA0BC0" w:rsidRDefault="00D5736B">
            <w:r>
              <w:t>Telefon</w:t>
            </w:r>
          </w:p>
        </w:tc>
        <w:tc>
          <w:tcPr>
            <w:tcW w:w="2851" w:type="dxa"/>
            <w:tcBorders>
              <w:top w:val="single" w:sz="4" w:space="0" w:color="auto"/>
              <w:left w:val="single" w:sz="4" w:space="0" w:color="auto"/>
              <w:right w:val="single" w:sz="4" w:space="0" w:color="auto"/>
            </w:tcBorders>
            <w:shd w:val="clear" w:color="auto" w:fill="FFFFFF"/>
          </w:tcPr>
          <w:p w:rsidR="00FA0BC0" w:rsidRDefault="00D5736B">
            <w:r>
              <w:t>Email</w:t>
            </w:r>
          </w:p>
        </w:tc>
      </w:tr>
      <w:tr w:rsidR="00FA0BC0">
        <w:tblPrEx>
          <w:tblCellMar>
            <w:top w:w="0" w:type="dxa"/>
            <w:bottom w:w="0" w:type="dxa"/>
          </w:tblCellMar>
        </w:tblPrEx>
        <w:trPr>
          <w:trHeight w:val="479"/>
        </w:trPr>
        <w:tc>
          <w:tcPr>
            <w:tcW w:w="2257" w:type="dxa"/>
            <w:vMerge/>
            <w:tcBorders>
              <w:left w:val="single" w:sz="4" w:space="0" w:color="auto"/>
              <w:bottom w:val="single" w:sz="4" w:space="0" w:color="auto"/>
            </w:tcBorders>
            <w:shd w:val="clear" w:color="auto" w:fill="FFFFFF"/>
            <w:vAlign w:val="center"/>
          </w:tcPr>
          <w:p w:rsidR="00FA0BC0" w:rsidRDefault="00FA0BC0"/>
        </w:tc>
        <w:tc>
          <w:tcPr>
            <w:tcW w:w="2567" w:type="dxa"/>
            <w:tcBorders>
              <w:top w:val="single" w:sz="4" w:space="0" w:color="auto"/>
              <w:left w:val="single" w:sz="4" w:space="0" w:color="auto"/>
              <w:bottom w:val="single" w:sz="4" w:space="0" w:color="auto"/>
            </w:tcBorders>
            <w:shd w:val="clear" w:color="auto" w:fill="FFFFFF"/>
            <w:vAlign w:val="center"/>
          </w:tcPr>
          <w:p w:rsidR="00FA0BC0" w:rsidRDefault="00D5736B">
            <w:r>
              <w:t>xxx</w:t>
            </w:r>
          </w:p>
        </w:tc>
        <w:tc>
          <w:tcPr>
            <w:tcW w:w="2282" w:type="dxa"/>
            <w:tcBorders>
              <w:top w:val="single" w:sz="4" w:space="0" w:color="auto"/>
              <w:left w:val="single" w:sz="4" w:space="0" w:color="auto"/>
              <w:bottom w:val="single" w:sz="4" w:space="0" w:color="auto"/>
            </w:tcBorders>
            <w:shd w:val="clear" w:color="auto" w:fill="FFFFFF"/>
            <w:vAlign w:val="center"/>
          </w:tcPr>
          <w:p w:rsidR="00FA0BC0" w:rsidRDefault="00D5736B">
            <w:r>
              <w:t>xxx</w:t>
            </w:r>
          </w:p>
        </w:tc>
        <w:tc>
          <w:tcPr>
            <w:tcW w:w="2851" w:type="dxa"/>
            <w:tcBorders>
              <w:top w:val="single" w:sz="4" w:space="0" w:color="auto"/>
              <w:left w:val="single" w:sz="4" w:space="0" w:color="auto"/>
              <w:bottom w:val="single" w:sz="4" w:space="0" w:color="auto"/>
              <w:right w:val="single" w:sz="4" w:space="0" w:color="auto"/>
            </w:tcBorders>
            <w:shd w:val="clear" w:color="auto" w:fill="FFFFFF"/>
            <w:vAlign w:val="center"/>
          </w:tcPr>
          <w:p w:rsidR="00FA0BC0" w:rsidRDefault="00D5736B" w:rsidP="00D5736B">
            <w:hyperlink r:id="rId7" w:history="1">
              <w:r>
                <w:rPr>
                  <w:rStyle w:val="Hypertextovodkaz"/>
                  <w:lang w:val="en-US" w:eastAsia="en-US" w:bidi="en-US"/>
                </w:rPr>
                <w:t>nxxx</w:t>
              </w:r>
            </w:hyperlink>
          </w:p>
        </w:tc>
      </w:tr>
    </w:tbl>
    <w:p w:rsidR="00FA0BC0" w:rsidRDefault="00FA0BC0"/>
    <w:tbl>
      <w:tblPr>
        <w:tblOverlap w:val="never"/>
        <w:tblW w:w="0" w:type="auto"/>
        <w:tblInd w:w="10" w:type="dxa"/>
        <w:tblLayout w:type="fixed"/>
        <w:tblCellMar>
          <w:left w:w="10" w:type="dxa"/>
          <w:right w:w="10" w:type="dxa"/>
        </w:tblCellMar>
        <w:tblLook w:val="04A0" w:firstRow="1" w:lastRow="0" w:firstColumn="1" w:lastColumn="0" w:noHBand="0" w:noVBand="1"/>
      </w:tblPr>
      <w:tblGrid>
        <w:gridCol w:w="2254"/>
        <w:gridCol w:w="2570"/>
        <w:gridCol w:w="2282"/>
        <w:gridCol w:w="2855"/>
      </w:tblGrid>
      <w:tr w:rsidR="00FA0BC0">
        <w:tblPrEx>
          <w:tblCellMar>
            <w:top w:w="0" w:type="dxa"/>
            <w:bottom w:w="0" w:type="dxa"/>
          </w:tblCellMar>
        </w:tblPrEx>
        <w:trPr>
          <w:trHeight w:val="436"/>
        </w:trPr>
        <w:tc>
          <w:tcPr>
            <w:tcW w:w="2254" w:type="dxa"/>
            <w:tcBorders>
              <w:top w:val="single" w:sz="4" w:space="0" w:color="auto"/>
              <w:left w:val="single" w:sz="4" w:space="0" w:color="auto"/>
            </w:tcBorders>
            <w:shd w:val="clear" w:color="auto" w:fill="FFFFFF"/>
            <w:vAlign w:val="bottom"/>
          </w:tcPr>
          <w:p w:rsidR="00FA0BC0" w:rsidRDefault="00D5736B">
            <w:pPr>
              <w:ind w:firstLine="360"/>
            </w:pPr>
            <w:r>
              <w:t>Adresa výtahu:</w:t>
            </w:r>
          </w:p>
        </w:tc>
        <w:tc>
          <w:tcPr>
            <w:tcW w:w="7707" w:type="dxa"/>
            <w:gridSpan w:val="3"/>
            <w:tcBorders>
              <w:top w:val="single" w:sz="4" w:space="0" w:color="auto"/>
              <w:left w:val="single" w:sz="4" w:space="0" w:color="auto"/>
              <w:right w:val="single" w:sz="4" w:space="0" w:color="auto"/>
            </w:tcBorders>
            <w:shd w:val="clear" w:color="auto" w:fill="FFFFFF"/>
            <w:vAlign w:val="bottom"/>
          </w:tcPr>
          <w:p w:rsidR="00FA0BC0" w:rsidRDefault="00D5736B">
            <w:r>
              <w:t>Lidové sady 425/1, Libered</w:t>
            </w:r>
          </w:p>
        </w:tc>
      </w:tr>
      <w:tr w:rsidR="00FA0BC0">
        <w:tblPrEx>
          <w:tblCellMar>
            <w:top w:w="0" w:type="dxa"/>
            <w:bottom w:w="0" w:type="dxa"/>
          </w:tblCellMar>
        </w:tblPrEx>
        <w:trPr>
          <w:trHeight w:val="252"/>
        </w:trPr>
        <w:tc>
          <w:tcPr>
            <w:tcW w:w="2254" w:type="dxa"/>
            <w:vMerge w:val="restart"/>
            <w:tcBorders>
              <w:top w:val="single" w:sz="4" w:space="0" w:color="auto"/>
              <w:left w:val="single" w:sz="4" w:space="0" w:color="auto"/>
            </w:tcBorders>
            <w:shd w:val="clear" w:color="auto" w:fill="FFFFFF"/>
            <w:vAlign w:val="center"/>
          </w:tcPr>
          <w:p w:rsidR="00FA0BC0" w:rsidRDefault="00D5736B">
            <w:r>
              <w:t>Kontakt v budově instalace (technik, recepční atd.)</w:t>
            </w:r>
          </w:p>
        </w:tc>
        <w:tc>
          <w:tcPr>
            <w:tcW w:w="2570" w:type="dxa"/>
            <w:tcBorders>
              <w:top w:val="single" w:sz="4" w:space="0" w:color="auto"/>
              <w:left w:val="single" w:sz="4" w:space="0" w:color="auto"/>
            </w:tcBorders>
            <w:shd w:val="clear" w:color="auto" w:fill="FFFFFF"/>
            <w:vAlign w:val="bottom"/>
          </w:tcPr>
          <w:p w:rsidR="00FA0BC0" w:rsidRDefault="00D5736B">
            <w:r>
              <w:t>Jméno</w:t>
            </w:r>
          </w:p>
        </w:tc>
        <w:tc>
          <w:tcPr>
            <w:tcW w:w="2282" w:type="dxa"/>
            <w:tcBorders>
              <w:top w:val="single" w:sz="4" w:space="0" w:color="auto"/>
              <w:left w:val="single" w:sz="4" w:space="0" w:color="auto"/>
            </w:tcBorders>
            <w:shd w:val="clear" w:color="auto" w:fill="FFFFFF"/>
            <w:vAlign w:val="bottom"/>
          </w:tcPr>
          <w:p w:rsidR="00FA0BC0" w:rsidRDefault="00D5736B">
            <w:r>
              <w:t>Příjmení</w:t>
            </w:r>
          </w:p>
        </w:tc>
        <w:tc>
          <w:tcPr>
            <w:tcW w:w="2855" w:type="dxa"/>
            <w:tcBorders>
              <w:top w:val="single" w:sz="4" w:space="0" w:color="auto"/>
              <w:left w:val="single" w:sz="4" w:space="0" w:color="auto"/>
              <w:right w:val="single" w:sz="4" w:space="0" w:color="auto"/>
            </w:tcBorders>
            <w:shd w:val="clear" w:color="auto" w:fill="FFFFFF"/>
            <w:vAlign w:val="bottom"/>
          </w:tcPr>
          <w:p w:rsidR="00FA0BC0" w:rsidRDefault="00D5736B">
            <w:r>
              <w:t>Titul</w:t>
            </w:r>
          </w:p>
        </w:tc>
      </w:tr>
      <w:tr w:rsidR="00FA0BC0">
        <w:tblPrEx>
          <w:tblCellMar>
            <w:top w:w="0" w:type="dxa"/>
            <w:bottom w:w="0" w:type="dxa"/>
          </w:tblCellMar>
        </w:tblPrEx>
        <w:trPr>
          <w:trHeight w:val="446"/>
        </w:trPr>
        <w:tc>
          <w:tcPr>
            <w:tcW w:w="2254" w:type="dxa"/>
            <w:vMerge/>
            <w:tcBorders>
              <w:left w:val="single" w:sz="4" w:space="0" w:color="auto"/>
            </w:tcBorders>
            <w:shd w:val="clear" w:color="auto" w:fill="FFFFFF"/>
            <w:vAlign w:val="center"/>
          </w:tcPr>
          <w:p w:rsidR="00FA0BC0" w:rsidRDefault="00FA0BC0"/>
        </w:tc>
        <w:tc>
          <w:tcPr>
            <w:tcW w:w="2570" w:type="dxa"/>
            <w:tcBorders>
              <w:top w:val="single" w:sz="4" w:space="0" w:color="auto"/>
              <w:left w:val="single" w:sz="4" w:space="0" w:color="auto"/>
            </w:tcBorders>
            <w:shd w:val="clear" w:color="auto" w:fill="FFFFFF"/>
            <w:vAlign w:val="center"/>
          </w:tcPr>
          <w:p w:rsidR="00FA0BC0" w:rsidRDefault="00D5736B">
            <w:r>
              <w:t>xxx</w:t>
            </w:r>
          </w:p>
        </w:tc>
        <w:tc>
          <w:tcPr>
            <w:tcW w:w="2282" w:type="dxa"/>
            <w:tcBorders>
              <w:top w:val="single" w:sz="4" w:space="0" w:color="auto"/>
              <w:left w:val="single" w:sz="4" w:space="0" w:color="auto"/>
            </w:tcBorders>
            <w:shd w:val="clear" w:color="auto" w:fill="FFFFFF"/>
            <w:vAlign w:val="center"/>
          </w:tcPr>
          <w:p w:rsidR="00FA0BC0" w:rsidRDefault="00D5736B">
            <w:r>
              <w:t>xxx</w:t>
            </w:r>
          </w:p>
        </w:tc>
        <w:tc>
          <w:tcPr>
            <w:tcW w:w="2855" w:type="dxa"/>
            <w:tcBorders>
              <w:top w:val="single" w:sz="4" w:space="0" w:color="auto"/>
              <w:left w:val="single" w:sz="4" w:space="0" w:color="auto"/>
              <w:right w:val="single" w:sz="4" w:space="0" w:color="auto"/>
            </w:tcBorders>
            <w:shd w:val="clear" w:color="auto" w:fill="FFFFFF"/>
          </w:tcPr>
          <w:p w:rsidR="00FA0BC0" w:rsidRDefault="00FA0BC0">
            <w:pPr>
              <w:rPr>
                <w:sz w:val="10"/>
                <w:szCs w:val="10"/>
              </w:rPr>
            </w:pPr>
          </w:p>
        </w:tc>
      </w:tr>
      <w:tr w:rsidR="00FA0BC0">
        <w:tblPrEx>
          <w:tblCellMar>
            <w:top w:w="0" w:type="dxa"/>
            <w:bottom w:w="0" w:type="dxa"/>
          </w:tblCellMar>
        </w:tblPrEx>
        <w:trPr>
          <w:trHeight w:val="252"/>
        </w:trPr>
        <w:tc>
          <w:tcPr>
            <w:tcW w:w="2254" w:type="dxa"/>
            <w:vMerge/>
            <w:tcBorders>
              <w:left w:val="single" w:sz="4" w:space="0" w:color="auto"/>
            </w:tcBorders>
            <w:shd w:val="clear" w:color="auto" w:fill="FFFFFF"/>
            <w:vAlign w:val="center"/>
          </w:tcPr>
          <w:p w:rsidR="00FA0BC0" w:rsidRDefault="00FA0BC0"/>
        </w:tc>
        <w:tc>
          <w:tcPr>
            <w:tcW w:w="2570" w:type="dxa"/>
            <w:tcBorders>
              <w:top w:val="single" w:sz="4" w:space="0" w:color="auto"/>
              <w:left w:val="single" w:sz="4" w:space="0" w:color="auto"/>
            </w:tcBorders>
            <w:shd w:val="clear" w:color="auto" w:fill="FFFFFF"/>
          </w:tcPr>
          <w:p w:rsidR="00FA0BC0" w:rsidRDefault="00D5736B">
            <w:r>
              <w:t>Funkce</w:t>
            </w:r>
          </w:p>
        </w:tc>
        <w:tc>
          <w:tcPr>
            <w:tcW w:w="2282" w:type="dxa"/>
            <w:tcBorders>
              <w:top w:val="single" w:sz="4" w:space="0" w:color="auto"/>
              <w:left w:val="single" w:sz="4" w:space="0" w:color="auto"/>
            </w:tcBorders>
            <w:shd w:val="clear" w:color="auto" w:fill="FFFFFF"/>
          </w:tcPr>
          <w:p w:rsidR="00FA0BC0" w:rsidRDefault="00D5736B">
            <w:r>
              <w:t>Telefon</w:t>
            </w:r>
          </w:p>
        </w:tc>
        <w:tc>
          <w:tcPr>
            <w:tcW w:w="2855" w:type="dxa"/>
            <w:tcBorders>
              <w:top w:val="single" w:sz="4" w:space="0" w:color="auto"/>
              <w:left w:val="single" w:sz="4" w:space="0" w:color="auto"/>
              <w:right w:val="single" w:sz="4" w:space="0" w:color="auto"/>
            </w:tcBorders>
            <w:shd w:val="clear" w:color="auto" w:fill="FFFFFF"/>
          </w:tcPr>
          <w:p w:rsidR="00FA0BC0" w:rsidRDefault="00D5736B">
            <w:r>
              <w:t>Email</w:t>
            </w:r>
          </w:p>
        </w:tc>
      </w:tr>
      <w:tr w:rsidR="00FA0BC0">
        <w:tblPrEx>
          <w:tblCellMar>
            <w:top w:w="0" w:type="dxa"/>
            <w:bottom w:w="0" w:type="dxa"/>
          </w:tblCellMar>
        </w:tblPrEx>
        <w:trPr>
          <w:trHeight w:val="428"/>
        </w:trPr>
        <w:tc>
          <w:tcPr>
            <w:tcW w:w="2254" w:type="dxa"/>
            <w:vMerge/>
            <w:tcBorders>
              <w:left w:val="single" w:sz="4" w:space="0" w:color="auto"/>
            </w:tcBorders>
            <w:shd w:val="clear" w:color="auto" w:fill="FFFFFF"/>
            <w:vAlign w:val="center"/>
          </w:tcPr>
          <w:p w:rsidR="00FA0BC0" w:rsidRDefault="00FA0BC0"/>
        </w:tc>
        <w:tc>
          <w:tcPr>
            <w:tcW w:w="2570" w:type="dxa"/>
            <w:tcBorders>
              <w:top w:val="single" w:sz="4" w:space="0" w:color="auto"/>
              <w:left w:val="single" w:sz="4" w:space="0" w:color="auto"/>
            </w:tcBorders>
            <w:shd w:val="clear" w:color="auto" w:fill="FFFFFF"/>
            <w:vAlign w:val="center"/>
          </w:tcPr>
          <w:p w:rsidR="00FA0BC0" w:rsidRDefault="00D5736B" w:rsidP="00D5736B">
            <w:r>
              <w:t xml:space="preserve"> xxx</w:t>
            </w:r>
          </w:p>
        </w:tc>
        <w:tc>
          <w:tcPr>
            <w:tcW w:w="2282" w:type="dxa"/>
            <w:tcBorders>
              <w:top w:val="single" w:sz="4" w:space="0" w:color="auto"/>
              <w:left w:val="single" w:sz="4" w:space="0" w:color="auto"/>
            </w:tcBorders>
            <w:shd w:val="clear" w:color="auto" w:fill="FFFFFF"/>
            <w:vAlign w:val="center"/>
          </w:tcPr>
          <w:p w:rsidR="00FA0BC0" w:rsidRDefault="00D5736B">
            <w:r>
              <w:t>xxx</w:t>
            </w:r>
          </w:p>
        </w:tc>
        <w:tc>
          <w:tcPr>
            <w:tcW w:w="2855" w:type="dxa"/>
            <w:tcBorders>
              <w:top w:val="single" w:sz="4" w:space="0" w:color="auto"/>
              <w:left w:val="single" w:sz="4" w:space="0" w:color="auto"/>
              <w:right w:val="single" w:sz="4" w:space="0" w:color="auto"/>
            </w:tcBorders>
            <w:shd w:val="clear" w:color="auto" w:fill="FFFFFF"/>
            <w:vAlign w:val="center"/>
          </w:tcPr>
          <w:p w:rsidR="00FA0BC0" w:rsidRDefault="00D5736B" w:rsidP="00D5736B">
            <w:hyperlink r:id="rId8" w:history="1">
              <w:r>
                <w:rPr>
                  <w:rStyle w:val="Hypertextovodkaz"/>
                  <w:lang w:val="en-US" w:eastAsia="en-US" w:bidi="en-US"/>
                </w:rPr>
                <w:t>xxx</w:t>
              </w:r>
            </w:hyperlink>
          </w:p>
        </w:tc>
      </w:tr>
      <w:tr w:rsidR="00FA0BC0">
        <w:tblPrEx>
          <w:tblCellMar>
            <w:top w:w="0" w:type="dxa"/>
            <w:bottom w:w="0" w:type="dxa"/>
          </w:tblCellMar>
        </w:tblPrEx>
        <w:trPr>
          <w:trHeight w:val="252"/>
        </w:trPr>
        <w:tc>
          <w:tcPr>
            <w:tcW w:w="2254" w:type="dxa"/>
            <w:vMerge w:val="restart"/>
            <w:tcBorders>
              <w:top w:val="single" w:sz="4" w:space="0" w:color="auto"/>
              <w:left w:val="single" w:sz="4" w:space="0" w:color="auto"/>
            </w:tcBorders>
            <w:shd w:val="clear" w:color="auto" w:fill="FFFFFF"/>
            <w:vAlign w:val="center"/>
          </w:tcPr>
          <w:p w:rsidR="00FA0BC0" w:rsidRDefault="00D5736B">
            <w:r>
              <w:t>Technická správa (objednávky oprav / technické záležitosti)</w:t>
            </w:r>
          </w:p>
        </w:tc>
        <w:tc>
          <w:tcPr>
            <w:tcW w:w="2570" w:type="dxa"/>
            <w:tcBorders>
              <w:top w:val="single" w:sz="4" w:space="0" w:color="auto"/>
              <w:left w:val="single" w:sz="4" w:space="0" w:color="auto"/>
            </w:tcBorders>
            <w:shd w:val="clear" w:color="auto" w:fill="FFFFFF"/>
            <w:vAlign w:val="bottom"/>
          </w:tcPr>
          <w:p w:rsidR="00FA0BC0" w:rsidRDefault="00D5736B">
            <w:r>
              <w:t>Jméno</w:t>
            </w:r>
          </w:p>
        </w:tc>
        <w:tc>
          <w:tcPr>
            <w:tcW w:w="2282" w:type="dxa"/>
            <w:tcBorders>
              <w:top w:val="single" w:sz="4" w:space="0" w:color="auto"/>
              <w:left w:val="single" w:sz="4" w:space="0" w:color="auto"/>
            </w:tcBorders>
            <w:shd w:val="clear" w:color="auto" w:fill="FFFFFF"/>
            <w:vAlign w:val="bottom"/>
          </w:tcPr>
          <w:p w:rsidR="00FA0BC0" w:rsidRDefault="00D5736B">
            <w:r>
              <w:t>Příjmení</w:t>
            </w:r>
          </w:p>
        </w:tc>
        <w:tc>
          <w:tcPr>
            <w:tcW w:w="2855" w:type="dxa"/>
            <w:tcBorders>
              <w:top w:val="single" w:sz="4" w:space="0" w:color="auto"/>
              <w:left w:val="single" w:sz="4" w:space="0" w:color="auto"/>
              <w:right w:val="single" w:sz="4" w:space="0" w:color="auto"/>
            </w:tcBorders>
            <w:shd w:val="clear" w:color="auto" w:fill="FFFFFF"/>
            <w:vAlign w:val="bottom"/>
          </w:tcPr>
          <w:p w:rsidR="00FA0BC0" w:rsidRDefault="00D5736B">
            <w:r>
              <w:t>Titul</w:t>
            </w:r>
          </w:p>
        </w:tc>
      </w:tr>
      <w:tr w:rsidR="00FA0BC0">
        <w:tblPrEx>
          <w:tblCellMar>
            <w:top w:w="0" w:type="dxa"/>
            <w:bottom w:w="0" w:type="dxa"/>
          </w:tblCellMar>
        </w:tblPrEx>
        <w:trPr>
          <w:trHeight w:val="421"/>
        </w:trPr>
        <w:tc>
          <w:tcPr>
            <w:tcW w:w="2254" w:type="dxa"/>
            <w:vMerge/>
            <w:tcBorders>
              <w:left w:val="single" w:sz="4" w:space="0" w:color="auto"/>
            </w:tcBorders>
            <w:shd w:val="clear" w:color="auto" w:fill="FFFFFF"/>
            <w:vAlign w:val="center"/>
          </w:tcPr>
          <w:p w:rsidR="00FA0BC0" w:rsidRDefault="00FA0BC0"/>
        </w:tc>
        <w:tc>
          <w:tcPr>
            <w:tcW w:w="2570" w:type="dxa"/>
            <w:tcBorders>
              <w:top w:val="single" w:sz="4" w:space="0" w:color="auto"/>
              <w:left w:val="single" w:sz="4" w:space="0" w:color="auto"/>
            </w:tcBorders>
            <w:shd w:val="clear" w:color="auto" w:fill="FFFFFF"/>
            <w:vAlign w:val="center"/>
          </w:tcPr>
          <w:p w:rsidR="00FA0BC0" w:rsidRDefault="00D5736B">
            <w:r>
              <w:t>xx</w:t>
            </w:r>
          </w:p>
        </w:tc>
        <w:tc>
          <w:tcPr>
            <w:tcW w:w="2282" w:type="dxa"/>
            <w:tcBorders>
              <w:top w:val="single" w:sz="4" w:space="0" w:color="auto"/>
              <w:left w:val="single" w:sz="4" w:space="0" w:color="auto"/>
            </w:tcBorders>
            <w:shd w:val="clear" w:color="auto" w:fill="FFFFFF"/>
            <w:vAlign w:val="center"/>
          </w:tcPr>
          <w:p w:rsidR="00FA0BC0" w:rsidRDefault="00D5736B">
            <w:r>
              <w:t>xxx</w:t>
            </w:r>
          </w:p>
        </w:tc>
        <w:tc>
          <w:tcPr>
            <w:tcW w:w="2855" w:type="dxa"/>
            <w:tcBorders>
              <w:top w:val="single" w:sz="4" w:space="0" w:color="auto"/>
              <w:left w:val="single" w:sz="4" w:space="0" w:color="auto"/>
              <w:right w:val="single" w:sz="4" w:space="0" w:color="auto"/>
            </w:tcBorders>
            <w:shd w:val="clear" w:color="auto" w:fill="FFFFFF"/>
            <w:vAlign w:val="center"/>
          </w:tcPr>
          <w:p w:rsidR="00FA0BC0" w:rsidRDefault="00D5736B">
            <w:r>
              <w:t>xxx</w:t>
            </w:r>
          </w:p>
        </w:tc>
      </w:tr>
      <w:tr w:rsidR="00FA0BC0">
        <w:tblPrEx>
          <w:tblCellMar>
            <w:top w:w="0" w:type="dxa"/>
            <w:bottom w:w="0" w:type="dxa"/>
          </w:tblCellMar>
        </w:tblPrEx>
        <w:trPr>
          <w:trHeight w:val="248"/>
        </w:trPr>
        <w:tc>
          <w:tcPr>
            <w:tcW w:w="2254" w:type="dxa"/>
            <w:vMerge/>
            <w:tcBorders>
              <w:left w:val="single" w:sz="4" w:space="0" w:color="auto"/>
            </w:tcBorders>
            <w:shd w:val="clear" w:color="auto" w:fill="FFFFFF"/>
            <w:vAlign w:val="center"/>
          </w:tcPr>
          <w:p w:rsidR="00FA0BC0" w:rsidRDefault="00FA0BC0"/>
        </w:tc>
        <w:tc>
          <w:tcPr>
            <w:tcW w:w="2570" w:type="dxa"/>
            <w:tcBorders>
              <w:top w:val="single" w:sz="4" w:space="0" w:color="auto"/>
              <w:left w:val="single" w:sz="4" w:space="0" w:color="auto"/>
            </w:tcBorders>
            <w:shd w:val="clear" w:color="auto" w:fill="FFFFFF"/>
          </w:tcPr>
          <w:p w:rsidR="00FA0BC0" w:rsidRDefault="00D5736B">
            <w:r>
              <w:t>Funkce</w:t>
            </w:r>
          </w:p>
        </w:tc>
        <w:tc>
          <w:tcPr>
            <w:tcW w:w="2282" w:type="dxa"/>
            <w:tcBorders>
              <w:top w:val="single" w:sz="4" w:space="0" w:color="auto"/>
              <w:left w:val="single" w:sz="4" w:space="0" w:color="auto"/>
            </w:tcBorders>
            <w:shd w:val="clear" w:color="auto" w:fill="FFFFFF"/>
          </w:tcPr>
          <w:p w:rsidR="00FA0BC0" w:rsidRDefault="00D5736B">
            <w:r>
              <w:t>Telefon</w:t>
            </w:r>
          </w:p>
        </w:tc>
        <w:tc>
          <w:tcPr>
            <w:tcW w:w="2855" w:type="dxa"/>
            <w:tcBorders>
              <w:top w:val="single" w:sz="4" w:space="0" w:color="auto"/>
              <w:left w:val="single" w:sz="4" w:space="0" w:color="auto"/>
              <w:right w:val="single" w:sz="4" w:space="0" w:color="auto"/>
            </w:tcBorders>
            <w:shd w:val="clear" w:color="auto" w:fill="FFFFFF"/>
          </w:tcPr>
          <w:p w:rsidR="00FA0BC0" w:rsidRDefault="00D5736B">
            <w:r>
              <w:t>Email</w:t>
            </w:r>
          </w:p>
        </w:tc>
      </w:tr>
      <w:tr w:rsidR="00FA0BC0">
        <w:tblPrEx>
          <w:tblCellMar>
            <w:top w:w="0" w:type="dxa"/>
            <w:bottom w:w="0" w:type="dxa"/>
          </w:tblCellMar>
        </w:tblPrEx>
        <w:trPr>
          <w:trHeight w:val="454"/>
        </w:trPr>
        <w:tc>
          <w:tcPr>
            <w:tcW w:w="2254" w:type="dxa"/>
            <w:vMerge/>
            <w:tcBorders>
              <w:left w:val="single" w:sz="4" w:space="0" w:color="auto"/>
              <w:bottom w:val="single" w:sz="4" w:space="0" w:color="auto"/>
            </w:tcBorders>
            <w:shd w:val="clear" w:color="auto" w:fill="FFFFFF"/>
            <w:vAlign w:val="center"/>
          </w:tcPr>
          <w:p w:rsidR="00FA0BC0" w:rsidRDefault="00FA0BC0"/>
        </w:tc>
        <w:tc>
          <w:tcPr>
            <w:tcW w:w="2570" w:type="dxa"/>
            <w:tcBorders>
              <w:top w:val="single" w:sz="4" w:space="0" w:color="auto"/>
              <w:left w:val="single" w:sz="4" w:space="0" w:color="auto"/>
              <w:bottom w:val="single" w:sz="4" w:space="0" w:color="auto"/>
            </w:tcBorders>
            <w:shd w:val="clear" w:color="auto" w:fill="FFFFFF"/>
            <w:vAlign w:val="center"/>
          </w:tcPr>
          <w:p w:rsidR="00FA0BC0" w:rsidRDefault="00D5736B">
            <w:r>
              <w:t>xxx</w:t>
            </w:r>
          </w:p>
        </w:tc>
        <w:tc>
          <w:tcPr>
            <w:tcW w:w="2282" w:type="dxa"/>
            <w:tcBorders>
              <w:top w:val="single" w:sz="4" w:space="0" w:color="auto"/>
              <w:left w:val="single" w:sz="4" w:space="0" w:color="auto"/>
              <w:bottom w:val="single" w:sz="4" w:space="0" w:color="auto"/>
            </w:tcBorders>
            <w:shd w:val="clear" w:color="auto" w:fill="FFFFFF"/>
            <w:vAlign w:val="center"/>
          </w:tcPr>
          <w:p w:rsidR="00FA0BC0" w:rsidRDefault="00D5736B">
            <w:r>
              <w:t>xxx</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rsidR="00FA0BC0" w:rsidRDefault="00D5736B" w:rsidP="00D5736B">
            <w:hyperlink r:id="rId9" w:history="1">
              <w:r>
                <w:rPr>
                  <w:rStyle w:val="Hypertextovodkaz"/>
                  <w:lang w:val="en-US" w:eastAsia="en-US" w:bidi="en-US"/>
                </w:rPr>
                <w:t>sprixxx</w:t>
              </w:r>
            </w:hyperlink>
          </w:p>
        </w:tc>
      </w:tr>
    </w:tbl>
    <w:p w:rsidR="00FA0BC0" w:rsidRDefault="00FA0BC0"/>
    <w:tbl>
      <w:tblPr>
        <w:tblOverlap w:val="never"/>
        <w:tblW w:w="0" w:type="auto"/>
        <w:tblInd w:w="10" w:type="dxa"/>
        <w:tblLayout w:type="fixed"/>
        <w:tblCellMar>
          <w:left w:w="10" w:type="dxa"/>
          <w:right w:w="10" w:type="dxa"/>
        </w:tblCellMar>
        <w:tblLook w:val="04A0" w:firstRow="1" w:lastRow="0" w:firstColumn="1" w:lastColumn="0" w:noHBand="0" w:noVBand="1"/>
      </w:tblPr>
      <w:tblGrid>
        <w:gridCol w:w="2257"/>
        <w:gridCol w:w="2567"/>
        <w:gridCol w:w="2286"/>
        <w:gridCol w:w="2855"/>
      </w:tblGrid>
      <w:tr w:rsidR="00FA0BC0">
        <w:tblPrEx>
          <w:tblCellMar>
            <w:top w:w="0" w:type="dxa"/>
            <w:bottom w:w="0" w:type="dxa"/>
          </w:tblCellMar>
        </w:tblPrEx>
        <w:trPr>
          <w:trHeight w:val="284"/>
        </w:trPr>
        <w:tc>
          <w:tcPr>
            <w:tcW w:w="2257" w:type="dxa"/>
            <w:vMerge w:val="restart"/>
            <w:tcBorders>
              <w:top w:val="single" w:sz="4" w:space="0" w:color="auto"/>
              <w:left w:val="single" w:sz="4" w:space="0" w:color="auto"/>
            </w:tcBorders>
            <w:shd w:val="clear" w:color="auto" w:fill="FFFFFF"/>
            <w:vAlign w:val="center"/>
          </w:tcPr>
          <w:p w:rsidR="00FA0BC0" w:rsidRDefault="00D5736B">
            <w:r>
              <w:t xml:space="preserve">Kontaktní osoba za </w:t>
            </w:r>
            <w:r w:rsidRPr="00A53820">
              <w:rPr>
                <w:lang w:val="de-DE" w:eastAsia="en-US" w:bidi="en-US"/>
              </w:rPr>
              <w:t xml:space="preserve">Schindler </w:t>
            </w:r>
            <w:r>
              <w:t>CZ, a.s.</w:t>
            </w:r>
          </w:p>
        </w:tc>
        <w:tc>
          <w:tcPr>
            <w:tcW w:w="2567" w:type="dxa"/>
            <w:tcBorders>
              <w:top w:val="single" w:sz="4" w:space="0" w:color="auto"/>
              <w:left w:val="single" w:sz="4" w:space="0" w:color="auto"/>
            </w:tcBorders>
            <w:shd w:val="clear" w:color="auto" w:fill="FFFFFF"/>
            <w:vAlign w:val="bottom"/>
          </w:tcPr>
          <w:p w:rsidR="00FA0BC0" w:rsidRDefault="00D5736B">
            <w:r>
              <w:t>Jméno</w:t>
            </w:r>
          </w:p>
        </w:tc>
        <w:tc>
          <w:tcPr>
            <w:tcW w:w="2286" w:type="dxa"/>
            <w:tcBorders>
              <w:top w:val="single" w:sz="4" w:space="0" w:color="auto"/>
              <w:left w:val="single" w:sz="4" w:space="0" w:color="auto"/>
            </w:tcBorders>
            <w:shd w:val="clear" w:color="auto" w:fill="FFFFFF"/>
            <w:vAlign w:val="bottom"/>
          </w:tcPr>
          <w:p w:rsidR="00FA0BC0" w:rsidRDefault="00D5736B">
            <w:r>
              <w:t>Příjmení</w:t>
            </w:r>
          </w:p>
        </w:tc>
        <w:tc>
          <w:tcPr>
            <w:tcW w:w="2855" w:type="dxa"/>
            <w:tcBorders>
              <w:top w:val="single" w:sz="4" w:space="0" w:color="auto"/>
              <w:left w:val="single" w:sz="4" w:space="0" w:color="auto"/>
              <w:right w:val="single" w:sz="4" w:space="0" w:color="auto"/>
            </w:tcBorders>
            <w:shd w:val="clear" w:color="auto" w:fill="FFFFFF"/>
            <w:vAlign w:val="bottom"/>
          </w:tcPr>
          <w:p w:rsidR="00FA0BC0" w:rsidRDefault="00D5736B">
            <w:r>
              <w:t>Titul</w:t>
            </w:r>
          </w:p>
        </w:tc>
      </w:tr>
      <w:tr w:rsidR="00FA0BC0">
        <w:tblPrEx>
          <w:tblCellMar>
            <w:top w:w="0" w:type="dxa"/>
            <w:bottom w:w="0" w:type="dxa"/>
          </w:tblCellMar>
        </w:tblPrEx>
        <w:trPr>
          <w:trHeight w:val="302"/>
        </w:trPr>
        <w:tc>
          <w:tcPr>
            <w:tcW w:w="2257" w:type="dxa"/>
            <w:vMerge/>
            <w:tcBorders>
              <w:left w:val="single" w:sz="4" w:space="0" w:color="auto"/>
            </w:tcBorders>
            <w:shd w:val="clear" w:color="auto" w:fill="FFFFFF"/>
            <w:vAlign w:val="center"/>
          </w:tcPr>
          <w:p w:rsidR="00FA0BC0" w:rsidRDefault="00FA0BC0"/>
        </w:tc>
        <w:tc>
          <w:tcPr>
            <w:tcW w:w="2567" w:type="dxa"/>
            <w:tcBorders>
              <w:top w:val="single" w:sz="4" w:space="0" w:color="auto"/>
              <w:left w:val="single" w:sz="4" w:space="0" w:color="auto"/>
            </w:tcBorders>
            <w:shd w:val="clear" w:color="auto" w:fill="FFFFFF"/>
            <w:vAlign w:val="bottom"/>
          </w:tcPr>
          <w:p w:rsidR="00FA0BC0" w:rsidRDefault="00D5736B">
            <w:r>
              <w:t>xxx</w:t>
            </w:r>
          </w:p>
        </w:tc>
        <w:tc>
          <w:tcPr>
            <w:tcW w:w="2286" w:type="dxa"/>
            <w:tcBorders>
              <w:top w:val="single" w:sz="4" w:space="0" w:color="auto"/>
              <w:left w:val="single" w:sz="4" w:space="0" w:color="auto"/>
            </w:tcBorders>
            <w:shd w:val="clear" w:color="auto" w:fill="FFFFFF"/>
            <w:vAlign w:val="bottom"/>
          </w:tcPr>
          <w:p w:rsidR="00FA0BC0" w:rsidRDefault="00D5736B">
            <w:r>
              <w:t>xxx</w:t>
            </w:r>
          </w:p>
        </w:tc>
        <w:tc>
          <w:tcPr>
            <w:tcW w:w="2855" w:type="dxa"/>
            <w:tcBorders>
              <w:top w:val="single" w:sz="4" w:space="0" w:color="auto"/>
              <w:left w:val="single" w:sz="4" w:space="0" w:color="auto"/>
              <w:right w:val="single" w:sz="4" w:space="0" w:color="auto"/>
            </w:tcBorders>
            <w:shd w:val="clear" w:color="auto" w:fill="FFFFFF"/>
          </w:tcPr>
          <w:p w:rsidR="00FA0BC0" w:rsidRDefault="00FA0BC0">
            <w:pPr>
              <w:rPr>
                <w:sz w:val="10"/>
                <w:szCs w:val="10"/>
              </w:rPr>
            </w:pPr>
          </w:p>
        </w:tc>
      </w:tr>
      <w:tr w:rsidR="00FA0BC0">
        <w:tblPrEx>
          <w:tblCellMar>
            <w:top w:w="0" w:type="dxa"/>
            <w:bottom w:w="0" w:type="dxa"/>
          </w:tblCellMar>
        </w:tblPrEx>
        <w:trPr>
          <w:trHeight w:val="256"/>
        </w:trPr>
        <w:tc>
          <w:tcPr>
            <w:tcW w:w="2257" w:type="dxa"/>
            <w:vMerge/>
            <w:tcBorders>
              <w:left w:val="single" w:sz="4" w:space="0" w:color="auto"/>
            </w:tcBorders>
            <w:shd w:val="clear" w:color="auto" w:fill="FFFFFF"/>
            <w:vAlign w:val="center"/>
          </w:tcPr>
          <w:p w:rsidR="00FA0BC0" w:rsidRDefault="00FA0BC0"/>
        </w:tc>
        <w:tc>
          <w:tcPr>
            <w:tcW w:w="2567" w:type="dxa"/>
            <w:tcBorders>
              <w:top w:val="single" w:sz="4" w:space="0" w:color="auto"/>
              <w:left w:val="single" w:sz="4" w:space="0" w:color="auto"/>
            </w:tcBorders>
            <w:shd w:val="clear" w:color="auto" w:fill="FFFFFF"/>
          </w:tcPr>
          <w:p w:rsidR="00FA0BC0" w:rsidRDefault="00D5736B">
            <w:r>
              <w:t>Funkce</w:t>
            </w:r>
          </w:p>
        </w:tc>
        <w:tc>
          <w:tcPr>
            <w:tcW w:w="2286" w:type="dxa"/>
            <w:tcBorders>
              <w:top w:val="single" w:sz="4" w:space="0" w:color="auto"/>
              <w:left w:val="single" w:sz="4" w:space="0" w:color="auto"/>
            </w:tcBorders>
            <w:shd w:val="clear" w:color="auto" w:fill="FFFFFF"/>
          </w:tcPr>
          <w:p w:rsidR="00FA0BC0" w:rsidRDefault="00D5736B">
            <w:r>
              <w:t>Telefon</w:t>
            </w:r>
          </w:p>
        </w:tc>
        <w:tc>
          <w:tcPr>
            <w:tcW w:w="2855" w:type="dxa"/>
            <w:tcBorders>
              <w:top w:val="single" w:sz="4" w:space="0" w:color="auto"/>
              <w:left w:val="single" w:sz="4" w:space="0" w:color="auto"/>
              <w:right w:val="single" w:sz="4" w:space="0" w:color="auto"/>
            </w:tcBorders>
            <w:shd w:val="clear" w:color="auto" w:fill="FFFFFF"/>
          </w:tcPr>
          <w:p w:rsidR="00FA0BC0" w:rsidRDefault="00D5736B">
            <w:r>
              <w:t>Email</w:t>
            </w:r>
          </w:p>
        </w:tc>
      </w:tr>
      <w:tr w:rsidR="00FA0BC0">
        <w:tblPrEx>
          <w:tblCellMar>
            <w:top w:w="0" w:type="dxa"/>
            <w:bottom w:w="0" w:type="dxa"/>
          </w:tblCellMar>
        </w:tblPrEx>
        <w:trPr>
          <w:trHeight w:val="342"/>
        </w:trPr>
        <w:tc>
          <w:tcPr>
            <w:tcW w:w="2257" w:type="dxa"/>
            <w:vMerge/>
            <w:tcBorders>
              <w:left w:val="single" w:sz="4" w:space="0" w:color="auto"/>
              <w:bottom w:val="single" w:sz="4" w:space="0" w:color="auto"/>
            </w:tcBorders>
            <w:shd w:val="clear" w:color="auto" w:fill="FFFFFF"/>
            <w:vAlign w:val="center"/>
          </w:tcPr>
          <w:p w:rsidR="00FA0BC0" w:rsidRDefault="00FA0BC0"/>
        </w:tc>
        <w:tc>
          <w:tcPr>
            <w:tcW w:w="2567" w:type="dxa"/>
            <w:tcBorders>
              <w:top w:val="single" w:sz="4" w:space="0" w:color="auto"/>
              <w:left w:val="single" w:sz="4" w:space="0" w:color="auto"/>
              <w:bottom w:val="single" w:sz="4" w:space="0" w:color="auto"/>
            </w:tcBorders>
            <w:shd w:val="clear" w:color="auto" w:fill="FFFFFF"/>
          </w:tcPr>
          <w:p w:rsidR="00FA0BC0" w:rsidRDefault="00D5736B">
            <w:r>
              <w:t>xxx</w:t>
            </w:r>
          </w:p>
        </w:tc>
        <w:tc>
          <w:tcPr>
            <w:tcW w:w="2286" w:type="dxa"/>
            <w:tcBorders>
              <w:top w:val="single" w:sz="4" w:space="0" w:color="auto"/>
              <w:left w:val="single" w:sz="4" w:space="0" w:color="auto"/>
              <w:bottom w:val="single" w:sz="4" w:space="0" w:color="auto"/>
            </w:tcBorders>
            <w:shd w:val="clear" w:color="auto" w:fill="FFFFFF"/>
          </w:tcPr>
          <w:p w:rsidR="00FA0BC0" w:rsidRDefault="00D5736B">
            <w:r>
              <w:t>xxx</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rsidR="00FA0BC0" w:rsidRDefault="00D5736B">
            <w:r>
              <w:t>xxx</w:t>
            </w:r>
          </w:p>
        </w:tc>
      </w:tr>
    </w:tbl>
    <w:p w:rsidR="00FA0BC0" w:rsidRDefault="00D5736B">
      <w:r>
        <w:t>Vyhotovil: xxx</w:t>
      </w:r>
    </w:p>
    <w:sectPr w:rsidR="00FA0BC0">
      <w:type w:val="continuous"/>
      <w:pgSz w:w="11909" w:h="16840"/>
      <w:pgMar w:top="1430" w:right="1440" w:bottom="143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820" w:rsidRDefault="00A53820">
      <w:r>
        <w:separator/>
      </w:r>
    </w:p>
  </w:endnote>
  <w:endnote w:type="continuationSeparator" w:id="0">
    <w:p w:rsidR="00A53820" w:rsidRDefault="00A5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820" w:rsidRDefault="00A53820"/>
  </w:footnote>
  <w:footnote w:type="continuationSeparator" w:id="0">
    <w:p w:rsidR="00A53820" w:rsidRDefault="00A5382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C0"/>
    <w:rsid w:val="00A53820"/>
    <w:rsid w:val="00D5736B"/>
    <w:rsid w:val="00FA0B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05295-B45A-4FDE-A804-37F12BB1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nejedly@zooliberec.cz" TargetMode="External"/><Relationship Id="rId3" Type="http://schemas.openxmlformats.org/officeDocument/2006/relationships/webSettings" Target="webSettings.xml"/><Relationship Id="rId7" Type="http://schemas.openxmlformats.org/officeDocument/2006/relationships/hyperlink" Target="mailto:nejedlo@zooliberec.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vel.formanek@cz.schindle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pringl@zooliberec.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2487</Words>
  <Characters>14679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Dostálová</dc:creator>
  <cp:lastModifiedBy>Ivana Dostálová</cp:lastModifiedBy>
  <cp:revision>1</cp:revision>
  <dcterms:created xsi:type="dcterms:W3CDTF">2019-03-11T06:55:00Z</dcterms:created>
  <dcterms:modified xsi:type="dcterms:W3CDTF">2019-03-11T07:09:00Z</dcterms:modified>
</cp:coreProperties>
</file>