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A4730B">
        <w:rPr>
          <w:rFonts w:ascii="Arial Black" w:hAnsi="Arial Black"/>
          <w:sz w:val="36"/>
          <w:szCs w:val="36"/>
        </w:rPr>
        <w:t>Základní škola Rakovského v Praze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Rakovského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>, Praha 4 – Modřany</w:t>
      </w:r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F573B7">
        <w:rPr>
          <w:b/>
          <w:sz w:val="24"/>
          <w:szCs w:val="24"/>
        </w:rPr>
        <w:t>1 / 2019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Pr="00A4730B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r>
        <w:rPr>
          <w:sz w:val="24"/>
        </w:rPr>
        <w:t>Zast. ředitelem Mgr. Pavlem Nedbalem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IČO: 00 54 06 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51558">
        <w:rPr>
          <w:sz w:val="24"/>
          <w:szCs w:val="24"/>
        </w:rPr>
        <w:t>zast.: panem Linertem</w:t>
      </w:r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Pr="00A4730B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D51558">
        <w:rPr>
          <w:rFonts w:cs="Arial"/>
          <w:sz w:val="24"/>
          <w:szCs w:val="24"/>
        </w:rPr>
        <w:t>TV 2 a 3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D51558">
        <w:rPr>
          <w:rFonts w:cs="Arial"/>
          <w:sz w:val="24"/>
          <w:szCs w:val="24"/>
        </w:rPr>
        <w:t>I.pol. 1.1.2019 – 30.6.2019</w:t>
      </w:r>
      <w:r w:rsidR="00D51558">
        <w:rPr>
          <w:rFonts w:cs="Arial"/>
          <w:sz w:val="24"/>
          <w:szCs w:val="24"/>
        </w:rPr>
        <w:tab/>
        <w:t>II.pol 2.9.2019 – 31.12.2019</w:t>
      </w:r>
    </w:p>
    <w:p w:rsidR="00BA0459" w:rsidRDefault="00A279B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r w:rsidR="00D51558">
        <w:rPr>
          <w:rFonts w:cs="Arial"/>
          <w:sz w:val="24"/>
          <w:szCs w:val="24"/>
        </w:rPr>
        <w:t>Po TV2</w:t>
      </w:r>
      <w:r w:rsidR="00D51558"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TV3</w:t>
      </w:r>
      <w:r>
        <w:rPr>
          <w:rFonts w:cs="Arial"/>
          <w:sz w:val="24"/>
          <w:szCs w:val="24"/>
        </w:rPr>
        <w:tab/>
        <w:t>14:00 – 21:00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 TV2</w:t>
      </w:r>
      <w:r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TV3</w:t>
      </w:r>
      <w:r>
        <w:rPr>
          <w:rFonts w:cs="Arial"/>
          <w:sz w:val="24"/>
          <w:szCs w:val="24"/>
        </w:rPr>
        <w:tab/>
        <w:t>14:00 – 20:00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 TV2</w:t>
      </w:r>
      <w:r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TV3</w:t>
      </w:r>
      <w:r>
        <w:rPr>
          <w:rFonts w:cs="Arial"/>
          <w:sz w:val="24"/>
          <w:szCs w:val="24"/>
        </w:rPr>
        <w:tab/>
        <w:t>14:00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 TV2</w:t>
      </w:r>
      <w:r>
        <w:rPr>
          <w:rFonts w:cs="Arial"/>
          <w:sz w:val="24"/>
          <w:szCs w:val="24"/>
        </w:rPr>
        <w:tab/>
        <w:t>18:00 – 19:00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TV3</w:t>
      </w:r>
      <w:r>
        <w:rPr>
          <w:rFonts w:cs="Arial"/>
          <w:sz w:val="24"/>
          <w:szCs w:val="24"/>
        </w:rPr>
        <w:tab/>
        <w:t>14:00 – 20:00</w:t>
      </w:r>
    </w:p>
    <w:p w:rsidR="00D51558" w:rsidRDefault="00D51558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Pá TV3</w:t>
      </w:r>
      <w:r>
        <w:rPr>
          <w:rFonts w:cs="Arial"/>
          <w:sz w:val="24"/>
          <w:szCs w:val="24"/>
        </w:rPr>
        <w:tab/>
        <w:t>14:00 – 18:00</w:t>
      </w:r>
    </w:p>
    <w:p w:rsidR="00D51558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Čtvrtek TV3  v měsících leden – březen a říjen – prosinec doba pronájmu prodloužena až do 22.30 hod.</w:t>
      </w:r>
    </w:p>
    <w:p w:rsidR="001B23E4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1B23E4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Celkem týdně 32 hod + 3,5 hod nad rámec (leden – březen a říjen – prosinec).</w:t>
      </w:r>
    </w:p>
    <w:p w:rsidR="001B23E4" w:rsidRDefault="001B23E4" w:rsidP="00D51558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BA0459" w:rsidRPr="00A4730B" w:rsidRDefault="00BA0459" w:rsidP="001B23E4">
      <w:pPr>
        <w:suppressAutoHyphens/>
        <w:ind w:right="113"/>
        <w:jc w:val="both"/>
        <w:rPr>
          <w:rFonts w:cs="Arial"/>
          <w:sz w:val="24"/>
          <w:szCs w:val="24"/>
        </w:rPr>
      </w:pP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1B23E4" w:rsidRPr="00A4730B" w:rsidRDefault="001B23E4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lastRenderedPageBreak/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1B23E4">
        <w:rPr>
          <w:rFonts w:cs="Arial"/>
          <w:sz w:val="24"/>
          <w:szCs w:val="24"/>
        </w:rPr>
        <w:t>ětu nájmu včetně služeb činí 210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592BD2" w:rsidRDefault="001B23E4" w:rsidP="001B23E4">
      <w:pPr>
        <w:suppressAutoHyphens/>
        <w:spacing w:after="120"/>
        <w:ind w:right="113"/>
        <w:rPr>
          <w:rFonts w:cs="Arial"/>
          <w:sz w:val="24"/>
          <w:szCs w:val="24"/>
        </w:rPr>
      </w:pPr>
      <w:r w:rsidRPr="00592BD2">
        <w:rPr>
          <w:rFonts w:cs="Arial"/>
          <w:sz w:val="24"/>
          <w:szCs w:val="24"/>
        </w:rPr>
        <w:t>32 hod x 210Kč x 40 týdnů</w:t>
      </w:r>
      <w:r w:rsidR="00592BD2" w:rsidRPr="00592BD2">
        <w:rPr>
          <w:rFonts w:cs="Arial"/>
          <w:sz w:val="24"/>
          <w:szCs w:val="24"/>
        </w:rPr>
        <w:t xml:space="preserve"> = 268.800Kč </w:t>
      </w:r>
    </w:p>
    <w:p w:rsidR="00592BD2" w:rsidRPr="00592BD2" w:rsidRDefault="00592BD2" w:rsidP="001B23E4">
      <w:pPr>
        <w:suppressAutoHyphens/>
        <w:spacing w:after="120"/>
        <w:ind w:right="113"/>
        <w:rPr>
          <w:rFonts w:cs="Arial"/>
          <w:sz w:val="24"/>
          <w:szCs w:val="24"/>
        </w:rPr>
      </w:pPr>
      <w:r w:rsidRPr="00592BD2">
        <w:rPr>
          <w:rFonts w:cs="Arial"/>
          <w:sz w:val="24"/>
          <w:szCs w:val="24"/>
        </w:rPr>
        <w:t>3,5 hod x 210Kč x 20 týdnů = 14.700Kč</w:t>
      </w:r>
    </w:p>
    <w:p w:rsidR="00592BD2" w:rsidRDefault="00592BD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Nájemné za rok 2019 činí 283.500Kč, se splatností na dvě částky a to následovně:</w:t>
      </w:r>
    </w:p>
    <w:p w:rsidR="00592BD2" w:rsidRDefault="00592BD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592BD2" w:rsidRDefault="00592BD2" w:rsidP="00592BD2">
      <w:pPr>
        <w:pStyle w:val="Odstavecseseznamem"/>
        <w:numPr>
          <w:ilvl w:val="0"/>
          <w:numId w:val="8"/>
        </w:num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Splátka leden – červen činí 170.100Kč, splatné do 31.5.2019.</w:t>
      </w:r>
    </w:p>
    <w:p w:rsidR="00592BD2" w:rsidRPr="00592BD2" w:rsidRDefault="00592BD2" w:rsidP="00592BD2">
      <w:pPr>
        <w:pStyle w:val="Odstavecseseznamem"/>
        <w:numPr>
          <w:ilvl w:val="0"/>
          <w:numId w:val="8"/>
        </w:num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Splátka září – prosinec činí 113.400Kč, splatné do 30.11.2019.</w:t>
      </w:r>
    </w:p>
    <w:p w:rsidR="001B23E4" w:rsidRDefault="001B23E4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neručí za případné poškození, odcizení, jakož i  jiné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712C08" w:rsidRPr="00A4730B" w:rsidRDefault="00712C08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nájmu a pokud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(m.j.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</w:p>
    <w:p w:rsidR="00281C26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sectPr w:rsidR="00281C26" w:rsidRPr="00A4730B" w:rsidSect="001F306E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42AB3"/>
    <w:rsid w:val="000C2565"/>
    <w:rsid w:val="000E2B9C"/>
    <w:rsid w:val="000E3F90"/>
    <w:rsid w:val="001B23E4"/>
    <w:rsid w:val="001B67DD"/>
    <w:rsid w:val="001F306E"/>
    <w:rsid w:val="00281C26"/>
    <w:rsid w:val="00307519"/>
    <w:rsid w:val="00376222"/>
    <w:rsid w:val="004058B6"/>
    <w:rsid w:val="00417B6D"/>
    <w:rsid w:val="004A29AB"/>
    <w:rsid w:val="004B4AC5"/>
    <w:rsid w:val="004E2E06"/>
    <w:rsid w:val="00524FED"/>
    <w:rsid w:val="00592BD2"/>
    <w:rsid w:val="005C04E8"/>
    <w:rsid w:val="006876F1"/>
    <w:rsid w:val="006970D9"/>
    <w:rsid w:val="00712C08"/>
    <w:rsid w:val="00A279B8"/>
    <w:rsid w:val="00A4730B"/>
    <w:rsid w:val="00AD3CE5"/>
    <w:rsid w:val="00AD5A50"/>
    <w:rsid w:val="00B043BF"/>
    <w:rsid w:val="00B04E7B"/>
    <w:rsid w:val="00B058A6"/>
    <w:rsid w:val="00B332D1"/>
    <w:rsid w:val="00B95D11"/>
    <w:rsid w:val="00BA0459"/>
    <w:rsid w:val="00C63B05"/>
    <w:rsid w:val="00C6432E"/>
    <w:rsid w:val="00CC4482"/>
    <w:rsid w:val="00D51558"/>
    <w:rsid w:val="00D5425A"/>
    <w:rsid w:val="00DD49AD"/>
    <w:rsid w:val="00E52CF5"/>
    <w:rsid w:val="00E61D36"/>
    <w:rsid w:val="00EF2F3A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2</cp:revision>
  <cp:lastPrinted>2018-08-15T09:17:00Z</cp:lastPrinted>
  <dcterms:created xsi:type="dcterms:W3CDTF">2019-03-06T13:34:00Z</dcterms:created>
  <dcterms:modified xsi:type="dcterms:W3CDTF">2019-03-06T13:34:00Z</dcterms:modified>
</cp:coreProperties>
</file>