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9-094/F7600/19/RS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Muzeum hlavního města Prahy</w:t>
            </w:r>
          </w:p>
          <w:p w:rsidR="00F369D2" w:rsidRPr="002735A2" w:rsidRDefault="00BD44DB" w:rsidP="002F58BF">
            <w:r>
              <w:t>PhDr.Zuzana Strnadová</w:t>
            </w:r>
          </w:p>
          <w:p w:rsidR="00F369D2" w:rsidRPr="002735A2" w:rsidRDefault="00BD44DB" w:rsidP="002F58BF">
            <w:r>
              <w:t>Kožná 475/1, Praha 1-Staré Město, 11000Praha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00064432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neplátci DPH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Ne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akce:1/4/F76/00</w:t>
            </w:r>
          </w:p>
          <w:p w:rsidR="00CA305E" w:rsidRDefault="009D6265">
            <w:r>
              <w:t>Název akce:Obnova vodovodních řadů, ul. Žitná a okolí, P2</w:t>
            </w:r>
          </w:p>
          <w:p w:rsidR="00CA305E" w:rsidRDefault="009D6265">
            <w:r>
              <w:t xml:space="preserve">Objednáváme záchranný archeologický </w:t>
            </w:r>
            <w:r>
              <w:t>výzkum podle zákona č. 20/87 o státní památkové péči ve znění pozdějších předpisů- etapa Příčná- Navrátilova- Řeznická, Praha - Nové Město.</w:t>
            </w:r>
          </w:p>
          <w:p w:rsidR="00CA305E" w:rsidRDefault="009D6265">
            <w:r>
              <w:t>Cena: 85 120,-Kč ( není plátce DPH)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9D6265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D6265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A305E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E88E-4AE5-4E18-8867-A7A1470B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2019-03-06T13:38:00Z</dcterms:created>
  <dcterms:modified xsi:type="dcterms:W3CDTF">2019-03-06T13:38:00Z</dcterms:modified>
</cp:coreProperties>
</file>