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6EF" w:rsidRDefault="007652E9">
      <w:pPr>
        <w:spacing w:after="155" w:line="259" w:lineRule="auto"/>
        <w:ind w:left="1037" w:firstLine="0"/>
        <w:jc w:val="left"/>
      </w:pPr>
      <w:r>
        <w:rPr>
          <w:sz w:val="46"/>
        </w:rPr>
        <w:t>SMLOUVA O UPLATŇOVÁNÍ PRAVIDLA</w:t>
      </w:r>
    </w:p>
    <w:p w:rsidR="00D576EF" w:rsidRDefault="007652E9">
      <w:pPr>
        <w:pStyle w:val="Nadpis1"/>
      </w:pPr>
      <w:r>
        <w:t>SKUPINY DPH</w:t>
      </w:r>
    </w:p>
    <w:p w:rsidR="00D576EF" w:rsidRDefault="007652E9">
      <w:pPr>
        <w:spacing w:after="2044" w:line="259" w:lineRule="auto"/>
        <w:ind w:left="771" w:firstLine="0"/>
        <w:jc w:val="left"/>
      </w:pPr>
      <w:r>
        <w:rPr>
          <w:sz w:val="38"/>
        </w:rPr>
        <w:t>Zdravotnický holding Královéhradeckého kraje a.s.</w:t>
      </w:r>
    </w:p>
    <w:p w:rsidR="00D576EF" w:rsidRDefault="007652E9">
      <w:pPr>
        <w:spacing w:after="2096" w:line="259" w:lineRule="auto"/>
        <w:ind w:left="0" w:right="36" w:firstLine="0"/>
        <w:jc w:val="center"/>
      </w:pPr>
      <w:r>
        <w:rPr>
          <w:rFonts w:ascii="Times New Roman" w:eastAsia="Times New Roman" w:hAnsi="Times New Roman" w:cs="Times New Roman"/>
          <w:sz w:val="36"/>
        </w:rPr>
        <w:t>a</w:t>
      </w:r>
    </w:p>
    <w:p w:rsidR="00D576EF" w:rsidRDefault="007652E9">
      <w:pPr>
        <w:spacing w:after="0" w:line="259" w:lineRule="auto"/>
        <w:ind w:left="0" w:right="43" w:firstLine="0"/>
        <w:jc w:val="center"/>
        <w:rPr>
          <w:sz w:val="38"/>
        </w:rPr>
      </w:pPr>
      <w:r>
        <w:rPr>
          <w:sz w:val="38"/>
        </w:rPr>
        <w:t>Oblastní nemocnice Trutnov a.s.</w:t>
      </w:r>
    </w:p>
    <w:p w:rsidR="00173520" w:rsidRDefault="00173520">
      <w:pPr>
        <w:spacing w:after="0" w:line="259" w:lineRule="auto"/>
        <w:ind w:left="0" w:right="43" w:firstLine="0"/>
        <w:jc w:val="center"/>
        <w:rPr>
          <w:sz w:val="38"/>
        </w:rPr>
      </w:pPr>
    </w:p>
    <w:p w:rsidR="00173520" w:rsidRDefault="00173520">
      <w:pPr>
        <w:spacing w:after="0" w:line="259" w:lineRule="auto"/>
        <w:ind w:left="0" w:right="43" w:firstLine="0"/>
        <w:jc w:val="center"/>
        <w:rPr>
          <w:sz w:val="38"/>
        </w:rPr>
      </w:pPr>
    </w:p>
    <w:p w:rsidR="00173520" w:rsidRDefault="00173520">
      <w:pPr>
        <w:spacing w:after="0" w:line="259" w:lineRule="auto"/>
        <w:ind w:left="0" w:right="43" w:firstLine="0"/>
        <w:jc w:val="center"/>
        <w:rPr>
          <w:sz w:val="38"/>
        </w:rPr>
      </w:pPr>
    </w:p>
    <w:p w:rsidR="00173520" w:rsidRDefault="00173520">
      <w:pPr>
        <w:spacing w:after="0" w:line="259" w:lineRule="auto"/>
        <w:ind w:left="0" w:right="43" w:firstLine="0"/>
        <w:jc w:val="center"/>
        <w:rPr>
          <w:sz w:val="38"/>
        </w:rPr>
      </w:pPr>
    </w:p>
    <w:p w:rsidR="00173520" w:rsidRDefault="00173520">
      <w:pPr>
        <w:spacing w:after="0" w:line="259" w:lineRule="auto"/>
        <w:ind w:left="0" w:right="43" w:firstLine="0"/>
        <w:jc w:val="center"/>
      </w:pPr>
    </w:p>
    <w:tbl>
      <w:tblPr>
        <w:tblStyle w:val="TableGrid"/>
        <w:tblW w:w="7858" w:type="dxa"/>
        <w:tblInd w:w="29" w:type="dxa"/>
        <w:tblCellMar>
          <w:top w:w="3" w:type="dxa"/>
          <w:left w:w="0" w:type="dxa"/>
          <w:bottom w:w="0" w:type="dxa"/>
          <w:right w:w="0" w:type="dxa"/>
        </w:tblCellMar>
        <w:tblLook w:val="04A0" w:firstRow="1" w:lastRow="0" w:firstColumn="1" w:lastColumn="0" w:noHBand="0" w:noVBand="1"/>
      </w:tblPr>
      <w:tblGrid>
        <w:gridCol w:w="2831"/>
        <w:gridCol w:w="5027"/>
      </w:tblGrid>
      <w:tr w:rsidR="00D576EF">
        <w:trPr>
          <w:trHeight w:val="544"/>
        </w:trPr>
        <w:tc>
          <w:tcPr>
            <w:tcW w:w="2831" w:type="dxa"/>
            <w:tcBorders>
              <w:top w:val="nil"/>
              <w:left w:val="nil"/>
              <w:bottom w:val="nil"/>
              <w:right w:val="nil"/>
            </w:tcBorders>
          </w:tcPr>
          <w:p w:rsidR="00D576EF" w:rsidRDefault="007652E9">
            <w:pPr>
              <w:spacing w:after="0" w:line="259" w:lineRule="auto"/>
              <w:ind w:left="0" w:firstLine="0"/>
              <w:jc w:val="left"/>
            </w:pPr>
            <w:r>
              <w:lastRenderedPageBreak/>
              <w:t>Obchodní firma:</w:t>
            </w:r>
          </w:p>
        </w:tc>
        <w:tc>
          <w:tcPr>
            <w:tcW w:w="5027" w:type="dxa"/>
            <w:tcBorders>
              <w:top w:val="nil"/>
              <w:left w:val="nil"/>
              <w:bottom w:val="nil"/>
              <w:right w:val="nil"/>
            </w:tcBorders>
          </w:tcPr>
          <w:p w:rsidR="00D576EF" w:rsidRDefault="007652E9">
            <w:pPr>
              <w:spacing w:after="0" w:line="259" w:lineRule="auto"/>
              <w:ind w:left="0" w:firstLine="0"/>
            </w:pPr>
            <w:r>
              <w:rPr>
                <w:sz w:val="26"/>
                <w:u w:val="single" w:color="000000"/>
              </w:rPr>
              <w:t>Zdravotnický holding Královéhradeckého kraje a.s.</w:t>
            </w:r>
          </w:p>
          <w:p w:rsidR="00D576EF" w:rsidRDefault="007652E9">
            <w:pPr>
              <w:spacing w:after="0" w:line="259" w:lineRule="auto"/>
              <w:ind w:left="7" w:firstLine="0"/>
              <w:jc w:val="left"/>
            </w:pPr>
            <w:r>
              <w:rPr>
                <w:rFonts w:ascii="Times New Roman" w:eastAsia="Times New Roman" w:hAnsi="Times New Roman" w:cs="Times New Roman"/>
              </w:rPr>
              <w:t>25997556</w:t>
            </w:r>
          </w:p>
        </w:tc>
      </w:tr>
      <w:tr w:rsidR="00D576EF">
        <w:trPr>
          <w:trHeight w:val="263"/>
        </w:trPr>
        <w:tc>
          <w:tcPr>
            <w:tcW w:w="2831" w:type="dxa"/>
            <w:tcBorders>
              <w:top w:val="nil"/>
              <w:left w:val="nil"/>
              <w:bottom w:val="nil"/>
              <w:right w:val="nil"/>
            </w:tcBorders>
          </w:tcPr>
          <w:p w:rsidR="00D576EF" w:rsidRDefault="007652E9">
            <w:pPr>
              <w:spacing w:after="0" w:line="259" w:lineRule="auto"/>
              <w:ind w:left="0" w:firstLine="0"/>
              <w:jc w:val="left"/>
            </w:pPr>
            <w:r>
              <w:t>Sídlo:</w:t>
            </w:r>
          </w:p>
        </w:tc>
        <w:tc>
          <w:tcPr>
            <w:tcW w:w="5027" w:type="dxa"/>
            <w:tcBorders>
              <w:top w:val="nil"/>
              <w:left w:val="nil"/>
              <w:bottom w:val="nil"/>
              <w:right w:val="nil"/>
            </w:tcBorders>
          </w:tcPr>
          <w:p w:rsidR="00D576EF" w:rsidRDefault="007652E9">
            <w:pPr>
              <w:spacing w:after="0" w:line="259" w:lineRule="auto"/>
              <w:ind w:left="14" w:firstLine="0"/>
            </w:pPr>
            <w:r>
              <w:t>Pivovarské náměstí 1245/2, 500 03 Hradec Králové</w:t>
            </w:r>
            <w:r>
              <w:rPr>
                <w:noProof/>
              </w:rPr>
              <w:drawing>
                <wp:inline distT="0" distB="0" distL="0" distR="0">
                  <wp:extent cx="4573" cy="4574"/>
                  <wp:effectExtent l="0" t="0" r="0" b="0"/>
                  <wp:docPr id="831" name="Picture 831"/>
                  <wp:cNvGraphicFramePr/>
                  <a:graphic xmlns:a="http://schemas.openxmlformats.org/drawingml/2006/main">
                    <a:graphicData uri="http://schemas.openxmlformats.org/drawingml/2006/picture">
                      <pic:pic xmlns:pic="http://schemas.openxmlformats.org/drawingml/2006/picture">
                        <pic:nvPicPr>
                          <pic:cNvPr id="831" name="Picture 831"/>
                          <pic:cNvPicPr/>
                        </pic:nvPicPr>
                        <pic:blipFill>
                          <a:blip r:embed="rId4"/>
                          <a:stretch>
                            <a:fillRect/>
                          </a:stretch>
                        </pic:blipFill>
                        <pic:spPr>
                          <a:xfrm>
                            <a:off x="0" y="0"/>
                            <a:ext cx="4573" cy="4574"/>
                          </a:xfrm>
                          <a:prstGeom prst="rect">
                            <a:avLst/>
                          </a:prstGeom>
                        </pic:spPr>
                      </pic:pic>
                    </a:graphicData>
                  </a:graphic>
                </wp:inline>
              </w:drawing>
            </w:r>
          </w:p>
        </w:tc>
      </w:tr>
    </w:tbl>
    <w:p w:rsidR="00D576EF" w:rsidRDefault="007652E9">
      <w:pPr>
        <w:spacing w:after="0"/>
        <w:ind w:left="24"/>
      </w:pPr>
      <w:r>
        <w:t>Společnost zapsaná v obchodním rejstříku vedeném Krajským soudem v Hradci Králové, oddíl B, vložka 2321</w:t>
      </w:r>
    </w:p>
    <w:p w:rsidR="00D576EF" w:rsidRDefault="007652E9">
      <w:pPr>
        <w:tabs>
          <w:tab w:val="center" w:pos="5434"/>
        </w:tabs>
        <w:ind w:left="0" w:firstLine="0"/>
        <w:jc w:val="left"/>
      </w:pPr>
      <w:r>
        <w:t>Jejímž jménem jedná:</w:t>
      </w:r>
      <w:r>
        <w:tab/>
        <w:t xml:space="preserve">Ing. Marian </w:t>
      </w:r>
      <w:proofErr w:type="spellStart"/>
      <w:r>
        <w:t>Tomášik</w:t>
      </w:r>
      <w:proofErr w:type="spellEnd"/>
      <w:r>
        <w:t>, MBA, předseda představenstva</w:t>
      </w:r>
    </w:p>
    <w:p w:rsidR="00D576EF" w:rsidRDefault="007652E9">
      <w:pPr>
        <w:spacing w:after="282" w:line="259" w:lineRule="auto"/>
        <w:ind w:left="36" w:right="5042" w:firstLine="0"/>
        <w:jc w:val="left"/>
      </w:pPr>
      <w:r>
        <w:rPr>
          <w:sz w:val="26"/>
        </w:rPr>
        <w:t>(dále jako „Prodávající" na straně jedné) a</w:t>
      </w:r>
    </w:p>
    <w:tbl>
      <w:tblPr>
        <w:tblStyle w:val="TableGrid"/>
        <w:tblW w:w="7303" w:type="dxa"/>
        <w:tblInd w:w="36" w:type="dxa"/>
        <w:tblCellMar>
          <w:top w:w="5" w:type="dxa"/>
          <w:left w:w="0" w:type="dxa"/>
          <w:bottom w:w="0" w:type="dxa"/>
          <w:right w:w="0" w:type="dxa"/>
        </w:tblCellMar>
        <w:tblLook w:val="04A0" w:firstRow="1" w:lastRow="0" w:firstColumn="1" w:lastColumn="0" w:noHBand="0" w:noVBand="1"/>
      </w:tblPr>
      <w:tblGrid>
        <w:gridCol w:w="2672"/>
        <w:gridCol w:w="4631"/>
      </w:tblGrid>
      <w:tr w:rsidR="00D576EF">
        <w:trPr>
          <w:trHeight w:val="267"/>
        </w:trPr>
        <w:tc>
          <w:tcPr>
            <w:tcW w:w="2672" w:type="dxa"/>
            <w:tcBorders>
              <w:top w:val="nil"/>
              <w:left w:val="nil"/>
              <w:bottom w:val="nil"/>
              <w:right w:val="nil"/>
            </w:tcBorders>
          </w:tcPr>
          <w:p w:rsidR="00D576EF" w:rsidRDefault="007652E9">
            <w:pPr>
              <w:spacing w:after="0" w:line="259" w:lineRule="auto"/>
              <w:ind w:left="0" w:firstLine="0"/>
              <w:jc w:val="left"/>
            </w:pPr>
            <w:r>
              <w:t>Obchodní firma:</w:t>
            </w:r>
          </w:p>
        </w:tc>
        <w:tc>
          <w:tcPr>
            <w:tcW w:w="4631" w:type="dxa"/>
            <w:tcBorders>
              <w:top w:val="nil"/>
              <w:left w:val="nil"/>
              <w:bottom w:val="nil"/>
              <w:right w:val="nil"/>
            </w:tcBorders>
          </w:tcPr>
          <w:p w:rsidR="00D576EF" w:rsidRDefault="007652E9">
            <w:pPr>
              <w:spacing w:after="0" w:line="259" w:lineRule="auto"/>
              <w:ind w:left="166" w:firstLine="0"/>
              <w:jc w:val="left"/>
            </w:pPr>
            <w:r>
              <w:rPr>
                <w:sz w:val="26"/>
                <w:u w:val="single" w:color="000000"/>
              </w:rPr>
              <w:t>Oblastní nemocnice Trutnov a.s.</w:t>
            </w:r>
          </w:p>
        </w:tc>
      </w:tr>
      <w:tr w:rsidR="00D576EF">
        <w:trPr>
          <w:trHeight w:val="278"/>
        </w:trPr>
        <w:tc>
          <w:tcPr>
            <w:tcW w:w="2672" w:type="dxa"/>
            <w:tcBorders>
              <w:top w:val="nil"/>
              <w:left w:val="nil"/>
              <w:bottom w:val="nil"/>
              <w:right w:val="nil"/>
            </w:tcBorders>
          </w:tcPr>
          <w:p w:rsidR="00D576EF" w:rsidRDefault="007652E9">
            <w:pPr>
              <w:spacing w:after="0" w:line="259" w:lineRule="auto"/>
              <w:ind w:left="7" w:firstLine="0"/>
              <w:jc w:val="left"/>
            </w:pPr>
            <w:proofErr w:type="spellStart"/>
            <w:r>
              <w:rPr>
                <w:sz w:val="30"/>
              </w:rPr>
              <w:t>lč</w:t>
            </w:r>
            <w:proofErr w:type="spellEnd"/>
            <w:r>
              <w:rPr>
                <w:sz w:val="30"/>
              </w:rPr>
              <w:t>:</w:t>
            </w:r>
          </w:p>
        </w:tc>
        <w:tc>
          <w:tcPr>
            <w:tcW w:w="4631" w:type="dxa"/>
            <w:tcBorders>
              <w:top w:val="nil"/>
              <w:left w:val="nil"/>
              <w:bottom w:val="nil"/>
              <w:right w:val="nil"/>
            </w:tcBorders>
          </w:tcPr>
          <w:p w:rsidR="00D576EF" w:rsidRDefault="007652E9">
            <w:pPr>
              <w:spacing w:after="0" w:line="259" w:lineRule="auto"/>
              <w:ind w:left="173" w:firstLine="0"/>
              <w:jc w:val="left"/>
            </w:pPr>
            <w:r>
              <w:rPr>
                <w:rFonts w:ascii="Times New Roman" w:eastAsia="Times New Roman" w:hAnsi="Times New Roman" w:cs="Times New Roman"/>
              </w:rPr>
              <w:t>26000237</w:t>
            </w:r>
          </w:p>
        </w:tc>
      </w:tr>
      <w:tr w:rsidR="00D576EF">
        <w:trPr>
          <w:trHeight w:val="276"/>
        </w:trPr>
        <w:tc>
          <w:tcPr>
            <w:tcW w:w="2672" w:type="dxa"/>
            <w:tcBorders>
              <w:top w:val="nil"/>
              <w:left w:val="nil"/>
              <w:bottom w:val="nil"/>
              <w:right w:val="nil"/>
            </w:tcBorders>
          </w:tcPr>
          <w:p w:rsidR="00D576EF" w:rsidRDefault="007652E9">
            <w:pPr>
              <w:spacing w:after="0" w:line="259" w:lineRule="auto"/>
              <w:ind w:left="0" w:firstLine="0"/>
              <w:jc w:val="left"/>
            </w:pPr>
            <w:r>
              <w:t>Sídlo:</w:t>
            </w:r>
          </w:p>
        </w:tc>
        <w:tc>
          <w:tcPr>
            <w:tcW w:w="4631" w:type="dxa"/>
            <w:tcBorders>
              <w:top w:val="nil"/>
              <w:left w:val="nil"/>
              <w:bottom w:val="nil"/>
              <w:right w:val="nil"/>
            </w:tcBorders>
          </w:tcPr>
          <w:p w:rsidR="00D576EF" w:rsidRDefault="007652E9">
            <w:pPr>
              <w:spacing w:after="0" w:line="259" w:lineRule="auto"/>
              <w:ind w:left="0" w:firstLine="0"/>
              <w:jc w:val="right"/>
            </w:pPr>
            <w:r>
              <w:t xml:space="preserve">Maxima Gorkého 77, </w:t>
            </w:r>
            <w:proofErr w:type="spellStart"/>
            <w:r>
              <w:t>Kryblice</w:t>
            </w:r>
            <w:proofErr w:type="spellEnd"/>
            <w:r>
              <w:t>, 541 01 Trutnov</w:t>
            </w:r>
          </w:p>
        </w:tc>
      </w:tr>
    </w:tbl>
    <w:p w:rsidR="00D576EF" w:rsidRDefault="007652E9">
      <w:pPr>
        <w:spacing w:after="0"/>
        <w:ind w:left="24"/>
      </w:pPr>
      <w:r>
        <w:t>Společnost zapsaná v obchodním rejstříku vedeném Krajským soudem v Hradci Králové oddíl B, vložka 2334</w:t>
      </w:r>
    </w:p>
    <w:p w:rsidR="00D576EF" w:rsidRDefault="007652E9">
      <w:pPr>
        <w:tabs>
          <w:tab w:val="center" w:pos="5794"/>
        </w:tabs>
        <w:spacing w:after="286"/>
        <w:ind w:left="0" w:firstLine="0"/>
        <w:jc w:val="left"/>
      </w:pPr>
      <w:r>
        <w:t>Jejímž jménem jedná:</w:t>
      </w:r>
      <w:r>
        <w:tab/>
        <w:t>Ing. Miroslav Procházka, Ph.D., statutární ředitel nemocnice</w:t>
      </w:r>
    </w:p>
    <w:p w:rsidR="00D576EF" w:rsidRDefault="007652E9">
      <w:pPr>
        <w:ind w:left="24"/>
      </w:pPr>
      <w:r>
        <w:t>(dále jako „Kupující” na straně druhé)</w:t>
      </w:r>
    </w:p>
    <w:p w:rsidR="00D576EF" w:rsidRDefault="007652E9">
      <w:pPr>
        <w:spacing w:after="1119"/>
        <w:ind w:left="24"/>
      </w:pPr>
      <w:r>
        <w:t>(společně dále jen „smluvní strany”)</w:t>
      </w:r>
    </w:p>
    <w:p w:rsidR="00D576EF" w:rsidRDefault="007652E9">
      <w:pPr>
        <w:spacing w:after="1766" w:line="265" w:lineRule="auto"/>
        <w:ind w:left="60" w:right="14"/>
        <w:jc w:val="center"/>
      </w:pPr>
      <w:r>
        <w:t>uzavřely níže uvedeného dne, měsíce a roku tuto</w:t>
      </w:r>
    </w:p>
    <w:p w:rsidR="00D576EF" w:rsidRDefault="007652E9">
      <w:pPr>
        <w:pStyle w:val="Nadpis2"/>
      </w:pPr>
      <w:r>
        <w:t>SMLOUVU O UPLATŇOVÁNÍ PRAVIDLA SKUPINY DPH</w:t>
      </w:r>
    </w:p>
    <w:p w:rsidR="00D576EF" w:rsidRDefault="007652E9">
      <w:pPr>
        <w:spacing w:after="151" w:line="265" w:lineRule="auto"/>
        <w:ind w:left="60"/>
        <w:jc w:val="center"/>
      </w:pPr>
      <w:r>
        <w:t>(dále jen „Smlouva”)</w:t>
      </w:r>
    </w:p>
    <w:p w:rsidR="00D576EF" w:rsidRDefault="007652E9">
      <w:pPr>
        <w:spacing w:after="151" w:line="265" w:lineRule="auto"/>
        <w:ind w:left="60" w:right="72"/>
        <w:jc w:val="center"/>
      </w:pPr>
      <w:r>
        <w:t>Preambule</w:t>
      </w:r>
    </w:p>
    <w:p w:rsidR="00D576EF" w:rsidRDefault="007652E9">
      <w:pPr>
        <w:spacing w:after="3" w:line="267" w:lineRule="auto"/>
        <w:ind w:left="24" w:right="21"/>
      </w:pPr>
      <w:r>
        <w:rPr>
          <w:sz w:val="22"/>
        </w:rPr>
        <w:t>Zúčastněné strany jsou členy DPH skupiny s účinností od 1.</w:t>
      </w:r>
      <w:r>
        <w:rPr>
          <w:sz w:val="22"/>
        </w:rPr>
        <w:t>1.2018 s přiděleným DIČ: CZ699004900.</w:t>
      </w:r>
    </w:p>
    <w:p w:rsidR="00D576EF" w:rsidRDefault="007652E9">
      <w:pPr>
        <w:spacing w:after="605" w:line="267" w:lineRule="auto"/>
        <w:ind w:left="24" w:right="21"/>
      </w:pPr>
      <w:r>
        <w:rPr>
          <w:sz w:val="22"/>
        </w:rPr>
        <w:t>Vzhledem ke skutečnosti, že mezi členy skupiny pro účely DPH nejsou poskytnutá plnění předmětem DPH a zároveň s ohledem na skutečnost, že Zdravotnický holding Královéhradeckého kraje a.s. vstupem do skupiny ztratil nár</w:t>
      </w:r>
      <w:r>
        <w:rPr>
          <w:sz w:val="22"/>
        </w:rPr>
        <w:t>ok na plný odpočet DPH a tyto skutečnosti nejsou zohledněny v dříve uzavřených smlouvách, dohodly se zúčastněné strany na následujícím.</w:t>
      </w:r>
    </w:p>
    <w:p w:rsidR="007652E9" w:rsidRDefault="007652E9">
      <w:pPr>
        <w:spacing w:after="151" w:line="265" w:lineRule="auto"/>
        <w:ind w:left="60" w:right="58"/>
        <w:jc w:val="center"/>
      </w:pPr>
    </w:p>
    <w:p w:rsidR="00D576EF" w:rsidRDefault="007652E9">
      <w:pPr>
        <w:spacing w:after="151" w:line="265" w:lineRule="auto"/>
        <w:ind w:left="60" w:right="58"/>
        <w:jc w:val="center"/>
      </w:pPr>
      <w:bookmarkStart w:id="0" w:name="_GoBack"/>
      <w:bookmarkEnd w:id="0"/>
      <w:r>
        <w:lastRenderedPageBreak/>
        <w:t>Předmět smlouvy</w:t>
      </w:r>
    </w:p>
    <w:p w:rsidR="00D576EF" w:rsidRDefault="007652E9">
      <w:pPr>
        <w:spacing w:after="186" w:line="267" w:lineRule="auto"/>
        <w:ind w:left="24" w:right="21"/>
      </w:pPr>
      <w:r>
        <w:rPr>
          <w:sz w:val="22"/>
        </w:rPr>
        <w:t>Strany se dohodly, že ztráta plného odpočtu DPH u Zdravotnického holdingu Královéhradeckého kraje a.s. b</w:t>
      </w:r>
      <w:r>
        <w:rPr>
          <w:sz w:val="22"/>
        </w:rPr>
        <w:t>ude zohledněna při fakturaci plnění v rámci skupiny DPH, která probíhají na základě již uzavřených platných Smluv a Dohod mezi ZH KHK na straně jedné a nemocnicemi koncernu na straně druhé takovým způsobem, že na místo DPH v platné sazbě a výši bude k ceně</w:t>
      </w:r>
      <w:r>
        <w:rPr>
          <w:sz w:val="22"/>
        </w:rPr>
        <w:t xml:space="preserve"> bez DPH připočtena částka odpovídající nevrácenému DPH. K ceně bez DPH tedy bude připočtena částka odpovídající části DPH, na kterou nemá ZH KHK, nárok na odpočet, označená na faktuře jako ostatní nákladová položka. Výpočet bude prováděn na základě záloho</w:t>
      </w:r>
      <w:r>
        <w:rPr>
          <w:sz w:val="22"/>
        </w:rPr>
        <w:t>vého koeficientu stanoveného na celý kalendářní rok.</w:t>
      </w:r>
    </w:p>
    <w:p w:rsidR="00D576EF" w:rsidRDefault="007652E9">
      <w:pPr>
        <w:spacing w:after="292" w:line="252" w:lineRule="auto"/>
        <w:ind w:left="10" w:right="7"/>
        <w:jc w:val="center"/>
      </w:pPr>
      <w:r>
        <w:rPr>
          <w:sz w:val="26"/>
        </w:rPr>
        <w:t>Závěrečná ustanovení</w:t>
      </w:r>
    </w:p>
    <w:p w:rsidR="00D576EF" w:rsidRDefault="007652E9">
      <w:pPr>
        <w:spacing w:after="323"/>
        <w:ind w:left="24"/>
      </w:pPr>
      <w:r>
        <w:t>Tato Smlouva nabývá platnosti dnem jejího podpisu oběma smluvními stranami a účinnosti dnem zveřejnění v registru smluv.</w:t>
      </w:r>
    </w:p>
    <w:p w:rsidR="00D576EF" w:rsidRDefault="007652E9">
      <w:pPr>
        <w:spacing w:after="342"/>
        <w:ind w:left="24"/>
      </w:pPr>
      <w:r>
        <w:t>Práva a povinnosti smluvních stran, výslovně v této Smlouvě neupravená, se řídí příslušnými ustanoveními OZ.</w:t>
      </w:r>
    </w:p>
    <w:p w:rsidR="00D576EF" w:rsidRDefault="007652E9">
      <w:pPr>
        <w:spacing w:after="289"/>
        <w:ind w:left="24"/>
      </w:pPr>
      <w:r>
        <w:t>Tato Smlouva je vyhotovena</w:t>
      </w:r>
      <w:r>
        <w:t xml:space="preserve"> ve dvou stejnopisech s platností originálu. Prodávající a Kupující obdrží jedno vyhotovení.</w:t>
      </w:r>
    </w:p>
    <w:p w:rsidR="00D576EF" w:rsidRDefault="007652E9">
      <w:pPr>
        <w:spacing w:after="338"/>
        <w:ind w:left="24"/>
      </w:pPr>
      <w:r>
        <w:t>Tato smlouva bude uveřejněna prostřednictvím registru smluv postupem dle zákona č. 340/2015 Sb., o zvláštních podmínkách účinnosti některých smluv, uveřejňování tě</w:t>
      </w:r>
      <w:r>
        <w:t xml:space="preserve">chto smluv a o registru smluv (zákon o registru smluv), v platném znění. Smluvní strany se dohodly, že uveřejnění v registru smluv (ISRS) včetně uvedení metadat provede Kupující, který současně zajistí, aby informace o uveřejnění této smlouvy byly zaslány </w:t>
      </w:r>
      <w:r>
        <w:t>druhé smluvní straně, nebyl-li kontaktní údaj této smluvní strany uveden přímo do registru smluv jako kontakt pro notifikaci o uveřejnění.</w:t>
      </w:r>
    </w:p>
    <w:p w:rsidR="00D576EF" w:rsidRDefault="007652E9">
      <w:pPr>
        <w:ind w:left="24"/>
      </w:pPr>
      <w:r>
        <w:t>Prodávající bere dále podpisem této smlouvy na vědomí, že Kupující je při nakládání s veřejnými prostředky povinen do</w:t>
      </w:r>
      <w:r>
        <w:t>držovat ustanovení zákona č. 106/1999 Sb., o svobodném přístupu k informacím, ve znění pozdějších předpisů (zejména S 9 odst. 2. citovaného zákona). Smluvní strany berou tedy na vědomí, že v souladu s ustanovením S 9 odst. 2. citovaného zákona, se při posk</w:t>
      </w:r>
      <w:r>
        <w:t>ytování informace, která se týká používání veřejných prostředků, nepovažuje poskytnutí informace o rozsahu a příjemci těchto prostředků za porušení obchodního tajemství.</w:t>
      </w:r>
    </w:p>
    <w:p w:rsidR="00D576EF" w:rsidRDefault="007652E9">
      <w:pPr>
        <w:spacing w:after="279"/>
        <w:ind w:left="24"/>
      </w:pPr>
      <w:r>
        <w:t>Smluvní strany prohlašují, že si tuto Smlouvu před jejím podpisem přečetly, že ustanov</w:t>
      </w:r>
      <w:r>
        <w:t>ením této Smlouvy rozumí jednoznačně a stejně, dále že tuto Smlouvu uzavírají dobrovolně, o své vůli, nikoliv v tísni nebo za nápadně nevýhodných podmínek. Zástupci stran prohlašují, že jsou oprávněni zavazovat se jménem strany, kterou zastupují.</w:t>
      </w:r>
    </w:p>
    <w:p w:rsidR="00D576EF" w:rsidRDefault="007652E9">
      <w:pPr>
        <w:spacing w:after="683"/>
        <w:ind w:left="24"/>
      </w:pPr>
      <w:r>
        <w:t>Změny tét</w:t>
      </w:r>
      <w:r>
        <w:t>o Smlouvy jsou možné pouze ve formě písemných, číslovaných dodatků.</w:t>
      </w:r>
    </w:p>
    <w:p w:rsidR="007652E9" w:rsidRDefault="007652E9">
      <w:pPr>
        <w:spacing w:after="151" w:line="265" w:lineRule="auto"/>
        <w:ind w:left="60" w:right="29"/>
        <w:jc w:val="center"/>
      </w:pPr>
    </w:p>
    <w:p w:rsidR="00D576EF" w:rsidRDefault="007652E9">
      <w:pPr>
        <w:spacing w:after="151" w:line="265" w:lineRule="auto"/>
        <w:ind w:left="60" w:right="29"/>
        <w:jc w:val="center"/>
      </w:pPr>
      <w:r>
        <w:t>Trvání smlouvy</w:t>
      </w:r>
    </w:p>
    <w:p w:rsidR="00D576EF" w:rsidRDefault="007652E9">
      <w:pPr>
        <w:spacing w:after="167" w:line="267" w:lineRule="auto"/>
        <w:ind w:left="24" w:right="21"/>
      </w:pPr>
      <w:r>
        <w:rPr>
          <w:sz w:val="22"/>
        </w:rPr>
        <w:t>Podle této smlouvy se postupuje od vzniku skupiny, tedy od 1. 1. 2018.</w:t>
      </w:r>
    </w:p>
    <w:p w:rsidR="00D576EF" w:rsidRDefault="007652E9">
      <w:pPr>
        <w:spacing w:after="3" w:line="267" w:lineRule="auto"/>
        <w:ind w:left="24" w:right="21"/>
      </w:pPr>
      <w:r>
        <w:rPr>
          <w:sz w:val="22"/>
        </w:rPr>
        <w:t>Tato smlouva se uzavírá po dobu trvání skupiny DPH.</w:t>
      </w:r>
    </w:p>
    <w:p w:rsidR="00D576EF" w:rsidRDefault="00D576EF"/>
    <w:p w:rsidR="00173520" w:rsidRDefault="00173520">
      <w:pPr>
        <w:sectPr w:rsidR="00173520">
          <w:pgSz w:w="11920" w:h="16840"/>
          <w:pgMar w:top="1492" w:right="1390" w:bottom="1576" w:left="1404" w:header="708" w:footer="708" w:gutter="0"/>
          <w:cols w:space="708"/>
        </w:sectPr>
      </w:pPr>
    </w:p>
    <w:p w:rsidR="00D576EF" w:rsidRDefault="007652E9">
      <w:pPr>
        <w:ind w:left="24"/>
      </w:pPr>
      <w:r>
        <w:t>V Novém Bydžově dne:</w:t>
      </w:r>
      <w:r w:rsidR="00173520">
        <w:t xml:space="preserve"> 26.2.2019</w:t>
      </w:r>
    </w:p>
    <w:p w:rsidR="00173520" w:rsidRDefault="00173520">
      <w:pPr>
        <w:spacing w:after="0"/>
        <w:ind w:left="24"/>
      </w:pPr>
    </w:p>
    <w:p w:rsidR="00173520" w:rsidRDefault="00173520">
      <w:pPr>
        <w:spacing w:after="0"/>
        <w:ind w:left="24"/>
      </w:pPr>
    </w:p>
    <w:p w:rsidR="00D576EF" w:rsidRDefault="007652E9">
      <w:pPr>
        <w:spacing w:after="0"/>
        <w:ind w:left="24"/>
      </w:pPr>
      <w:r>
        <w:t>Za Zdravotnický holding Královéhradeckého kraje a.s.</w:t>
      </w:r>
    </w:p>
    <w:p w:rsidR="00173520" w:rsidRDefault="00173520">
      <w:pPr>
        <w:ind w:left="231" w:right="576" w:hanging="58"/>
        <w:rPr>
          <w:sz w:val="26"/>
        </w:rPr>
      </w:pPr>
    </w:p>
    <w:p w:rsidR="007652E9" w:rsidRDefault="007652E9">
      <w:pPr>
        <w:ind w:left="231" w:right="576" w:hanging="58"/>
        <w:rPr>
          <w:sz w:val="26"/>
        </w:rPr>
      </w:pPr>
      <w:r>
        <w:rPr>
          <w:sz w:val="26"/>
        </w:rPr>
        <w:t xml:space="preserve">Ing. Marian </w:t>
      </w:r>
      <w:proofErr w:type="spellStart"/>
      <w:r>
        <w:rPr>
          <w:sz w:val="26"/>
        </w:rPr>
        <w:t>Tomášik</w:t>
      </w:r>
      <w:proofErr w:type="spellEnd"/>
      <w:r>
        <w:rPr>
          <w:sz w:val="26"/>
        </w:rPr>
        <w:t xml:space="preserve">, MBA předseda představenstva </w:t>
      </w:r>
    </w:p>
    <w:p w:rsidR="007652E9" w:rsidRDefault="007652E9">
      <w:pPr>
        <w:ind w:left="231" w:right="576" w:hanging="58"/>
        <w:rPr>
          <w:sz w:val="26"/>
        </w:rPr>
      </w:pPr>
    </w:p>
    <w:p w:rsidR="00D576EF" w:rsidRPr="007652E9" w:rsidRDefault="007652E9" w:rsidP="007652E9">
      <w:pPr>
        <w:ind w:left="231" w:right="576" w:hanging="58"/>
        <w:rPr>
          <w:sz w:val="26"/>
        </w:rPr>
      </w:pPr>
      <w:r>
        <w:rPr>
          <w:sz w:val="26"/>
        </w:rPr>
        <w:t xml:space="preserve">V </w:t>
      </w:r>
      <w:r>
        <w:rPr>
          <w:sz w:val="26"/>
        </w:rPr>
        <w:t>Trutnově dne:</w:t>
      </w:r>
      <w:r>
        <w:rPr>
          <w:sz w:val="26"/>
        </w:rPr>
        <w:tab/>
      </w:r>
      <w:r w:rsidR="00173520">
        <w:rPr>
          <w:sz w:val="26"/>
        </w:rPr>
        <w:t>26.2.2019</w:t>
      </w:r>
    </w:p>
    <w:p w:rsidR="00D576EF" w:rsidRDefault="007652E9">
      <w:pPr>
        <w:spacing w:after="166"/>
        <w:ind w:left="24"/>
      </w:pPr>
      <w:r>
        <w:t>Za Oblastní nemocnici Trutnov a.s.</w:t>
      </w:r>
    </w:p>
    <w:p w:rsidR="00173520" w:rsidRDefault="00173520">
      <w:pPr>
        <w:spacing w:after="292" w:line="252" w:lineRule="auto"/>
        <w:ind w:left="10"/>
        <w:jc w:val="center"/>
        <w:rPr>
          <w:sz w:val="26"/>
        </w:rPr>
      </w:pPr>
    </w:p>
    <w:p w:rsidR="00D576EF" w:rsidRDefault="007652E9">
      <w:pPr>
        <w:spacing w:after="292" w:line="252" w:lineRule="auto"/>
        <w:ind w:left="10"/>
        <w:jc w:val="center"/>
      </w:pPr>
      <w:r>
        <w:rPr>
          <w:sz w:val="26"/>
        </w:rPr>
        <w:t>Ing. Miroslav Procházka, Ph.D. statutární ředitel nemocnice</w:t>
      </w:r>
    </w:p>
    <w:sectPr w:rsidR="00D576EF">
      <w:type w:val="continuous"/>
      <w:pgSz w:w="11920" w:h="16840"/>
      <w:pgMar w:top="1440" w:right="1527" w:bottom="1440" w:left="1433" w:header="708" w:footer="708" w:gutter="0"/>
      <w:cols w:num="2" w:space="708" w:equalWidth="0">
        <w:col w:w="4257" w:space="1318"/>
        <w:col w:w="33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EF"/>
    <w:rsid w:val="00173520"/>
    <w:rsid w:val="007652E9"/>
    <w:rsid w:val="00D57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3D7"/>
  <w15:docId w15:val="{6A3E4C5D-C724-4548-A484-4D7324C9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50" w:line="260" w:lineRule="auto"/>
      <w:ind w:left="39"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3926"/>
      <w:ind w:right="14"/>
      <w:jc w:val="center"/>
      <w:outlineLvl w:val="0"/>
    </w:pPr>
    <w:rPr>
      <w:rFonts w:ascii="Calibri" w:eastAsia="Calibri" w:hAnsi="Calibri" w:cs="Calibri"/>
      <w:color w:val="000000"/>
      <w:sz w:val="48"/>
    </w:rPr>
  </w:style>
  <w:style w:type="paragraph" w:styleId="Nadpis2">
    <w:name w:val="heading 2"/>
    <w:next w:val="Normln"/>
    <w:link w:val="Nadpis2Char"/>
    <w:uiPriority w:val="9"/>
    <w:unhideWhenUsed/>
    <w:qFormat/>
    <w:pPr>
      <w:keepNext/>
      <w:keepLines/>
      <w:spacing w:after="33"/>
      <w:ind w:left="36"/>
      <w:jc w:val="center"/>
      <w:outlineLvl w:val="1"/>
    </w:pPr>
    <w:rPr>
      <w:rFonts w:ascii="Calibri" w:eastAsia="Calibri" w:hAnsi="Calibri" w:cs="Calibri"/>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4"/>
    </w:rPr>
  </w:style>
  <w:style w:type="character" w:customStyle="1" w:styleId="Nadpis1Char">
    <w:name w:val="Nadpis 1 Char"/>
    <w:link w:val="Nadpis1"/>
    <w:rPr>
      <w:rFonts w:ascii="Calibri" w:eastAsia="Calibri" w:hAnsi="Calibri" w:cs="Calibr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3764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Uživatel</cp:lastModifiedBy>
  <cp:revision>2</cp:revision>
  <dcterms:created xsi:type="dcterms:W3CDTF">2019-03-06T13:11:00Z</dcterms:created>
  <dcterms:modified xsi:type="dcterms:W3CDTF">2019-03-06T13:11:00Z</dcterms:modified>
</cp:coreProperties>
</file>