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9-135/N8000/19/RS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INSET s.r.o.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Lucemburská 1170/7, Praha 3-Vinohrady, 13000Praha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03579727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CZ03579727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28.02.2019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monitoring stavby, pasporty, geologický dohled, geotechnický průzkum, rešerže</w:t>
            </w:r>
          </w:p>
          <w:p w:rsidR="000B26E0" w:rsidRDefault="00A62387">
            <w:r>
              <w:t>cena dle CN 20190082 nepřesáhne 304 364,38 Kč bez DPH</w:t>
            </w:r>
          </w:p>
          <w:p w:rsidR="000B26E0" w:rsidRDefault="000B26E0"/>
          <w:p w:rsidR="000B26E0" w:rsidRDefault="00A62387">
            <w:r>
              <w:t xml:space="preserve">Číslo </w:t>
            </w:r>
            <w:r>
              <w:t>akce:1/1/N80/00</w:t>
            </w:r>
          </w:p>
          <w:p w:rsidR="000B26E0" w:rsidRDefault="00A62387">
            <w:r>
              <w:t>Název akce: Rekonstruce havarijní výpusti z HK K přívozu, Radotín, P16</w:t>
            </w:r>
          </w:p>
          <w:p w:rsidR="000B26E0" w:rsidRDefault="000B26E0"/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A62387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B26E0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2387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77DD-EBD1-463F-92A4-614D7CE9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2019-03-06T13:22:00Z</dcterms:created>
  <dcterms:modified xsi:type="dcterms:W3CDTF">2019-03-06T13:22:00Z</dcterms:modified>
</cp:coreProperties>
</file>