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5E608F">
        <w:tc>
          <w:tcPr>
            <w:tcW w:w="49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08F" w:rsidRDefault="00457A7F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08F" w:rsidRDefault="00457A7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</w:t>
            </w:r>
          </w:p>
        </w:tc>
        <w:tc>
          <w:tcPr>
            <w:tcW w:w="192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08F" w:rsidRDefault="00457A7F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04/2019/71/</w:t>
            </w:r>
            <w:proofErr w:type="spellStart"/>
            <w:r>
              <w:rPr>
                <w:b/>
                <w:bCs/>
              </w:rPr>
              <w:t>Ša</w:t>
            </w:r>
            <w:proofErr w:type="spellEnd"/>
          </w:p>
        </w:tc>
        <w:tc>
          <w:tcPr>
            <w:tcW w:w="9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08F" w:rsidRDefault="00457A7F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08F" w:rsidRDefault="00457A7F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14.2.2019</w:t>
            </w:r>
          </w:p>
        </w:tc>
      </w:tr>
    </w:tbl>
    <w:p w:rsidR="005E608F" w:rsidRDefault="005E608F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5E608F"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Nadpis3"/>
            </w:pPr>
            <w:r>
              <w:t>Dodavatel</w:t>
            </w:r>
          </w:p>
        </w:tc>
      </w:tr>
      <w:tr w:rsidR="005E608F"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Ekologické centrum spol. s r.o.</w:t>
            </w:r>
          </w:p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 cementárně 1261</w:t>
            </w:r>
          </w:p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Praha 5</w:t>
            </w:r>
          </w:p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153 00</w:t>
            </w:r>
          </w:p>
        </w:tc>
      </w:tr>
      <w:tr w:rsidR="005E608F"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8360F1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5E608F">
            <w:pPr>
              <w:pStyle w:val="TableContents"/>
            </w:pPr>
          </w:p>
        </w:tc>
      </w:tr>
      <w:tr w:rsidR="005E608F"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8360F1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5E608F">
            <w:pPr>
              <w:pStyle w:val="TableContents"/>
            </w:pPr>
          </w:p>
        </w:tc>
      </w:tr>
      <w:tr w:rsidR="005E608F"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5E608F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5E608F">
            <w:pPr>
              <w:pStyle w:val="TableContents"/>
            </w:pPr>
          </w:p>
        </w:tc>
      </w:tr>
      <w:tr w:rsidR="005E608F">
        <w:tc>
          <w:tcPr>
            <w:tcW w:w="1473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8360F1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E608F" w:rsidRDefault="005E608F">
            <w:pPr>
              <w:pStyle w:val="TableContents"/>
            </w:pPr>
          </w:p>
        </w:tc>
      </w:tr>
      <w:tr w:rsidR="005E608F"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</w:pPr>
            <w:r>
              <w:t>IČO:</w:t>
            </w:r>
            <w:r w:rsidR="008360F1">
              <w:t xml:space="preserve"> </w:t>
            </w:r>
            <w:proofErr w:type="gramStart"/>
            <w:r w:rsidR="00E30369" w:rsidRPr="00E30369">
              <w:t xml:space="preserve">49685805,   </w:t>
            </w:r>
            <w:proofErr w:type="gramEnd"/>
            <w:r w:rsidR="00E30369" w:rsidRPr="00E30369">
              <w:t xml:space="preserve">      </w:t>
            </w:r>
            <w:r w:rsidR="00E30369">
              <w:rPr>
                <w:rFonts w:ascii="Arial" w:hAnsi="Arial" w:cs="Arial"/>
                <w:color w:val="222222"/>
                <w:shd w:val="clear" w:color="auto" w:fill="FFFFFF"/>
              </w:rPr>
              <w:t>DIČ: CZ49685805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5E608F">
            <w:pPr>
              <w:pStyle w:val="TableContents"/>
            </w:pPr>
          </w:p>
        </w:tc>
        <w:bookmarkStart w:id="0" w:name="_GoBack"/>
        <w:bookmarkEnd w:id="0"/>
      </w:tr>
    </w:tbl>
    <w:p w:rsidR="005E608F" w:rsidRDefault="005E608F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5E608F"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Nadpis3"/>
            </w:pPr>
            <w:r>
              <w:t>Předmět objednávky</w:t>
            </w:r>
          </w:p>
        </w:tc>
      </w:tr>
      <w:tr w:rsidR="005E608F"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</w:pPr>
          </w:p>
          <w:p w:rsidR="005E608F" w:rsidRDefault="005E608F">
            <w:pPr>
              <w:pStyle w:val="TableContents"/>
            </w:pPr>
          </w:p>
          <w:p w:rsidR="005E608F" w:rsidRDefault="00457A7F">
            <w:pPr>
              <w:pStyle w:val="TableContents"/>
            </w:pPr>
            <w:proofErr w:type="gramStart"/>
            <w:r>
              <w:t>Objednáváme  u</w:t>
            </w:r>
            <w:proofErr w:type="gramEnd"/>
            <w:r>
              <w:t xml:space="preserve"> Vás měření spalovny č.1 a kotle č. 1 v souladu se zákonem č.201/12 Sb. a vyhlášky č.415/2012 Sb. a ověřování měření monitoringu na čtvrtek 28.2.2019</w:t>
            </w:r>
          </w:p>
          <w:p w:rsidR="005E608F" w:rsidRDefault="005E608F">
            <w:pPr>
              <w:pStyle w:val="TableContents"/>
            </w:pPr>
          </w:p>
          <w:p w:rsidR="005E608F" w:rsidRDefault="005E608F">
            <w:pPr>
              <w:pStyle w:val="TableContents"/>
            </w:pPr>
          </w:p>
          <w:p w:rsidR="005E608F" w:rsidRDefault="005E608F">
            <w:pPr>
              <w:pStyle w:val="TableContents"/>
            </w:pPr>
          </w:p>
          <w:p w:rsidR="005E608F" w:rsidRDefault="005E608F">
            <w:pPr>
              <w:pStyle w:val="TableContents"/>
            </w:pPr>
          </w:p>
        </w:tc>
      </w:tr>
      <w:tr w:rsidR="005E608F"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5E608F"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5E608F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5E608F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5E608F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5E608F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</w:pPr>
            <w:r>
              <w:t xml:space="preserve">Měření </w:t>
            </w:r>
            <w:proofErr w:type="gramStart"/>
            <w:r>
              <w:t>spalovny  č.1</w:t>
            </w:r>
            <w:proofErr w:type="gramEnd"/>
            <w:r>
              <w:t xml:space="preserve"> a kotle č. 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457A7F">
            <w:pPr>
              <w:pStyle w:val="TableContents"/>
              <w:jc w:val="right"/>
            </w:pPr>
            <w:r>
              <w:t>80 000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457A7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5E608F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5E60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457A7F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5E608F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5E608F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457A7F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5E608F"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5E608F" w:rsidRDefault="00457A7F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80 000</w:t>
            </w:r>
          </w:p>
        </w:tc>
      </w:tr>
      <w:tr w:rsidR="005E608F"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</w:pPr>
          </w:p>
          <w:p w:rsidR="005E608F" w:rsidRDefault="00457A7F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</w:pPr>
            <w:r>
              <w:t>Schválil:</w:t>
            </w:r>
          </w:p>
        </w:tc>
      </w:tr>
      <w:tr w:rsidR="005E608F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</w:pPr>
            <w:proofErr w:type="gramStart"/>
            <w:r>
              <w:t xml:space="preserve">Vyřizuje:  </w:t>
            </w:r>
            <w:proofErr w:type="spellStart"/>
            <w:r w:rsidR="008360F1">
              <w:t>xxxx</w:t>
            </w:r>
            <w:proofErr w:type="spellEnd"/>
            <w:proofErr w:type="gram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/>
        </w:tc>
      </w:tr>
    </w:tbl>
    <w:p w:rsidR="005E608F" w:rsidRDefault="005E608F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5E608F"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5E608F"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</w:pPr>
          </w:p>
        </w:tc>
      </w:tr>
      <w:tr w:rsidR="005E608F"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</w:pPr>
            <w:r>
              <w:t>Datum:</w:t>
            </w:r>
            <w:r w:rsidR="008360F1">
              <w:t>20.2.2019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5E608F">
            <w:pPr>
              <w:pStyle w:val="TableContents"/>
            </w:pPr>
          </w:p>
        </w:tc>
      </w:tr>
      <w:tr w:rsidR="005E608F"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E608F" w:rsidRDefault="00457A7F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5E608F" w:rsidRDefault="00457A7F">
      <w:pPr>
        <w:pStyle w:val="Standard"/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5E608F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8DF" w:rsidRDefault="001128DF">
      <w:r>
        <w:separator/>
      </w:r>
    </w:p>
  </w:endnote>
  <w:endnote w:type="continuationSeparator" w:id="0">
    <w:p w:rsidR="001128DF" w:rsidRDefault="0011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8DF" w:rsidRDefault="001128DF">
      <w:r>
        <w:rPr>
          <w:color w:val="000000"/>
        </w:rPr>
        <w:separator/>
      </w:r>
    </w:p>
  </w:footnote>
  <w:footnote w:type="continuationSeparator" w:id="0">
    <w:p w:rsidR="001128DF" w:rsidRDefault="0011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13D"/>
    <w:multiLevelType w:val="multilevel"/>
    <w:tmpl w:val="107A88F6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7991BE8"/>
    <w:multiLevelType w:val="multilevel"/>
    <w:tmpl w:val="AF4C9D8C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BA1076"/>
    <w:multiLevelType w:val="multilevel"/>
    <w:tmpl w:val="6BCE5148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C2C1BC7"/>
    <w:multiLevelType w:val="multilevel"/>
    <w:tmpl w:val="B16AA9E2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CC46B3F"/>
    <w:multiLevelType w:val="multilevel"/>
    <w:tmpl w:val="4258A6F2"/>
    <w:styleLink w:val="Seznam41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5" w15:restartNumberingAfterBreak="0">
    <w:nsid w:val="0D745077"/>
    <w:multiLevelType w:val="multilevel"/>
    <w:tmpl w:val="651C73E8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E016F8B"/>
    <w:multiLevelType w:val="multilevel"/>
    <w:tmpl w:val="DFFED6E8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0571416"/>
    <w:multiLevelType w:val="multilevel"/>
    <w:tmpl w:val="8334C722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10F152C"/>
    <w:multiLevelType w:val="multilevel"/>
    <w:tmpl w:val="DF345B5E"/>
    <w:styleLink w:val="Seznam51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9" w15:restartNumberingAfterBreak="0">
    <w:nsid w:val="115A6DBB"/>
    <w:multiLevelType w:val="multilevel"/>
    <w:tmpl w:val="F31614B0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1905CD"/>
    <w:multiLevelType w:val="multilevel"/>
    <w:tmpl w:val="553E9AF6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ABC2454"/>
    <w:multiLevelType w:val="multilevel"/>
    <w:tmpl w:val="D250E8B2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2" w15:restartNumberingAfterBreak="0">
    <w:nsid w:val="2ACB5672"/>
    <w:multiLevelType w:val="multilevel"/>
    <w:tmpl w:val="5CCC5952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553E88"/>
    <w:multiLevelType w:val="multilevel"/>
    <w:tmpl w:val="42AAE742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5BF1839"/>
    <w:multiLevelType w:val="multilevel"/>
    <w:tmpl w:val="E78EF97E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EC67F6"/>
    <w:multiLevelType w:val="multilevel"/>
    <w:tmpl w:val="0D4CA246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7753843"/>
    <w:multiLevelType w:val="multilevel"/>
    <w:tmpl w:val="1F4AA46A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8AD0402"/>
    <w:multiLevelType w:val="multilevel"/>
    <w:tmpl w:val="FF0061A4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BDF18F7"/>
    <w:multiLevelType w:val="multilevel"/>
    <w:tmpl w:val="FDE6150C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9" w15:restartNumberingAfterBreak="0">
    <w:nsid w:val="3D4D7C02"/>
    <w:multiLevelType w:val="multilevel"/>
    <w:tmpl w:val="63121C6E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0" w15:restartNumberingAfterBreak="0">
    <w:nsid w:val="3D702FA3"/>
    <w:multiLevelType w:val="multilevel"/>
    <w:tmpl w:val="7AD23C92"/>
    <w:styleLink w:val="Seznam31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47735847"/>
    <w:multiLevelType w:val="multilevel"/>
    <w:tmpl w:val="E90AE5E8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4DEF7CBE"/>
    <w:multiLevelType w:val="multilevel"/>
    <w:tmpl w:val="9686091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EEB6334"/>
    <w:multiLevelType w:val="multilevel"/>
    <w:tmpl w:val="37787A30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4" w15:restartNumberingAfterBreak="0">
    <w:nsid w:val="547C6A3F"/>
    <w:multiLevelType w:val="multilevel"/>
    <w:tmpl w:val="7BD8703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4B143A7"/>
    <w:multiLevelType w:val="multilevel"/>
    <w:tmpl w:val="2E54CB4A"/>
    <w:styleLink w:val="Seznam21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6" w15:restartNumberingAfterBreak="0">
    <w:nsid w:val="617811FB"/>
    <w:multiLevelType w:val="multilevel"/>
    <w:tmpl w:val="DFE4BFCE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2035FA0"/>
    <w:multiLevelType w:val="multilevel"/>
    <w:tmpl w:val="9B9A0F02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2F50F1E"/>
    <w:multiLevelType w:val="multilevel"/>
    <w:tmpl w:val="48DE045A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9" w15:restartNumberingAfterBreak="0">
    <w:nsid w:val="645300BE"/>
    <w:multiLevelType w:val="multilevel"/>
    <w:tmpl w:val="311086F2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6814044C"/>
    <w:multiLevelType w:val="multilevel"/>
    <w:tmpl w:val="2FB81F86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EA5E4B"/>
    <w:multiLevelType w:val="multilevel"/>
    <w:tmpl w:val="74904A62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D0689A"/>
    <w:multiLevelType w:val="multilevel"/>
    <w:tmpl w:val="39109354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FA26317"/>
    <w:multiLevelType w:val="multilevel"/>
    <w:tmpl w:val="74FC619A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34E3E58"/>
    <w:multiLevelType w:val="multilevel"/>
    <w:tmpl w:val="E37EDCC4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91B565C"/>
    <w:multiLevelType w:val="multilevel"/>
    <w:tmpl w:val="B01A40FE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BE979B6"/>
    <w:multiLevelType w:val="multilevel"/>
    <w:tmpl w:val="342AB5AE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CBC0D91"/>
    <w:multiLevelType w:val="multilevel"/>
    <w:tmpl w:val="55365EA2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29"/>
  </w:num>
  <w:num w:numId="3">
    <w:abstractNumId w:val="19"/>
  </w:num>
  <w:num w:numId="4">
    <w:abstractNumId w:val="3"/>
  </w:num>
  <w:num w:numId="5">
    <w:abstractNumId w:val="28"/>
  </w:num>
  <w:num w:numId="6">
    <w:abstractNumId w:val="11"/>
  </w:num>
  <w:num w:numId="7">
    <w:abstractNumId w:val="2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23"/>
  </w:num>
  <w:num w:numId="13">
    <w:abstractNumId w:val="2"/>
  </w:num>
  <w:num w:numId="14">
    <w:abstractNumId w:val="22"/>
  </w:num>
  <w:num w:numId="15">
    <w:abstractNumId w:val="16"/>
  </w:num>
  <w:num w:numId="16">
    <w:abstractNumId w:val="6"/>
  </w:num>
  <w:num w:numId="17">
    <w:abstractNumId w:val="37"/>
  </w:num>
  <w:num w:numId="18">
    <w:abstractNumId w:val="36"/>
  </w:num>
  <w:num w:numId="19">
    <w:abstractNumId w:val="13"/>
  </w:num>
  <w:num w:numId="20">
    <w:abstractNumId w:val="15"/>
  </w:num>
  <w:num w:numId="21">
    <w:abstractNumId w:val="26"/>
  </w:num>
  <w:num w:numId="22">
    <w:abstractNumId w:val="27"/>
  </w:num>
  <w:num w:numId="23">
    <w:abstractNumId w:val="10"/>
  </w:num>
  <w:num w:numId="24">
    <w:abstractNumId w:val="12"/>
  </w:num>
  <w:num w:numId="25">
    <w:abstractNumId w:val="5"/>
  </w:num>
  <w:num w:numId="26">
    <w:abstractNumId w:val="1"/>
  </w:num>
  <w:num w:numId="27">
    <w:abstractNumId w:val="17"/>
  </w:num>
  <w:num w:numId="28">
    <w:abstractNumId w:val="14"/>
  </w:num>
  <w:num w:numId="29">
    <w:abstractNumId w:val="34"/>
  </w:num>
  <w:num w:numId="30">
    <w:abstractNumId w:val="35"/>
  </w:num>
  <w:num w:numId="31">
    <w:abstractNumId w:val="33"/>
  </w:num>
  <w:num w:numId="32">
    <w:abstractNumId w:val="30"/>
  </w:num>
  <w:num w:numId="33">
    <w:abstractNumId w:val="31"/>
  </w:num>
  <w:num w:numId="34">
    <w:abstractNumId w:val="7"/>
  </w:num>
  <w:num w:numId="35">
    <w:abstractNumId w:val="0"/>
  </w:num>
  <w:num w:numId="36">
    <w:abstractNumId w:val="32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8F"/>
    <w:rsid w:val="001128DF"/>
    <w:rsid w:val="00457A7F"/>
    <w:rsid w:val="005E608F"/>
    <w:rsid w:val="00670540"/>
    <w:rsid w:val="008360F1"/>
    <w:rsid w:val="00E3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C008"/>
  <w15:docId w15:val="{1EB27B18-E84E-4113-80D9-7CC891E7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customStyle="1" w:styleId="Podtitul">
    <w:name w:val="Podtitul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customStyle="1" w:styleId="Zvraznn">
    <w:name w:val="Zvýraznění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REGISTR%20SMLUV\&#352;ablona%20ORG%20SOP%20CMYK%205%20bez%20log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ORG SOP CMYK 5 bez loga</Template>
  <TotalTime>4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Technické</dc:creator>
  <cp:lastModifiedBy>Uživatel</cp:lastModifiedBy>
  <cp:revision>3</cp:revision>
  <cp:lastPrinted>2019-02-14T06:23:00Z</cp:lastPrinted>
  <dcterms:created xsi:type="dcterms:W3CDTF">2019-03-06T08:47:00Z</dcterms:created>
  <dcterms:modified xsi:type="dcterms:W3CDTF">2019-03-06T09:15:00Z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