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RÁMCOVÁ KUPNÍ SMLOUVA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dle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 § 2079 a násl. občanského zákoníku</w:t>
      </w:r>
    </w:p>
    <w:p w:rsidR="0047741C" w:rsidRDefault="0047741C">
      <w:pPr>
        <w:pStyle w:val="Standard"/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Smluvní strany:</w:t>
      </w:r>
    </w:p>
    <w:p w:rsidR="0047741C" w:rsidRDefault="00871009">
      <w:pPr>
        <w:pStyle w:val="Standard"/>
        <w:widowControl w:val="0"/>
        <w:spacing w:after="0" w:line="240" w:lineRule="atLeast"/>
        <w:ind w:left="1272" w:right="1272" w:hanging="1272"/>
        <w:jc w:val="both"/>
      </w:pPr>
      <w:r>
        <w:rPr>
          <w:rFonts w:ascii="Times New Roman" w:hAnsi="Times New Roman" w:cs="Times New Roman"/>
        </w:rPr>
        <w:t xml:space="preserve"> 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</w:rPr>
        <w:t xml:space="preserve">Společnost:         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ODEMON spol. s r. o.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IČ: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26251825                             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DIČ: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CZ26251825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sídlem:                         </w:t>
      </w:r>
      <w:r>
        <w:rPr>
          <w:rFonts w:ascii="Times New Roman" w:hAnsi="Times New Roman" w:cs="Times New Roman"/>
          <w:color w:val="000000"/>
        </w:rPr>
        <w:tab/>
        <w:t xml:space="preserve">             Hulínská 2029, 767 01 Kroměříž</w:t>
      </w:r>
      <w:bookmarkStart w:id="0" w:name="_GoBack"/>
      <w:bookmarkEnd w:id="0"/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zastoupená:                </w:t>
      </w:r>
      <w:r>
        <w:rPr>
          <w:rFonts w:ascii="Times New Roman" w:hAnsi="Times New Roman" w:cs="Times New Roman"/>
          <w:color w:val="000000"/>
        </w:rPr>
        <w:tab/>
        <w:t xml:space="preserve">             Lubomír Kuchař, jednatel</w:t>
      </w: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(dále jen „Prodávající“)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a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</w:rPr>
        <w:t>Společnost: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Vodovody a kanalizace Přerov, a. s.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IČ: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47674521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DIČ: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CZ47674521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sídlem: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Šířava 482/21, Přerov I – Město, 750 02 Přerov</w:t>
      </w: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color w:val="000000"/>
        </w:rPr>
        <w:t>zastoupená: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Ing. Miroslav Dundálek, ředitel a. s.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(dále jen „Kupující“)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 xml:space="preserve">uzavírají níže uvedeného dne, měsíce a roku tuto rámcovou smlouvu kupní 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§ 2079 a nás</w:t>
      </w:r>
      <w:r>
        <w:rPr>
          <w:rFonts w:ascii="Times New Roman" w:hAnsi="Times New Roman" w:cs="Times New Roman"/>
        </w:rPr>
        <w:t>l. občanského zákoníku (dále jen „Smlouva“):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Předmět Smlouvy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Předmětem této Smlouvy je dodání následujícího zboží z vlastnictví Prodávajícího:</w:t>
      </w: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- pracovní oděvy, obuv, rukavice</w:t>
      </w: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- osobní ochranné pracovní prostředky</w:t>
      </w: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- mycí, čistící a úklidové prostředky</w:t>
      </w: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Prodávající se zavazuje toto zboží Kupujícímu dodat za podmínek uvedených v této Smlouvě a Kupující se zavazuje zboží převzít a zaplatit sjednanou kupní cenu.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II.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Čas a místo plnění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Smlouva se sjednává na dobu neurčitou. Zboží bude dodáváno do prostor K</w:t>
      </w:r>
      <w:r>
        <w:rPr>
          <w:rFonts w:ascii="Times New Roman" w:hAnsi="Times New Roman" w:cs="Times New Roman"/>
        </w:rPr>
        <w:t>upujícího v Přerově, Šířava 482/21, nebo do hlavního skladu MTZ v </w:t>
      </w:r>
      <w:proofErr w:type="spellStart"/>
      <w:r>
        <w:rPr>
          <w:rFonts w:ascii="Times New Roman" w:hAnsi="Times New Roman" w:cs="Times New Roman"/>
        </w:rPr>
        <w:t>Lýskách</w:t>
      </w:r>
      <w:proofErr w:type="spellEnd"/>
      <w:r>
        <w:rPr>
          <w:rFonts w:ascii="Times New Roman" w:hAnsi="Times New Roman" w:cs="Times New Roman"/>
        </w:rPr>
        <w:t xml:space="preserve"> u Přerova a to vždy na základě dílčí písemné objednávky ze strany Kupujícího. Pokud v oboustranně odsouhlasené objednávce není uvedeno jinak.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III.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Kupní cena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 xml:space="preserve">Cena v režimu </w:t>
      </w:r>
      <w:r>
        <w:rPr>
          <w:rFonts w:ascii="Times New Roman" w:hAnsi="Times New Roman" w:cs="Times New Roman"/>
        </w:rPr>
        <w:t>náhradního plnění bude stanovená na základě cenové nabídky. V případě nedodržení data splatnosti uvedeného na faktuře, může prodávající účtovat smluvní pokutu ve výši 0,05% za každý den prodlení.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IV.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Platební podmínky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Kupní cena bude Kupujícím hrazena fo</w:t>
      </w:r>
      <w:r>
        <w:rPr>
          <w:rFonts w:ascii="Times New Roman" w:hAnsi="Times New Roman" w:cs="Times New Roman"/>
        </w:rPr>
        <w:t xml:space="preserve">rmou bankovního převodu na sdělený účet Prodávajícího, a to na základě řádného daňového dokladu - faktury se splatností </w:t>
      </w:r>
      <w:r>
        <w:rPr>
          <w:rFonts w:ascii="Times New Roman" w:hAnsi="Times New Roman" w:cs="Times New Roman"/>
          <w:b/>
        </w:rPr>
        <w:t>30 dnů</w:t>
      </w:r>
      <w:r>
        <w:rPr>
          <w:rFonts w:ascii="Times New Roman" w:hAnsi="Times New Roman" w:cs="Times New Roman"/>
        </w:rPr>
        <w:t xml:space="preserve"> ode dne zdanitelného plnění.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V.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Převod vlastnictví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</w:pPr>
      <w:r>
        <w:rPr>
          <w:rFonts w:ascii="Times New Roman" w:hAnsi="Times New Roman" w:cs="Times New Roman"/>
          <w:color w:val="000000"/>
        </w:rPr>
        <w:t>Kupující se stane vlastníkem prodávaného zboží dnem jeho uhrazení.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VI.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Způs</w:t>
      </w:r>
      <w:r>
        <w:rPr>
          <w:rFonts w:ascii="Times New Roman" w:hAnsi="Times New Roman" w:cs="Times New Roman"/>
          <w:b/>
          <w:bCs/>
        </w:rPr>
        <w:t>ob převzetí dodávky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</w:pPr>
      <w:r>
        <w:rPr>
          <w:rFonts w:ascii="Times New Roman" w:hAnsi="Times New Roman" w:cs="Times New Roman"/>
        </w:rPr>
        <w:t>Prodávající doručuje zboží prostřednictvím smluvního dopravce. V případě, že se obě strany dohodnou na dodání zboží na jiné místo, než je uvedeno v této smlouvě, je Kupující povinen zajistit kompetentní osobu, která bude v den a v čase</w:t>
      </w:r>
      <w:r>
        <w:rPr>
          <w:rFonts w:ascii="Times New Roman" w:hAnsi="Times New Roman" w:cs="Times New Roman"/>
        </w:rPr>
        <w:t xml:space="preserve"> doručení zboží na dohodnutém místě, zboží převezme a dodací nebo přepravní list označí jak čitelným podpisem, tak svým jménem a příjmením hůlkovým písmem a razítkem.</w:t>
      </w:r>
    </w:p>
    <w:p w:rsidR="0047741C" w:rsidRDefault="0047741C">
      <w:pPr>
        <w:pStyle w:val="Standard"/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VII.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Odpovědnost za vady, reklamační řízení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 xml:space="preserve">Prodávající poskytuje Kupujícímu záruku za </w:t>
      </w:r>
      <w:r>
        <w:rPr>
          <w:rFonts w:ascii="Times New Roman" w:hAnsi="Times New Roman" w:cs="Times New Roman"/>
        </w:rPr>
        <w:t>jakost zboží v délce trvání 24 měsíců, která počíná běžet dnem převzetí zboží Kupujícím.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both"/>
      </w:pPr>
      <w:r>
        <w:rPr>
          <w:rFonts w:ascii="Times New Roman" w:hAnsi="Times New Roman" w:cs="Times New Roman"/>
        </w:rPr>
        <w:t>Případné reklamace se zavazuje vyřídit do 30 kalendářních dnů od doručení reklamace.</w:t>
      </w:r>
    </w:p>
    <w:p w:rsidR="0047741C" w:rsidRDefault="0047741C">
      <w:pPr>
        <w:pStyle w:val="Standard"/>
        <w:widowControl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VIII.</w:t>
      </w:r>
    </w:p>
    <w:p w:rsidR="0047741C" w:rsidRDefault="00871009">
      <w:pPr>
        <w:pStyle w:val="Standard"/>
        <w:widowControl w:val="0"/>
        <w:spacing w:after="0" w:line="240" w:lineRule="atLeast"/>
        <w:jc w:val="center"/>
      </w:pPr>
      <w:r>
        <w:rPr>
          <w:rFonts w:ascii="Times New Roman" w:hAnsi="Times New Roman" w:cs="Times New Roman"/>
          <w:b/>
          <w:bCs/>
        </w:rPr>
        <w:t>Ustanovení přechodná a závěrečná</w:t>
      </w:r>
    </w:p>
    <w:p w:rsidR="0047741C" w:rsidRDefault="0047741C">
      <w:pPr>
        <w:pStyle w:val="Standard"/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47741C" w:rsidRDefault="00871009">
      <w:pPr>
        <w:pStyle w:val="Standard"/>
        <w:widowControl w:val="0"/>
        <w:spacing w:after="0" w:line="240" w:lineRule="atLeast"/>
      </w:pPr>
      <w:r>
        <w:rPr>
          <w:rFonts w:ascii="Times New Roman" w:hAnsi="Times New Roman" w:cs="Times New Roman"/>
        </w:rPr>
        <w:t xml:space="preserve">Dáno ve dvou vyhotoveních s platností </w:t>
      </w:r>
      <w:r>
        <w:rPr>
          <w:rFonts w:ascii="Times New Roman" w:hAnsi="Times New Roman" w:cs="Times New Roman"/>
        </w:rPr>
        <w:t>originálu, z nichž jedno obdrží prodávající a jedno kupující</w:t>
      </w: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</w:rPr>
        <w:t>V Kroměříži dne 18. 2. 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 Přerově dne 25. 2. 2019</w:t>
      </w: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47741C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741C" w:rsidRDefault="00871009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</w:rPr>
        <w:t>…………………………………...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741C" w:rsidRDefault="00871009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Lubomír Kuchař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Ing. Miroslav Dundálek</w:t>
      </w:r>
    </w:p>
    <w:p w:rsidR="0047741C" w:rsidRDefault="00871009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jednatel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ředitel a. s.</w:t>
      </w:r>
    </w:p>
    <w:p w:rsidR="0047741C" w:rsidRDefault="00871009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7741C" w:rsidRDefault="0047741C">
      <w:pPr>
        <w:pStyle w:val="Standard"/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41C" w:rsidRDefault="00871009">
      <w:pPr>
        <w:pStyle w:val="Standard"/>
        <w:tabs>
          <w:tab w:val="left" w:pos="6168"/>
        </w:tabs>
      </w:pPr>
      <w:r>
        <w:rPr>
          <w:rFonts w:ascii="Arial" w:hAnsi="Arial" w:cs="Arial"/>
          <w:sz w:val="20"/>
          <w:szCs w:val="20"/>
        </w:rPr>
        <w:tab/>
      </w:r>
    </w:p>
    <w:sectPr w:rsidR="0047741C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09" w:rsidRDefault="00871009">
      <w:pPr>
        <w:spacing w:after="0" w:line="240" w:lineRule="auto"/>
      </w:pPr>
      <w:r>
        <w:separator/>
      </w:r>
    </w:p>
  </w:endnote>
  <w:endnote w:type="continuationSeparator" w:id="0">
    <w:p w:rsidR="00871009" w:rsidRDefault="0087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6C2" w:rsidRDefault="00871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09" w:rsidRDefault="008710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1009" w:rsidRDefault="0087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71"/>
    <w:multiLevelType w:val="multilevel"/>
    <w:tmpl w:val="5B868654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F94653D"/>
    <w:multiLevelType w:val="multilevel"/>
    <w:tmpl w:val="48B82F4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  <w:sz w:val="24"/>
        <w:szCs w:val="24"/>
      </w:rPr>
    </w:lvl>
  </w:abstractNum>
  <w:abstractNum w:abstractNumId="2" w15:restartNumberingAfterBreak="0">
    <w:nsid w:val="243B3735"/>
    <w:multiLevelType w:val="multilevel"/>
    <w:tmpl w:val="34E22B02"/>
    <w:styleLink w:val="WWNum15"/>
    <w:lvl w:ilvl="0">
      <w:numFmt w:val="bullet"/>
      <w:lvlText w:val="·"/>
      <w:lvlJc w:val="left"/>
      <w:pPr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B8725BA"/>
    <w:multiLevelType w:val="multilevel"/>
    <w:tmpl w:val="17F8CF8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2BFB7225"/>
    <w:multiLevelType w:val="multilevel"/>
    <w:tmpl w:val="AAA29F9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52C0524"/>
    <w:multiLevelType w:val="multilevel"/>
    <w:tmpl w:val="EC2022D0"/>
    <w:styleLink w:val="WWNum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  <w:color w:val="7F7F7F"/>
        <w:sz w:val="10"/>
        <w:szCs w:val="10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  <w:sz w:val="24"/>
        <w:szCs w:val="24"/>
      </w:rPr>
    </w:lvl>
    <w:lvl w:ilvl="2">
      <w:numFmt w:val="bullet"/>
      <w:lvlText w:val=""/>
      <w:lvlJc w:val="left"/>
      <w:pPr>
        <w:ind w:left="1440" w:hanging="360"/>
      </w:pPr>
      <w:rPr>
        <w:rFonts w:ascii="Times New Roman" w:hAnsi="Times New Roman" w:cs="Wingdings"/>
        <w:sz w:val="24"/>
        <w:szCs w:val="24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ymbol"/>
        <w:sz w:val="24"/>
        <w:szCs w:val="24"/>
      </w:r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  <w:sz w:val="24"/>
        <w:szCs w:val="24"/>
      </w:rPr>
    </w:lvl>
    <w:lvl w:ilvl="5">
      <w:numFmt w:val="bullet"/>
      <w:lvlText w:val=""/>
      <w:lvlJc w:val="left"/>
      <w:pPr>
        <w:ind w:left="2520" w:hanging="360"/>
      </w:pPr>
      <w:rPr>
        <w:rFonts w:ascii="Times New Roman" w:hAnsi="Times New Roman" w:cs="Wingdings"/>
        <w:sz w:val="24"/>
        <w:szCs w:val="24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ymbol"/>
        <w:sz w:val="24"/>
        <w:szCs w:val="24"/>
      </w:r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  <w:sz w:val="24"/>
        <w:szCs w:val="24"/>
      </w:rPr>
    </w:lvl>
    <w:lvl w:ilvl="8">
      <w:numFmt w:val="bullet"/>
      <w:lvlText w:val=""/>
      <w:lvlJc w:val="left"/>
      <w:pPr>
        <w:ind w:left="3600" w:hanging="360"/>
      </w:pPr>
      <w:rPr>
        <w:rFonts w:ascii="Times New Roman" w:hAnsi="Times New Roman" w:cs="Wingdings"/>
        <w:sz w:val="24"/>
        <w:szCs w:val="24"/>
      </w:rPr>
    </w:lvl>
  </w:abstractNum>
  <w:abstractNum w:abstractNumId="6" w15:restartNumberingAfterBreak="0">
    <w:nsid w:val="3FD17DE2"/>
    <w:multiLevelType w:val="multilevel"/>
    <w:tmpl w:val="5258918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42B966A3"/>
    <w:multiLevelType w:val="multilevel"/>
    <w:tmpl w:val="6F603C52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484A7B7C"/>
    <w:multiLevelType w:val="multilevel"/>
    <w:tmpl w:val="0DA60914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3924B56"/>
    <w:multiLevelType w:val="multilevel"/>
    <w:tmpl w:val="C1AED638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540A3CF7"/>
    <w:multiLevelType w:val="multilevel"/>
    <w:tmpl w:val="434C3BC8"/>
    <w:styleLink w:val="WWNum9"/>
    <w:lvl w:ilvl="0">
      <w:numFmt w:val="bullet"/>
      <w:lvlText w:val="·"/>
      <w:lvlJc w:val="left"/>
      <w:pPr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5D525DC9"/>
    <w:multiLevelType w:val="multilevel"/>
    <w:tmpl w:val="6794EFCE"/>
    <w:styleLink w:val="WWNum14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62F92518"/>
    <w:multiLevelType w:val="multilevel"/>
    <w:tmpl w:val="822C636E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64AA0B6B"/>
    <w:multiLevelType w:val="multilevel"/>
    <w:tmpl w:val="959E479C"/>
    <w:styleLink w:val="WWNum6"/>
    <w:lvl w:ilvl="0">
      <w:numFmt w:val="bullet"/>
      <w:lvlText w:val="·"/>
      <w:lvlJc w:val="left"/>
      <w:pPr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65F818FB"/>
    <w:multiLevelType w:val="multilevel"/>
    <w:tmpl w:val="0988170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67A43FFD"/>
    <w:multiLevelType w:val="multilevel"/>
    <w:tmpl w:val="167CE606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  <w:color w:val="7F7F7F"/>
        <w:sz w:val="10"/>
        <w:szCs w:val="10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  <w:sz w:val="24"/>
        <w:szCs w:val="24"/>
      </w:rPr>
    </w:lvl>
    <w:lvl w:ilvl="2">
      <w:numFmt w:val="bullet"/>
      <w:lvlText w:val=""/>
      <w:lvlJc w:val="left"/>
      <w:pPr>
        <w:ind w:left="1440" w:hanging="360"/>
      </w:pPr>
      <w:rPr>
        <w:rFonts w:ascii="Times New Roman" w:hAnsi="Times New Roman" w:cs="Wingdings"/>
        <w:sz w:val="24"/>
        <w:szCs w:val="24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ymbol"/>
        <w:sz w:val="24"/>
        <w:szCs w:val="24"/>
      </w:r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  <w:sz w:val="24"/>
        <w:szCs w:val="24"/>
      </w:rPr>
    </w:lvl>
    <w:lvl w:ilvl="5">
      <w:numFmt w:val="bullet"/>
      <w:lvlText w:val=""/>
      <w:lvlJc w:val="left"/>
      <w:pPr>
        <w:ind w:left="2520" w:hanging="360"/>
      </w:pPr>
      <w:rPr>
        <w:rFonts w:ascii="Times New Roman" w:hAnsi="Times New Roman" w:cs="Wingdings"/>
        <w:sz w:val="24"/>
        <w:szCs w:val="24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ymbol"/>
        <w:sz w:val="24"/>
        <w:szCs w:val="24"/>
      </w:r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  <w:sz w:val="24"/>
        <w:szCs w:val="24"/>
      </w:rPr>
    </w:lvl>
    <w:lvl w:ilvl="8">
      <w:numFmt w:val="bullet"/>
      <w:lvlText w:val=""/>
      <w:lvlJc w:val="left"/>
      <w:pPr>
        <w:ind w:left="3600" w:hanging="360"/>
      </w:pPr>
      <w:rPr>
        <w:rFonts w:ascii="Times New Roman" w:hAnsi="Times New Roman" w:cs="Wingdings"/>
        <w:sz w:val="24"/>
        <w:szCs w:val="24"/>
      </w:rPr>
    </w:lvl>
  </w:abstractNum>
  <w:abstractNum w:abstractNumId="16" w15:restartNumberingAfterBreak="0">
    <w:nsid w:val="6F1C49A4"/>
    <w:multiLevelType w:val="multilevel"/>
    <w:tmpl w:val="9D2077E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  <w:sz w:val="24"/>
        <w:szCs w:val="24"/>
      </w:rPr>
    </w:lvl>
  </w:abstractNum>
  <w:abstractNum w:abstractNumId="17" w15:restartNumberingAfterBreak="0">
    <w:nsid w:val="740A728A"/>
    <w:multiLevelType w:val="multilevel"/>
    <w:tmpl w:val="B3F2F664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78A109C7"/>
    <w:multiLevelType w:val="multilevel"/>
    <w:tmpl w:val="6B0896AC"/>
    <w:styleLink w:val="WWNum13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7E891737"/>
    <w:multiLevelType w:val="multilevel"/>
    <w:tmpl w:val="B5727DBE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  <w:sz w:val="24"/>
        <w:szCs w:val="24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10"/>
  </w:num>
  <w:num w:numId="10">
    <w:abstractNumId w:val="17"/>
  </w:num>
  <w:num w:numId="11">
    <w:abstractNumId w:val="0"/>
  </w:num>
  <w:num w:numId="12">
    <w:abstractNumId w:val="14"/>
  </w:num>
  <w:num w:numId="13">
    <w:abstractNumId w:val="18"/>
  </w:num>
  <w:num w:numId="14">
    <w:abstractNumId w:val="11"/>
  </w:num>
  <w:num w:numId="15">
    <w:abstractNumId w:val="2"/>
  </w:num>
  <w:num w:numId="16">
    <w:abstractNumId w:val="3"/>
  </w:num>
  <w:num w:numId="17">
    <w:abstractNumId w:val="19"/>
  </w:num>
  <w:num w:numId="18">
    <w:abstractNumId w:val="4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7741C"/>
    <w:rsid w:val="003B0689"/>
    <w:rsid w:val="0047741C"/>
    <w:rsid w:val="008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E2F62-A1BB-4D30-8B66-CECCFDC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Times New Roman"/>
      <w:b/>
      <w:bCs/>
      <w:sz w:val="16"/>
      <w:szCs w:val="16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rFonts w:cs="Symbol"/>
      <w:color w:val="7F7F7F"/>
      <w:sz w:val="10"/>
      <w:szCs w:val="10"/>
    </w:rPr>
  </w:style>
  <w:style w:type="character" w:customStyle="1" w:styleId="ListLabel5">
    <w:name w:val="ListLabel 5"/>
    <w:rPr>
      <w:rFonts w:cs="Courier New"/>
      <w:sz w:val="24"/>
      <w:szCs w:val="24"/>
    </w:rPr>
  </w:style>
  <w:style w:type="character" w:customStyle="1" w:styleId="ListLabel6">
    <w:name w:val="ListLabel 6"/>
    <w:rPr>
      <w:rFonts w:cs="Wingdings"/>
      <w:sz w:val="24"/>
      <w:szCs w:val="24"/>
    </w:rPr>
  </w:style>
  <w:style w:type="character" w:customStyle="1" w:styleId="ListLabel7">
    <w:name w:val="ListLabel 7"/>
    <w:rPr>
      <w:rFonts w:cs="Symbol"/>
      <w:sz w:val="24"/>
      <w:szCs w:val="24"/>
    </w:rPr>
  </w:style>
  <w:style w:type="character" w:customStyle="1" w:styleId="ListLabel8">
    <w:name w:val="ListLabel 8"/>
    <w:rPr>
      <w:rFonts w:cs="Symbol"/>
      <w:sz w:val="20"/>
      <w:szCs w:val="20"/>
    </w:rPr>
  </w:style>
  <w:style w:type="character" w:customStyle="1" w:styleId="ListLabel9">
    <w:name w:val="ListLabel 9"/>
    <w:rPr>
      <w:rFonts w:cs="Arial"/>
      <w:sz w:val="22"/>
      <w:szCs w:val="22"/>
    </w:rPr>
  </w:style>
  <w:style w:type="character" w:customStyle="1" w:styleId="ListLabel10">
    <w:name w:val="ListLabel 10"/>
    <w:rPr>
      <w:rFonts w:cs="Arial"/>
      <w:color w:val="000000"/>
      <w:sz w:val="22"/>
      <w:szCs w:val="22"/>
    </w:rPr>
  </w:style>
  <w:style w:type="character" w:customStyle="1" w:styleId="ListLabel11">
    <w:name w:val="ListLabel 11"/>
    <w:rPr>
      <w:rFonts w:cs="Times New Roman"/>
      <w:color w:val="000000"/>
      <w:sz w:val="20"/>
      <w:szCs w:val="20"/>
    </w:rPr>
  </w:style>
  <w:style w:type="character" w:customStyle="1" w:styleId="ListLabel12">
    <w:name w:val="ListLabel 12"/>
    <w:rPr>
      <w:rFonts w:cs="Times New Roman"/>
      <w:b/>
      <w:bCs/>
      <w:sz w:val="20"/>
      <w:szCs w:val="20"/>
    </w:rPr>
  </w:style>
  <w:style w:type="character" w:customStyle="1" w:styleId="ListLabel13">
    <w:name w:val="ListLabel 13"/>
    <w:rPr>
      <w:rFonts w:cs="Times New Roman"/>
      <w:sz w:val="20"/>
      <w:szCs w:val="20"/>
    </w:rPr>
  </w:style>
  <w:style w:type="character" w:customStyle="1" w:styleId="ListLabel14">
    <w:name w:val="ListLabel 14"/>
    <w:rPr>
      <w:rFonts w:cs="Times New Roman"/>
      <w:b/>
      <w:bCs/>
      <w:sz w:val="16"/>
      <w:szCs w:val="16"/>
    </w:rPr>
  </w:style>
  <w:style w:type="character" w:customStyle="1" w:styleId="ListLabel15">
    <w:name w:val="ListLabel 15"/>
    <w:rPr>
      <w:rFonts w:cs="Times New Roman"/>
      <w:sz w:val="16"/>
      <w:szCs w:val="16"/>
    </w:rPr>
  </w:style>
  <w:style w:type="character" w:customStyle="1" w:styleId="ListLabel16">
    <w:name w:val="ListLabel 16"/>
    <w:rPr>
      <w:rFonts w:cs="Times New Roman"/>
      <w:sz w:val="24"/>
      <w:szCs w:val="24"/>
    </w:rPr>
  </w:style>
  <w:style w:type="character" w:customStyle="1" w:styleId="ListLabel17">
    <w:name w:val="ListLabel 17"/>
    <w:rPr>
      <w:rFonts w:cs="Symbol"/>
      <w:color w:val="7F7F7F"/>
      <w:sz w:val="10"/>
      <w:szCs w:val="10"/>
    </w:rPr>
  </w:style>
  <w:style w:type="character" w:customStyle="1" w:styleId="ListLabel18">
    <w:name w:val="ListLabel 18"/>
    <w:rPr>
      <w:rFonts w:cs="Courier New"/>
      <w:sz w:val="24"/>
      <w:szCs w:val="24"/>
    </w:rPr>
  </w:style>
  <w:style w:type="character" w:customStyle="1" w:styleId="ListLabel19">
    <w:name w:val="ListLabel 19"/>
    <w:rPr>
      <w:rFonts w:cs="Wingdings"/>
      <w:sz w:val="24"/>
      <w:szCs w:val="24"/>
    </w:rPr>
  </w:style>
  <w:style w:type="character" w:customStyle="1" w:styleId="ListLabel20">
    <w:name w:val="ListLabel 20"/>
    <w:rPr>
      <w:rFonts w:cs="Symbol"/>
      <w:sz w:val="24"/>
      <w:szCs w:val="24"/>
    </w:rPr>
  </w:style>
  <w:style w:type="character" w:customStyle="1" w:styleId="ListLabel21">
    <w:name w:val="ListLabel 21"/>
    <w:rPr>
      <w:rFonts w:cs="Symbol"/>
      <w:sz w:val="20"/>
      <w:szCs w:val="20"/>
    </w:rPr>
  </w:style>
  <w:style w:type="character" w:customStyle="1" w:styleId="ListLabel22">
    <w:name w:val="ListLabel 22"/>
    <w:rPr>
      <w:rFonts w:cs="Arial"/>
      <w:sz w:val="22"/>
      <w:szCs w:val="22"/>
    </w:rPr>
  </w:style>
  <w:style w:type="character" w:customStyle="1" w:styleId="ListLabel23">
    <w:name w:val="ListLabel 23"/>
    <w:rPr>
      <w:rFonts w:cs="Arial"/>
      <w:color w:val="000000"/>
      <w:sz w:val="22"/>
      <w:szCs w:val="22"/>
    </w:rPr>
  </w:style>
  <w:style w:type="character" w:customStyle="1" w:styleId="ListLabel24">
    <w:name w:val="ListLabel 24"/>
    <w:rPr>
      <w:rFonts w:cs="Times New Roman"/>
      <w:color w:val="000000"/>
      <w:sz w:val="20"/>
      <w:szCs w:val="20"/>
    </w:rPr>
  </w:style>
  <w:style w:type="character" w:customStyle="1" w:styleId="ListLabel25">
    <w:name w:val="ListLabel 25"/>
    <w:rPr>
      <w:rFonts w:cs="Times New Roman"/>
      <w:b/>
      <w:bCs/>
      <w:sz w:val="20"/>
      <w:szCs w:val="20"/>
    </w:rPr>
  </w:style>
  <w:style w:type="character" w:customStyle="1" w:styleId="ListLabel26">
    <w:name w:val="ListLabel 26"/>
    <w:rPr>
      <w:rFonts w:cs="Times New Roman"/>
      <w:sz w:val="20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poklopy</dc:creator>
  <cp:lastModifiedBy>Sekretariát</cp:lastModifiedBy>
  <cp:revision>2</cp:revision>
  <cp:lastPrinted>2017-03-06T12:08:00Z</cp:lastPrinted>
  <dcterms:created xsi:type="dcterms:W3CDTF">2019-03-06T06:13:00Z</dcterms:created>
  <dcterms:modified xsi:type="dcterms:W3CDTF">2019-03-06T06:13:00Z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Vodovody a kanalizace Přerov,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