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C57" w:rsidRPr="00C23BDC" w:rsidRDefault="00701C57" w:rsidP="00701C57">
      <w:pPr>
        <w:pStyle w:val="Nzev"/>
        <w:rPr>
          <w:rFonts w:ascii="Arial" w:hAnsi="Arial" w:cs="Arial"/>
          <w:sz w:val="36"/>
        </w:rPr>
      </w:pPr>
      <w:r w:rsidRPr="00C23BDC">
        <w:rPr>
          <w:rFonts w:ascii="Arial" w:hAnsi="Arial" w:cs="Arial"/>
          <w:sz w:val="36"/>
        </w:rPr>
        <w:t xml:space="preserve">SMLOUVA </w:t>
      </w:r>
    </w:p>
    <w:p w:rsidR="00701C57" w:rsidRPr="00C23BDC" w:rsidRDefault="00701C57" w:rsidP="00701C57">
      <w:pPr>
        <w:pStyle w:val="Nzev"/>
        <w:rPr>
          <w:rFonts w:ascii="Arial" w:hAnsi="Arial" w:cs="Arial"/>
          <w:szCs w:val="24"/>
        </w:rPr>
      </w:pPr>
      <w:r w:rsidRPr="00C23BDC">
        <w:rPr>
          <w:rFonts w:ascii="Arial" w:hAnsi="Arial" w:cs="Arial"/>
          <w:szCs w:val="24"/>
        </w:rPr>
        <w:t xml:space="preserve">o úpravě stávající </w:t>
      </w:r>
      <w:r w:rsidR="00D10D7E" w:rsidRPr="00C23BDC">
        <w:rPr>
          <w:rFonts w:ascii="Arial" w:hAnsi="Arial" w:cs="Arial"/>
          <w:szCs w:val="24"/>
        </w:rPr>
        <w:t xml:space="preserve">technické </w:t>
      </w:r>
      <w:r w:rsidRPr="00C23BDC">
        <w:rPr>
          <w:rFonts w:ascii="Arial" w:hAnsi="Arial" w:cs="Arial"/>
          <w:szCs w:val="24"/>
        </w:rPr>
        <w:t>infrastruktury</w:t>
      </w:r>
    </w:p>
    <w:p w:rsidR="00D10D7E" w:rsidRPr="00C23BDC" w:rsidRDefault="00D10D7E" w:rsidP="00701C57">
      <w:pPr>
        <w:pStyle w:val="Nzev"/>
        <w:rPr>
          <w:rFonts w:ascii="Arial" w:hAnsi="Arial" w:cs="Arial"/>
          <w:szCs w:val="24"/>
        </w:rPr>
      </w:pPr>
      <w:r w:rsidRPr="00C23BDC">
        <w:rPr>
          <w:rFonts w:ascii="Arial" w:hAnsi="Arial" w:cs="Arial"/>
          <w:szCs w:val="24"/>
        </w:rPr>
        <w:t>komunikační sítě TETA s.r.o.</w:t>
      </w:r>
    </w:p>
    <w:p w:rsidR="00701C57" w:rsidRPr="00C23BDC" w:rsidRDefault="00701C57" w:rsidP="00701C57">
      <w:pPr>
        <w:pStyle w:val="Nzev"/>
        <w:rPr>
          <w:rFonts w:ascii="Arial" w:hAnsi="Arial" w:cs="Arial"/>
        </w:rPr>
      </w:pPr>
    </w:p>
    <w:p w:rsidR="00701C57" w:rsidRPr="00C23BDC" w:rsidRDefault="00701C57" w:rsidP="00701C57">
      <w:pPr>
        <w:pStyle w:val="Zkladntext"/>
        <w:jc w:val="center"/>
        <w:rPr>
          <w:rFonts w:ascii="Arial" w:hAnsi="Arial" w:cs="Arial"/>
          <w:b/>
          <w:bCs/>
        </w:rPr>
      </w:pPr>
      <w:r w:rsidRPr="00C23BDC">
        <w:rPr>
          <w:rFonts w:ascii="Arial" w:hAnsi="Arial" w:cs="Arial"/>
          <w:b/>
          <w:bCs/>
        </w:rPr>
        <w:t xml:space="preserve">kterou dne, měsíce a roku níže uvedeného uzavřeli v souladu s § 86, odst. 2, písm. d) stavebního zákona (SZ) č. </w:t>
      </w:r>
      <w:hyperlink r:id="rId5" w:tgtFrame="_blank" w:tooltip="Zákon o územním plánování a stavebním řádu (stavební zákon)" w:history="1">
        <w:r w:rsidRPr="00C23BDC">
          <w:rPr>
            <w:rStyle w:val="Hypertextovodkaz"/>
            <w:rFonts w:ascii="Arial" w:hAnsi="Arial" w:cs="Arial"/>
            <w:b/>
            <w:bCs/>
            <w:color w:val="auto"/>
            <w:u w:val="none"/>
          </w:rPr>
          <w:t>183/2006 Sb</w:t>
        </w:r>
      </w:hyperlink>
      <w:r w:rsidRPr="00C23BDC">
        <w:rPr>
          <w:rFonts w:ascii="Arial" w:hAnsi="Arial" w:cs="Arial"/>
          <w:b/>
          <w:bCs/>
        </w:rPr>
        <w:t>. v platném znění</w:t>
      </w:r>
    </w:p>
    <w:p w:rsidR="00701C57" w:rsidRPr="00C23BDC" w:rsidRDefault="00701C57" w:rsidP="00701C57">
      <w:pPr>
        <w:pStyle w:val="Zkladntext"/>
        <w:rPr>
          <w:rFonts w:ascii="Arial" w:hAnsi="Arial" w:cs="Arial"/>
        </w:rPr>
      </w:pPr>
    </w:p>
    <w:p w:rsidR="00701C57" w:rsidRPr="00C23BDC" w:rsidRDefault="00701C57" w:rsidP="00701C57">
      <w:pPr>
        <w:ind w:left="284"/>
        <w:rPr>
          <w:rFonts w:ascii="Arial" w:hAnsi="Arial" w:cs="Arial"/>
          <w:sz w:val="20"/>
          <w:szCs w:val="20"/>
        </w:rPr>
      </w:pPr>
    </w:p>
    <w:p w:rsidR="00701C57" w:rsidRPr="00C23BDC" w:rsidRDefault="00701C57" w:rsidP="00701C57">
      <w:pPr>
        <w:ind w:left="284"/>
        <w:rPr>
          <w:rFonts w:ascii="Arial" w:hAnsi="Arial" w:cs="Arial"/>
          <w:sz w:val="20"/>
          <w:szCs w:val="20"/>
        </w:rPr>
      </w:pPr>
    </w:p>
    <w:p w:rsidR="00701C57" w:rsidRPr="00C23BDC" w:rsidRDefault="00D10D7E" w:rsidP="00D10D7E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C23BDC">
        <w:rPr>
          <w:rFonts w:ascii="Arial" w:hAnsi="Arial" w:cs="Arial"/>
          <w:b/>
          <w:sz w:val="20"/>
          <w:szCs w:val="20"/>
        </w:rPr>
        <w:tab/>
      </w:r>
      <w:r w:rsidR="00701C57" w:rsidRPr="00C23BDC">
        <w:rPr>
          <w:rFonts w:ascii="Arial" w:hAnsi="Arial" w:cs="Arial"/>
          <w:b/>
          <w:sz w:val="20"/>
          <w:szCs w:val="20"/>
        </w:rPr>
        <w:t xml:space="preserve">TETA s.r.o. </w:t>
      </w:r>
    </w:p>
    <w:p w:rsidR="00701C57" w:rsidRPr="00C23BDC" w:rsidRDefault="00701C57" w:rsidP="00701C57">
      <w:pPr>
        <w:tabs>
          <w:tab w:val="left" w:pos="284"/>
        </w:tabs>
        <w:rPr>
          <w:rFonts w:ascii="Arial" w:hAnsi="Arial" w:cs="Arial"/>
          <w:b/>
          <w:sz w:val="20"/>
          <w:szCs w:val="20"/>
        </w:rPr>
      </w:pPr>
      <w:r w:rsidRPr="00C23BDC">
        <w:rPr>
          <w:rFonts w:ascii="Arial" w:hAnsi="Arial" w:cs="Arial"/>
          <w:b/>
          <w:sz w:val="20"/>
          <w:szCs w:val="20"/>
        </w:rPr>
        <w:tab/>
      </w:r>
      <w:r w:rsidRPr="00C23BDC">
        <w:rPr>
          <w:rFonts w:ascii="Arial" w:hAnsi="Arial" w:cs="Arial"/>
          <w:sz w:val="20"/>
          <w:szCs w:val="20"/>
        </w:rPr>
        <w:t>se sídlem: Klíšská 977/77, 400 01 Ústí nad Labem</w:t>
      </w: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 xml:space="preserve">IČ: 47785781 </w:t>
      </w: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>DIČ:  CZ47785781</w:t>
      </w: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>Zastoupená: Ing. Zdeňkem Smržem, jednatelem společnosti</w:t>
      </w: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>(dále jen „</w:t>
      </w:r>
      <w:r w:rsidRPr="00C23BDC">
        <w:rPr>
          <w:rFonts w:ascii="Arial" w:hAnsi="Arial" w:cs="Arial"/>
          <w:sz w:val="20"/>
        </w:rPr>
        <w:t>Vlastník technické infrastruktury</w:t>
      </w:r>
      <w:r w:rsidRPr="00C23BDC">
        <w:rPr>
          <w:rFonts w:ascii="Arial" w:hAnsi="Arial" w:cs="Arial"/>
          <w:sz w:val="20"/>
          <w:szCs w:val="20"/>
        </w:rPr>
        <w:t>")</w:t>
      </w:r>
    </w:p>
    <w:p w:rsidR="00701C57" w:rsidRPr="00C23BDC" w:rsidRDefault="00701C57" w:rsidP="00701C57">
      <w:pPr>
        <w:widowControl w:val="0"/>
        <w:ind w:left="360"/>
        <w:jc w:val="both"/>
        <w:rPr>
          <w:rFonts w:ascii="Arial" w:hAnsi="Arial" w:cs="Arial"/>
          <w:szCs w:val="20"/>
        </w:rPr>
      </w:pPr>
    </w:p>
    <w:p w:rsidR="00701C57" w:rsidRPr="00C23BDC" w:rsidRDefault="00701C57" w:rsidP="00D10D7E">
      <w:pPr>
        <w:widowControl w:val="0"/>
        <w:ind w:left="360"/>
        <w:rPr>
          <w:rFonts w:ascii="Arial" w:hAnsi="Arial" w:cs="Arial"/>
          <w:b/>
          <w:sz w:val="20"/>
        </w:rPr>
      </w:pPr>
      <w:r w:rsidRPr="00C23BDC">
        <w:rPr>
          <w:rFonts w:ascii="Arial" w:hAnsi="Arial" w:cs="Arial"/>
          <w:b/>
          <w:sz w:val="20"/>
        </w:rPr>
        <w:t>a</w:t>
      </w:r>
    </w:p>
    <w:p w:rsidR="00701C57" w:rsidRPr="00C23BDC" w:rsidRDefault="00701C57" w:rsidP="00701C57">
      <w:pPr>
        <w:widowControl w:val="0"/>
        <w:ind w:left="360"/>
        <w:jc w:val="center"/>
        <w:rPr>
          <w:rFonts w:ascii="Arial" w:hAnsi="Arial" w:cs="Arial"/>
          <w:bCs/>
          <w:szCs w:val="20"/>
        </w:rPr>
      </w:pPr>
    </w:p>
    <w:p w:rsidR="00701C57" w:rsidRPr="00AE7786" w:rsidRDefault="00AE7786" w:rsidP="00D10D7E">
      <w:pPr>
        <w:pStyle w:val="Nadpis2"/>
        <w:numPr>
          <w:ilvl w:val="0"/>
          <w:numId w:val="0"/>
        </w:numPr>
        <w:ind w:firstLine="360"/>
        <w:jc w:val="left"/>
        <w:rPr>
          <w:rFonts w:ascii="Arial" w:hAnsi="Arial" w:cs="Arial"/>
          <w:sz w:val="20"/>
        </w:rPr>
      </w:pPr>
      <w:r w:rsidRPr="00AE7786">
        <w:rPr>
          <w:rFonts w:ascii="Arial" w:hAnsi="Arial" w:cs="Arial"/>
          <w:color w:val="222222"/>
          <w:sz w:val="20"/>
          <w:shd w:val="clear" w:color="auto" w:fill="FFFFFF"/>
        </w:rPr>
        <w:t>Univerzita Jana Evangelisty Purkyně v Ústí nad Labem</w:t>
      </w:r>
      <w:r w:rsidR="00701C57" w:rsidRPr="00AE7786">
        <w:rPr>
          <w:rFonts w:ascii="Arial" w:hAnsi="Arial" w:cs="Arial"/>
          <w:sz w:val="20"/>
        </w:rPr>
        <w:t xml:space="preserve"> </w:t>
      </w:r>
    </w:p>
    <w:p w:rsidR="00701C57" w:rsidRPr="00C23BDC" w:rsidRDefault="00701C57" w:rsidP="00701C57">
      <w:pPr>
        <w:pStyle w:val="Nadpis2"/>
        <w:numPr>
          <w:ilvl w:val="0"/>
          <w:numId w:val="0"/>
        </w:numPr>
        <w:ind w:firstLine="360"/>
        <w:jc w:val="left"/>
        <w:rPr>
          <w:rFonts w:ascii="Arial" w:hAnsi="Arial" w:cs="Arial"/>
          <w:b w:val="0"/>
          <w:bCs/>
          <w:sz w:val="20"/>
        </w:rPr>
      </w:pPr>
      <w:r w:rsidRPr="00C23BDC">
        <w:rPr>
          <w:rFonts w:ascii="Arial" w:hAnsi="Arial" w:cs="Arial"/>
          <w:b w:val="0"/>
          <w:bCs/>
          <w:sz w:val="20"/>
        </w:rPr>
        <w:t xml:space="preserve">se sídlem: </w:t>
      </w:r>
      <w:r w:rsidR="00AE7786" w:rsidRPr="00AE7786">
        <w:rPr>
          <w:rFonts w:ascii="Arial" w:eastAsia="Times New Roman" w:hAnsi="Arial" w:cs="Arial"/>
          <w:b w:val="0"/>
          <w:sz w:val="20"/>
        </w:rPr>
        <w:t>Pasteurova 3544/1, 400 01  Ústí nad Labem</w:t>
      </w:r>
    </w:p>
    <w:p w:rsidR="00701C57" w:rsidRPr="00C23BDC" w:rsidRDefault="00701C57" w:rsidP="00701C57">
      <w:pPr>
        <w:pStyle w:val="Nadpis1"/>
        <w:ind w:left="360"/>
        <w:rPr>
          <w:rFonts w:ascii="Arial" w:hAnsi="Arial" w:cs="Arial"/>
          <w:b w:val="0"/>
          <w:bCs/>
          <w:sz w:val="20"/>
        </w:rPr>
      </w:pPr>
      <w:r w:rsidRPr="00C23BDC">
        <w:rPr>
          <w:rFonts w:ascii="Arial" w:hAnsi="Arial" w:cs="Arial"/>
          <w:b w:val="0"/>
          <w:bCs/>
          <w:sz w:val="20"/>
        </w:rPr>
        <w:t>IČ</w:t>
      </w:r>
      <w:r w:rsidR="00742E6B">
        <w:rPr>
          <w:rFonts w:ascii="Arial" w:hAnsi="Arial" w:cs="Arial"/>
          <w:b w:val="0"/>
          <w:bCs/>
          <w:sz w:val="20"/>
        </w:rPr>
        <w:t>:</w:t>
      </w:r>
      <w:r w:rsidRPr="00C23BDC">
        <w:rPr>
          <w:rFonts w:ascii="Arial" w:hAnsi="Arial" w:cs="Arial"/>
          <w:b w:val="0"/>
          <w:bCs/>
          <w:sz w:val="20"/>
        </w:rPr>
        <w:t> </w:t>
      </w:r>
      <w:r w:rsidR="00691019">
        <w:rPr>
          <w:rFonts w:ascii="Arial" w:hAnsi="Arial" w:cs="Arial"/>
          <w:b w:val="0"/>
          <w:bCs/>
          <w:sz w:val="20"/>
        </w:rPr>
        <w:t>44555601</w:t>
      </w:r>
    </w:p>
    <w:p w:rsidR="00701C57" w:rsidRPr="00C23BDC" w:rsidRDefault="00701C57" w:rsidP="00701C57">
      <w:pPr>
        <w:pStyle w:val="Nadpis1"/>
        <w:ind w:left="360"/>
        <w:rPr>
          <w:rFonts w:ascii="Arial" w:eastAsia="Times New Roman" w:hAnsi="Arial" w:cs="Arial"/>
          <w:b w:val="0"/>
          <w:sz w:val="20"/>
        </w:rPr>
      </w:pPr>
      <w:r w:rsidRPr="00C23BDC">
        <w:rPr>
          <w:rFonts w:ascii="Arial" w:hAnsi="Arial" w:cs="Arial"/>
          <w:b w:val="0"/>
          <w:bCs/>
          <w:sz w:val="20"/>
        </w:rPr>
        <w:t>DIČ:  </w:t>
      </w:r>
      <w:r w:rsidR="00691019">
        <w:rPr>
          <w:rFonts w:ascii="Arial" w:hAnsi="Arial" w:cs="Arial"/>
          <w:b w:val="0"/>
          <w:bCs/>
          <w:sz w:val="20"/>
        </w:rPr>
        <w:t>CZ44555601</w:t>
      </w:r>
    </w:p>
    <w:p w:rsidR="00701C57" w:rsidRPr="00C23BDC" w:rsidRDefault="00701C57" w:rsidP="00701C57">
      <w:pPr>
        <w:pStyle w:val="Nadpis1"/>
        <w:ind w:left="360"/>
        <w:rPr>
          <w:rFonts w:ascii="Arial" w:hAnsi="Arial" w:cs="Arial"/>
          <w:sz w:val="20"/>
        </w:rPr>
      </w:pPr>
      <w:r w:rsidRPr="00C23BDC">
        <w:rPr>
          <w:rFonts w:ascii="Arial" w:hAnsi="Arial" w:cs="Arial"/>
          <w:b w:val="0"/>
          <w:sz w:val="20"/>
        </w:rPr>
        <w:t>Zastoupený:</w:t>
      </w:r>
      <w:r w:rsidRPr="00C23BDC">
        <w:rPr>
          <w:rFonts w:ascii="Arial" w:hAnsi="Arial" w:cs="Arial"/>
          <w:sz w:val="20"/>
        </w:rPr>
        <w:t xml:space="preserve"> </w:t>
      </w:r>
      <w:r w:rsidR="00691019" w:rsidRPr="00691019">
        <w:rPr>
          <w:rFonts w:ascii="Arial" w:hAnsi="Arial" w:cs="Arial"/>
          <w:b w:val="0"/>
          <w:sz w:val="20"/>
        </w:rPr>
        <w:t xml:space="preserve">doc. RNDr. Martinem Balejem, </w:t>
      </w:r>
      <w:r w:rsidR="00D65A08">
        <w:rPr>
          <w:rFonts w:ascii="Arial" w:hAnsi="Arial" w:cs="Arial"/>
          <w:b w:val="0"/>
          <w:sz w:val="20"/>
        </w:rPr>
        <w:t>P</w:t>
      </w:r>
      <w:r w:rsidR="00691019" w:rsidRPr="00691019">
        <w:rPr>
          <w:rFonts w:ascii="Arial" w:hAnsi="Arial" w:cs="Arial"/>
          <w:b w:val="0"/>
          <w:sz w:val="20"/>
        </w:rPr>
        <w:t>h</w:t>
      </w:r>
      <w:r w:rsidR="003B3C7D">
        <w:rPr>
          <w:rFonts w:ascii="Arial" w:hAnsi="Arial" w:cs="Arial"/>
          <w:b w:val="0"/>
          <w:sz w:val="20"/>
        </w:rPr>
        <w:t>.</w:t>
      </w:r>
      <w:r w:rsidR="00691019" w:rsidRPr="00691019">
        <w:rPr>
          <w:rFonts w:ascii="Arial" w:hAnsi="Arial" w:cs="Arial"/>
          <w:b w:val="0"/>
          <w:sz w:val="20"/>
        </w:rPr>
        <w:t>D., rektorem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701C57" w:rsidRPr="00C23BDC" w:rsidRDefault="00701C57" w:rsidP="00701C57">
      <w:pPr>
        <w:tabs>
          <w:tab w:val="left" w:pos="284"/>
        </w:tabs>
        <w:ind w:left="284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 xml:space="preserve"> (dále jen „</w:t>
      </w:r>
      <w:r w:rsidRPr="00C23BDC">
        <w:rPr>
          <w:rFonts w:ascii="Arial" w:hAnsi="Arial" w:cs="Arial"/>
          <w:sz w:val="20"/>
        </w:rPr>
        <w:t>Žadatel</w:t>
      </w:r>
      <w:r w:rsidRPr="00C23BDC">
        <w:rPr>
          <w:rFonts w:ascii="Arial" w:hAnsi="Arial" w:cs="Arial"/>
          <w:sz w:val="20"/>
          <w:szCs w:val="20"/>
        </w:rPr>
        <w:t>")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</w:rPr>
      </w:pPr>
      <w:r w:rsidRPr="00C23BDC">
        <w:rPr>
          <w:rFonts w:ascii="Arial" w:hAnsi="Arial" w:cs="Arial"/>
          <w:sz w:val="20"/>
        </w:rPr>
        <w:t xml:space="preserve">      (oba též jako „smluvní strany“),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701C57" w:rsidRPr="00C23BDC" w:rsidRDefault="00701C57" w:rsidP="00701C57">
      <w:pPr>
        <w:widowControl w:val="0"/>
        <w:jc w:val="center"/>
        <w:rPr>
          <w:rFonts w:ascii="Arial" w:hAnsi="Arial" w:cs="Arial"/>
          <w:b/>
          <w:szCs w:val="20"/>
        </w:rPr>
      </w:pPr>
    </w:p>
    <w:p w:rsidR="00701C57" w:rsidRPr="00C23BDC" w:rsidRDefault="00701C57" w:rsidP="00701C57">
      <w:pPr>
        <w:widowControl w:val="0"/>
        <w:jc w:val="center"/>
        <w:rPr>
          <w:rFonts w:ascii="Arial" w:hAnsi="Arial" w:cs="Arial"/>
          <w:b/>
          <w:szCs w:val="20"/>
        </w:rPr>
      </w:pPr>
      <w:r w:rsidRPr="00C23BDC">
        <w:rPr>
          <w:rFonts w:ascii="Arial" w:hAnsi="Arial" w:cs="Arial"/>
          <w:b/>
        </w:rPr>
        <w:t>Čl. I.</w:t>
      </w:r>
    </w:p>
    <w:p w:rsidR="00701C57" w:rsidRPr="00C23BDC" w:rsidRDefault="00701C57" w:rsidP="00701C57">
      <w:pPr>
        <w:pStyle w:val="Nadpis3"/>
        <w:rPr>
          <w:szCs w:val="20"/>
        </w:rPr>
      </w:pPr>
      <w:r w:rsidRPr="00C23BDC">
        <w:t>Úvodní ustanovení</w:t>
      </w:r>
    </w:p>
    <w:p w:rsidR="00701C57" w:rsidRPr="00C23BDC" w:rsidRDefault="00701C57" w:rsidP="00701C57">
      <w:pPr>
        <w:tabs>
          <w:tab w:val="left" w:pos="850"/>
        </w:tabs>
        <w:jc w:val="both"/>
        <w:rPr>
          <w:rFonts w:ascii="Arial" w:hAnsi="Arial" w:cs="Arial"/>
          <w:sz w:val="20"/>
        </w:rPr>
      </w:pPr>
      <w:r w:rsidRPr="00C23BDC">
        <w:rPr>
          <w:rFonts w:ascii="Arial" w:hAnsi="Arial" w:cs="Arial"/>
          <w:bCs/>
          <w:sz w:val="20"/>
        </w:rPr>
        <w:t xml:space="preserve">1. </w:t>
      </w:r>
      <w:r w:rsidRPr="00C23BDC">
        <w:rPr>
          <w:rFonts w:ascii="Arial" w:hAnsi="Arial" w:cs="Arial"/>
          <w:sz w:val="20"/>
        </w:rPr>
        <w:t>Vlastník technické infrastruktury je oprávněn vykonávat komunikační činnosti ve smyslu ustanovení § 7 zákona č. 127/2005 Sb., o elektronických komunikacích a o změně některých souvisejících zákonů (dále jen zákon o elektronických komunikacích).</w:t>
      </w: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0"/>
        </w:rPr>
      </w:pP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0"/>
        </w:rPr>
      </w:pPr>
      <w:r w:rsidRPr="00C23BDC">
        <w:rPr>
          <w:rFonts w:ascii="Arial" w:hAnsi="Arial" w:cs="Arial"/>
          <w:b w:val="0"/>
          <w:sz w:val="20"/>
        </w:rPr>
        <w:t>2. Smluvní strany prohlašují, že údaje v této smlouvě uvedené jsou v souladu se skutečností v době uzavření smlouvy. Smluvní strany se zavazují, že případné změny dotčených údajů oznámí bez prodlení druhé smluvní straně.</w:t>
      </w: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0"/>
        </w:rPr>
      </w:pP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0"/>
        </w:rPr>
      </w:pPr>
      <w:r w:rsidRPr="00C23BDC">
        <w:rPr>
          <w:rFonts w:ascii="Arial" w:hAnsi="Arial" w:cs="Arial"/>
          <w:b w:val="0"/>
          <w:sz w:val="20"/>
        </w:rPr>
        <w:t>3. Smluvní strany výslovně prohlašují, že tato smlouva je uzavírána ve smyslu ustanovení § 86 odst. 2 písm. c) a d) zákona č.183/2006 Sb., stavebního zákona v platném znění pro potřeby stavebního řízení.</w:t>
      </w: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0"/>
        </w:rPr>
      </w:pPr>
    </w:p>
    <w:p w:rsidR="00701C57" w:rsidRPr="00C23BDC" w:rsidRDefault="00701C57" w:rsidP="00701C57">
      <w:pPr>
        <w:pStyle w:val="Zkladntext2"/>
        <w:rPr>
          <w:rFonts w:ascii="Arial" w:hAnsi="Arial" w:cs="Arial"/>
          <w:b w:val="0"/>
          <w:sz w:val="24"/>
        </w:rPr>
      </w:pPr>
    </w:p>
    <w:p w:rsidR="00701C57" w:rsidRPr="00C23BDC" w:rsidRDefault="00701C57" w:rsidP="00701C57">
      <w:pPr>
        <w:widowControl w:val="0"/>
        <w:jc w:val="center"/>
        <w:rPr>
          <w:rFonts w:ascii="Arial" w:hAnsi="Arial" w:cs="Arial"/>
          <w:b/>
          <w:szCs w:val="20"/>
        </w:rPr>
      </w:pPr>
      <w:r w:rsidRPr="00C23BDC">
        <w:rPr>
          <w:rFonts w:ascii="Arial" w:hAnsi="Arial" w:cs="Arial"/>
          <w:b/>
        </w:rPr>
        <w:t>Čl. II.</w:t>
      </w:r>
    </w:p>
    <w:p w:rsidR="00701C57" w:rsidRPr="00C23BDC" w:rsidRDefault="00701C57" w:rsidP="00701C57">
      <w:pPr>
        <w:pStyle w:val="Nadpis3"/>
        <w:rPr>
          <w:szCs w:val="20"/>
        </w:rPr>
      </w:pPr>
      <w:r w:rsidRPr="00C23BDC">
        <w:t>Předmět smlouvy</w:t>
      </w:r>
    </w:p>
    <w:p w:rsidR="00164703" w:rsidRPr="003B3C7D" w:rsidRDefault="00701C57" w:rsidP="003B3C7D">
      <w:pPr>
        <w:jc w:val="both"/>
        <w:rPr>
          <w:rFonts w:ascii="Arial" w:hAnsi="Arial" w:cs="Arial"/>
          <w:sz w:val="20"/>
          <w:szCs w:val="20"/>
          <w:lang w:eastAsia="cs-CZ"/>
        </w:rPr>
      </w:pPr>
      <w:r w:rsidRPr="00164703">
        <w:rPr>
          <w:rFonts w:ascii="Arial" w:hAnsi="Arial" w:cs="Arial"/>
          <w:sz w:val="20"/>
          <w:szCs w:val="20"/>
        </w:rPr>
        <w:t>1. Žadatel prohlašuje, že hodlá vybudovat stavbu „</w:t>
      </w:r>
      <w:r w:rsidR="00B951E8" w:rsidRPr="00164703">
        <w:rPr>
          <w:rFonts w:ascii="Arial" w:hAnsi="Arial" w:cs="Arial"/>
          <w:b/>
          <w:sz w:val="20"/>
          <w:szCs w:val="20"/>
        </w:rPr>
        <w:t>U21 – UJEP Výstavba výukových prostor Fakulty zdravotnických studií</w:t>
      </w:r>
      <w:r w:rsidRPr="003B3C7D">
        <w:rPr>
          <w:rFonts w:ascii="Arial" w:hAnsi="Arial" w:cs="Arial"/>
          <w:b/>
          <w:sz w:val="20"/>
          <w:szCs w:val="20"/>
          <w:lang w:eastAsia="cs-CZ"/>
        </w:rPr>
        <w:t>“</w:t>
      </w:r>
      <w:r w:rsidRPr="003B3C7D">
        <w:rPr>
          <w:rFonts w:ascii="Arial" w:hAnsi="Arial" w:cs="Arial"/>
          <w:sz w:val="20"/>
          <w:szCs w:val="20"/>
        </w:rPr>
        <w:t xml:space="preserve"> v k. </w:t>
      </w:r>
      <w:proofErr w:type="spellStart"/>
      <w:r w:rsidRPr="003B3C7D">
        <w:rPr>
          <w:rFonts w:ascii="Arial" w:hAnsi="Arial" w:cs="Arial"/>
          <w:sz w:val="20"/>
          <w:szCs w:val="20"/>
        </w:rPr>
        <w:t>ú.</w:t>
      </w:r>
      <w:proofErr w:type="spellEnd"/>
      <w:r w:rsidRPr="003B3C7D">
        <w:rPr>
          <w:rFonts w:ascii="Arial" w:hAnsi="Arial" w:cs="Arial"/>
          <w:sz w:val="20"/>
          <w:szCs w:val="20"/>
        </w:rPr>
        <w:t xml:space="preserve"> </w:t>
      </w:r>
      <w:r w:rsidR="00B951E8" w:rsidRPr="003B3C7D">
        <w:rPr>
          <w:rFonts w:ascii="Arial" w:hAnsi="Arial" w:cs="Arial"/>
          <w:sz w:val="20"/>
          <w:szCs w:val="20"/>
        </w:rPr>
        <w:t>Bukov</w:t>
      </w:r>
      <w:r w:rsidRPr="003B3C7D">
        <w:rPr>
          <w:rFonts w:ascii="Arial" w:hAnsi="Arial" w:cs="Arial"/>
          <w:sz w:val="20"/>
          <w:szCs w:val="20"/>
        </w:rPr>
        <w:t>. V důsledku této stavby dojde ke kolizi se sítěmi ve vlastnictví Vlastníka technické infrastruktury. Tyto sítě je nutné přeložit a ochránit. Žadatel bere na vědomí</w:t>
      </w:r>
      <w:r w:rsidR="0039164B" w:rsidRPr="003B3C7D">
        <w:rPr>
          <w:rFonts w:ascii="Arial" w:hAnsi="Arial" w:cs="Arial"/>
          <w:sz w:val="20"/>
          <w:szCs w:val="20"/>
        </w:rPr>
        <w:t xml:space="preserve"> a souhlasí, ž</w:t>
      </w:r>
      <w:r w:rsidRPr="003B3C7D">
        <w:rPr>
          <w:rFonts w:ascii="Arial" w:hAnsi="Arial" w:cs="Arial"/>
          <w:sz w:val="20"/>
          <w:szCs w:val="20"/>
        </w:rPr>
        <w:t>e veškeré náklady na překládku sítí nese Žadatel, který ji touto stavbou vyvolal.</w:t>
      </w:r>
      <w:r w:rsidR="005226BA" w:rsidRPr="003B3C7D">
        <w:rPr>
          <w:rFonts w:ascii="Arial" w:hAnsi="Arial" w:cs="Arial"/>
          <w:sz w:val="20"/>
          <w:szCs w:val="20"/>
        </w:rPr>
        <w:t xml:space="preserve"> </w:t>
      </w:r>
      <w:r w:rsidRPr="003B3C7D">
        <w:rPr>
          <w:rFonts w:ascii="Arial" w:hAnsi="Arial" w:cs="Arial"/>
          <w:sz w:val="20"/>
          <w:szCs w:val="20"/>
        </w:rPr>
        <w:t>Vlastník technické infrastruktury prohlašuje, že překládku sítě zajistí na základě smlouvy o dílo</w:t>
      </w:r>
      <w:r w:rsidR="00211EAA" w:rsidRPr="003B3C7D">
        <w:rPr>
          <w:rFonts w:ascii="Arial" w:hAnsi="Arial" w:cs="Arial"/>
          <w:sz w:val="20"/>
          <w:szCs w:val="20"/>
        </w:rPr>
        <w:t>,</w:t>
      </w:r>
      <w:r w:rsidRPr="003B3C7D">
        <w:rPr>
          <w:rFonts w:ascii="Arial" w:hAnsi="Arial" w:cs="Arial"/>
          <w:sz w:val="20"/>
          <w:szCs w:val="20"/>
        </w:rPr>
        <w:t xml:space="preserve"> kterou je Žadatel s Vlastníkem technické infrastruktury povinen uzavřít </w:t>
      </w:r>
      <w:r w:rsidR="005226BA" w:rsidRPr="003B3C7D">
        <w:rPr>
          <w:rFonts w:ascii="Arial" w:hAnsi="Arial" w:cs="Arial"/>
          <w:sz w:val="20"/>
          <w:szCs w:val="20"/>
        </w:rPr>
        <w:t>v dostatečné předstihu</w:t>
      </w:r>
      <w:r w:rsidR="00361849" w:rsidRPr="003B3C7D">
        <w:rPr>
          <w:rFonts w:ascii="Arial" w:hAnsi="Arial" w:cs="Arial"/>
          <w:sz w:val="20"/>
          <w:szCs w:val="20"/>
        </w:rPr>
        <w:t xml:space="preserve"> </w:t>
      </w:r>
      <w:r w:rsidR="00164703" w:rsidRPr="003B3C7D">
        <w:rPr>
          <w:rFonts w:ascii="Arial" w:hAnsi="Arial" w:cs="Arial"/>
          <w:sz w:val="20"/>
          <w:szCs w:val="20"/>
        </w:rPr>
        <w:t>p</w:t>
      </w:r>
      <w:r w:rsidRPr="003B3C7D">
        <w:rPr>
          <w:rFonts w:ascii="Arial" w:hAnsi="Arial" w:cs="Arial"/>
          <w:sz w:val="20"/>
          <w:szCs w:val="20"/>
        </w:rPr>
        <w:t>řed zahájením realizace stavby.</w:t>
      </w:r>
      <w:r w:rsidR="00164703" w:rsidRPr="003B3C7D">
        <w:rPr>
          <w:rFonts w:ascii="Arial" w:hAnsi="Arial" w:cs="Arial"/>
          <w:sz w:val="20"/>
          <w:szCs w:val="20"/>
          <w:lang w:eastAsia="cs-CZ"/>
        </w:rPr>
        <w:t xml:space="preserve"> Smluvní strany prohlašují, že cena za dílo Objekt (</w:t>
      </w:r>
      <w:r w:rsidR="00164703" w:rsidRPr="00164703">
        <w:rPr>
          <w:rFonts w:ascii="Arial" w:hAnsi="Arial" w:cs="Arial"/>
          <w:sz w:val="20"/>
          <w:szCs w:val="20"/>
          <w:lang w:eastAsia="cs-CZ"/>
        </w:rPr>
        <w:t>IO 560)</w:t>
      </w:r>
      <w:r w:rsidR="00164703" w:rsidRPr="003B3C7D">
        <w:rPr>
          <w:rFonts w:ascii="Arial" w:hAnsi="Arial" w:cs="Arial"/>
          <w:sz w:val="20"/>
          <w:szCs w:val="20"/>
          <w:lang w:eastAsia="cs-CZ"/>
        </w:rPr>
        <w:t xml:space="preserve"> činí 97.496,-Kč bez DPH</w:t>
      </w:r>
      <w:r w:rsidR="00164703">
        <w:rPr>
          <w:rFonts w:ascii="Arial" w:hAnsi="Arial" w:cs="Arial"/>
          <w:sz w:val="20"/>
          <w:szCs w:val="20"/>
          <w:lang w:eastAsia="cs-CZ"/>
        </w:rPr>
        <w:t>.</w:t>
      </w:r>
    </w:p>
    <w:p w:rsidR="00701C57" w:rsidRPr="00C23BDC" w:rsidRDefault="00701C57" w:rsidP="0016470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701C57" w:rsidRPr="00C23BDC" w:rsidRDefault="00701C57" w:rsidP="00701C57">
      <w:pPr>
        <w:widowControl w:val="0"/>
        <w:jc w:val="center"/>
        <w:rPr>
          <w:rFonts w:ascii="Arial" w:hAnsi="Arial" w:cs="Arial"/>
          <w:b/>
          <w:szCs w:val="20"/>
        </w:rPr>
      </w:pPr>
      <w:r w:rsidRPr="00C23BDC">
        <w:rPr>
          <w:rFonts w:ascii="Arial" w:hAnsi="Arial" w:cs="Arial"/>
          <w:b/>
        </w:rPr>
        <w:t>Čl. III.</w:t>
      </w:r>
    </w:p>
    <w:p w:rsidR="00701C57" w:rsidRPr="00C23BDC" w:rsidRDefault="00701C57" w:rsidP="00701C57">
      <w:pPr>
        <w:pStyle w:val="Nadpis3"/>
        <w:rPr>
          <w:szCs w:val="20"/>
        </w:rPr>
      </w:pPr>
      <w:r w:rsidRPr="00C23BDC">
        <w:t>Další ujednání</w:t>
      </w:r>
    </w:p>
    <w:p w:rsidR="0039164B" w:rsidRDefault="00701C57" w:rsidP="00701C57">
      <w:pPr>
        <w:widowControl w:val="0"/>
        <w:jc w:val="both"/>
        <w:rPr>
          <w:rFonts w:ascii="Arial" w:hAnsi="Arial" w:cs="Arial"/>
          <w:sz w:val="20"/>
        </w:rPr>
      </w:pPr>
      <w:r w:rsidRPr="00C23BDC">
        <w:rPr>
          <w:rFonts w:ascii="Arial" w:hAnsi="Arial" w:cs="Arial"/>
          <w:sz w:val="20"/>
        </w:rPr>
        <w:t xml:space="preserve">1. </w:t>
      </w:r>
      <w:r w:rsidR="00AD10B1">
        <w:rPr>
          <w:rFonts w:ascii="Arial" w:hAnsi="Arial" w:cs="Arial"/>
          <w:sz w:val="20"/>
        </w:rPr>
        <w:t xml:space="preserve"> </w:t>
      </w:r>
      <w:r w:rsidR="0039164B">
        <w:rPr>
          <w:rFonts w:ascii="Arial" w:hAnsi="Arial" w:cs="Arial"/>
          <w:sz w:val="20"/>
        </w:rPr>
        <w:t>P</w:t>
      </w:r>
      <w:r w:rsidR="0039164B" w:rsidRPr="00C23BDC">
        <w:rPr>
          <w:rFonts w:ascii="Arial" w:hAnsi="Arial" w:cs="Arial"/>
          <w:sz w:val="20"/>
        </w:rPr>
        <w:t>řekládk</w:t>
      </w:r>
      <w:r w:rsidR="0039164B">
        <w:rPr>
          <w:rFonts w:ascii="Arial" w:hAnsi="Arial" w:cs="Arial"/>
          <w:sz w:val="20"/>
        </w:rPr>
        <w:t>u</w:t>
      </w:r>
      <w:r w:rsidR="0039164B" w:rsidRPr="00C23BDC">
        <w:rPr>
          <w:rFonts w:ascii="Arial" w:hAnsi="Arial" w:cs="Arial"/>
          <w:sz w:val="20"/>
        </w:rPr>
        <w:t xml:space="preserve"> sítě elektronických komunikací</w:t>
      </w:r>
      <w:r w:rsidR="0039164B">
        <w:rPr>
          <w:rFonts w:ascii="Arial" w:hAnsi="Arial" w:cs="Arial"/>
          <w:sz w:val="20"/>
        </w:rPr>
        <w:t xml:space="preserve"> v majetku V</w:t>
      </w:r>
      <w:r w:rsidR="0039164B" w:rsidRPr="00C23BDC">
        <w:rPr>
          <w:rFonts w:ascii="Arial" w:hAnsi="Arial" w:cs="Arial"/>
          <w:sz w:val="20"/>
        </w:rPr>
        <w:t>lastník</w:t>
      </w:r>
      <w:r w:rsidR="0039164B">
        <w:rPr>
          <w:rFonts w:ascii="Arial" w:hAnsi="Arial" w:cs="Arial"/>
          <w:sz w:val="20"/>
        </w:rPr>
        <w:t>a</w:t>
      </w:r>
      <w:r w:rsidR="0039164B" w:rsidRPr="00C23BDC">
        <w:rPr>
          <w:rFonts w:ascii="Arial" w:hAnsi="Arial" w:cs="Arial"/>
          <w:sz w:val="20"/>
        </w:rPr>
        <w:t xml:space="preserve"> technické infrastruktury</w:t>
      </w:r>
      <w:r w:rsidR="0039164B">
        <w:rPr>
          <w:rFonts w:ascii="Arial" w:hAnsi="Arial" w:cs="Arial"/>
          <w:sz w:val="20"/>
        </w:rPr>
        <w:t xml:space="preserve"> technicky řeší Objekt IO 560 Přeložky stávajícího slaboproudého vedení. Na tento objekt </w:t>
      </w:r>
      <w:r w:rsidR="00211EAA">
        <w:rPr>
          <w:rFonts w:ascii="Arial" w:hAnsi="Arial" w:cs="Arial"/>
          <w:sz w:val="20"/>
        </w:rPr>
        <w:t xml:space="preserve">je </w:t>
      </w:r>
      <w:r w:rsidR="0039164B">
        <w:rPr>
          <w:rFonts w:ascii="Arial" w:hAnsi="Arial" w:cs="Arial"/>
          <w:sz w:val="20"/>
        </w:rPr>
        <w:t>V</w:t>
      </w:r>
      <w:r w:rsidR="0039164B" w:rsidRPr="00C23BDC">
        <w:rPr>
          <w:rFonts w:ascii="Arial" w:hAnsi="Arial" w:cs="Arial"/>
          <w:sz w:val="20"/>
        </w:rPr>
        <w:t>lastník</w:t>
      </w:r>
      <w:r w:rsidR="0039164B">
        <w:rPr>
          <w:rFonts w:ascii="Arial" w:hAnsi="Arial" w:cs="Arial"/>
          <w:sz w:val="20"/>
        </w:rPr>
        <w:t>em</w:t>
      </w:r>
      <w:r w:rsidR="0039164B" w:rsidRPr="00C23BDC">
        <w:rPr>
          <w:rFonts w:ascii="Arial" w:hAnsi="Arial" w:cs="Arial"/>
          <w:sz w:val="20"/>
        </w:rPr>
        <w:t xml:space="preserve"> technické infrastruktury</w:t>
      </w:r>
      <w:r w:rsidR="0039164B">
        <w:rPr>
          <w:rFonts w:ascii="Arial" w:hAnsi="Arial" w:cs="Arial"/>
          <w:sz w:val="20"/>
        </w:rPr>
        <w:t xml:space="preserve"> vypracována projektová dokumentace řešící postup provedení přeložky. Vypracovaná PD bude pro Žadatele závazná a její zhotovení se zavazuje uhradit</w:t>
      </w:r>
      <w:r w:rsidR="009278C5">
        <w:rPr>
          <w:rFonts w:ascii="Arial" w:hAnsi="Arial" w:cs="Arial"/>
          <w:sz w:val="20"/>
        </w:rPr>
        <w:t>.</w:t>
      </w:r>
    </w:p>
    <w:p w:rsidR="0039164B" w:rsidRDefault="0039164B" w:rsidP="00701C57">
      <w:pPr>
        <w:widowControl w:val="0"/>
        <w:jc w:val="both"/>
        <w:rPr>
          <w:rFonts w:ascii="Arial" w:hAnsi="Arial" w:cs="Arial"/>
          <w:sz w:val="20"/>
        </w:rPr>
      </w:pPr>
    </w:p>
    <w:p w:rsidR="00701C57" w:rsidRPr="00C23BDC" w:rsidRDefault="0039164B" w:rsidP="00701C57">
      <w:pPr>
        <w:widowControl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AA298E">
        <w:rPr>
          <w:rFonts w:ascii="Arial" w:hAnsi="Arial" w:cs="Arial"/>
          <w:sz w:val="20"/>
        </w:rPr>
        <w:t>Objekt IO 560 Přeložky stávajícího slaboproudého vedení</w:t>
      </w:r>
      <w:r w:rsidR="00AA298E" w:rsidRPr="00C23BDC">
        <w:rPr>
          <w:rFonts w:ascii="Arial" w:hAnsi="Arial" w:cs="Arial"/>
          <w:sz w:val="20"/>
        </w:rPr>
        <w:t xml:space="preserve"> </w:t>
      </w:r>
      <w:r w:rsidR="002475DE">
        <w:rPr>
          <w:rFonts w:ascii="Arial" w:hAnsi="Arial" w:cs="Arial"/>
          <w:sz w:val="20"/>
        </w:rPr>
        <w:t>je povolen vydaným územním rozhodnutím č. j. MMUL/SO/S/199206/2018/</w:t>
      </w:r>
      <w:proofErr w:type="spellStart"/>
      <w:r w:rsidR="002475DE">
        <w:rPr>
          <w:rFonts w:ascii="Arial" w:hAnsi="Arial" w:cs="Arial"/>
          <w:sz w:val="20"/>
        </w:rPr>
        <w:t>VaL</w:t>
      </w:r>
      <w:proofErr w:type="spellEnd"/>
      <w:r w:rsidR="002475DE">
        <w:rPr>
          <w:rFonts w:ascii="Arial" w:hAnsi="Arial" w:cs="Arial"/>
          <w:sz w:val="20"/>
        </w:rPr>
        <w:t xml:space="preserve"> ze dne 14.</w:t>
      </w:r>
      <w:r w:rsidR="00CC34CD">
        <w:rPr>
          <w:rFonts w:ascii="Arial" w:hAnsi="Arial" w:cs="Arial"/>
          <w:sz w:val="20"/>
        </w:rPr>
        <w:t xml:space="preserve"> 6</w:t>
      </w:r>
      <w:r w:rsidR="002475DE">
        <w:rPr>
          <w:rFonts w:ascii="Arial" w:hAnsi="Arial" w:cs="Arial"/>
          <w:sz w:val="20"/>
        </w:rPr>
        <w:t>.</w:t>
      </w:r>
      <w:r w:rsidR="00CC34CD">
        <w:rPr>
          <w:rFonts w:ascii="Arial" w:hAnsi="Arial" w:cs="Arial"/>
          <w:sz w:val="20"/>
        </w:rPr>
        <w:t xml:space="preserve"> </w:t>
      </w:r>
      <w:r w:rsidR="002475DE">
        <w:rPr>
          <w:rFonts w:ascii="Arial" w:hAnsi="Arial" w:cs="Arial"/>
          <w:sz w:val="20"/>
        </w:rPr>
        <w:t>2018</w:t>
      </w:r>
      <w:r w:rsidR="007E1A95">
        <w:rPr>
          <w:rFonts w:ascii="Arial" w:hAnsi="Arial" w:cs="Arial"/>
          <w:sz w:val="20"/>
        </w:rPr>
        <w:t xml:space="preserve"> – „</w:t>
      </w:r>
      <w:r w:rsidR="007E1A95" w:rsidRPr="00AE7786">
        <w:rPr>
          <w:rFonts w:ascii="Arial" w:hAnsi="Arial" w:cs="Arial"/>
          <w:b/>
          <w:sz w:val="20"/>
          <w:szCs w:val="20"/>
        </w:rPr>
        <w:t>U21 – UJEP Výstavba výukových prostor Fakulty zdravotnických studií</w:t>
      </w:r>
      <w:r w:rsidR="007E1A95">
        <w:rPr>
          <w:rFonts w:ascii="Arial" w:hAnsi="Arial" w:cs="Arial"/>
          <w:b/>
          <w:sz w:val="20"/>
          <w:szCs w:val="20"/>
        </w:rPr>
        <w:t>“</w:t>
      </w:r>
      <w:r w:rsidR="002475DE">
        <w:rPr>
          <w:rFonts w:ascii="Arial" w:hAnsi="Arial" w:cs="Arial"/>
          <w:sz w:val="20"/>
        </w:rPr>
        <w:t>.</w:t>
      </w:r>
      <w:r w:rsidR="00701C57" w:rsidRPr="00C23BDC">
        <w:rPr>
          <w:rFonts w:ascii="Arial" w:hAnsi="Arial" w:cs="Arial"/>
          <w:sz w:val="20"/>
        </w:rPr>
        <w:t xml:space="preserve"> 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</w:rPr>
      </w:pPr>
      <w:r w:rsidRPr="00C23BDC">
        <w:rPr>
          <w:rFonts w:ascii="Arial" w:hAnsi="Arial" w:cs="Arial"/>
          <w:sz w:val="20"/>
        </w:rPr>
        <w:t xml:space="preserve"> </w:t>
      </w:r>
    </w:p>
    <w:p w:rsidR="00701C57" w:rsidRDefault="0039164B" w:rsidP="00701C57">
      <w:pPr>
        <w:widowControl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701C57" w:rsidRPr="00C23BDC">
        <w:rPr>
          <w:rFonts w:ascii="Arial" w:hAnsi="Arial" w:cs="Arial"/>
          <w:sz w:val="20"/>
        </w:rPr>
        <w:t xml:space="preserve"> </w:t>
      </w:r>
      <w:r w:rsidR="00AD10B1">
        <w:rPr>
          <w:rFonts w:ascii="Arial" w:hAnsi="Arial" w:cs="Arial"/>
          <w:sz w:val="20"/>
        </w:rPr>
        <w:t xml:space="preserve"> </w:t>
      </w:r>
      <w:r w:rsidR="00701C57" w:rsidRPr="00C23BDC">
        <w:rPr>
          <w:rFonts w:ascii="Arial" w:hAnsi="Arial" w:cs="Arial"/>
          <w:sz w:val="20"/>
        </w:rPr>
        <w:t>V nové trase, sítě e</w:t>
      </w:r>
      <w:r w:rsidR="00AD10B1">
        <w:rPr>
          <w:rFonts w:ascii="Arial" w:hAnsi="Arial" w:cs="Arial"/>
          <w:sz w:val="20"/>
        </w:rPr>
        <w:t>lektronických komunikací, budou</w:t>
      </w:r>
      <w:r w:rsidR="00AA298E">
        <w:rPr>
          <w:rFonts w:ascii="Arial" w:hAnsi="Arial" w:cs="Arial"/>
          <w:sz w:val="20"/>
        </w:rPr>
        <w:t xml:space="preserve"> </w:t>
      </w:r>
      <w:r w:rsidR="00701C57" w:rsidRPr="00C23BDC">
        <w:rPr>
          <w:rFonts w:ascii="Arial" w:hAnsi="Arial" w:cs="Arial"/>
          <w:sz w:val="20"/>
        </w:rPr>
        <w:t xml:space="preserve">uloženy </w:t>
      </w:r>
      <w:r w:rsidR="00AE7786">
        <w:rPr>
          <w:rFonts w:ascii="Arial" w:hAnsi="Arial" w:cs="Arial"/>
          <w:sz w:val="20"/>
        </w:rPr>
        <w:t xml:space="preserve">tři HDPE </w:t>
      </w:r>
      <w:r w:rsidR="00701C57" w:rsidRPr="00C23BDC">
        <w:rPr>
          <w:rFonts w:ascii="Arial" w:hAnsi="Arial" w:cs="Arial"/>
          <w:sz w:val="20"/>
        </w:rPr>
        <w:t>trubk</w:t>
      </w:r>
      <w:r w:rsidR="00AE7786">
        <w:rPr>
          <w:rFonts w:ascii="Arial" w:hAnsi="Arial" w:cs="Arial"/>
          <w:sz w:val="20"/>
        </w:rPr>
        <w:t>y</w:t>
      </w:r>
      <w:r w:rsidR="00DA35BF">
        <w:rPr>
          <w:rFonts w:ascii="Arial" w:hAnsi="Arial" w:cs="Arial"/>
          <w:sz w:val="20"/>
        </w:rPr>
        <w:t>, určené pro instalaci komunikačních kabelu</w:t>
      </w:r>
      <w:r w:rsidR="00AE7786">
        <w:rPr>
          <w:rFonts w:ascii="Arial" w:hAnsi="Arial" w:cs="Arial"/>
          <w:sz w:val="20"/>
        </w:rPr>
        <w:t>.</w:t>
      </w:r>
    </w:p>
    <w:p w:rsidR="00B0688B" w:rsidRDefault="00B0688B" w:rsidP="00701C57">
      <w:pPr>
        <w:widowControl w:val="0"/>
        <w:jc w:val="both"/>
        <w:rPr>
          <w:rFonts w:ascii="Arial" w:hAnsi="Arial" w:cs="Arial"/>
          <w:sz w:val="20"/>
        </w:rPr>
      </w:pPr>
    </w:p>
    <w:p w:rsidR="00701C57" w:rsidRPr="00C23BDC" w:rsidRDefault="00701C57" w:rsidP="00701C57">
      <w:pPr>
        <w:widowControl w:val="0"/>
        <w:jc w:val="center"/>
        <w:rPr>
          <w:rFonts w:ascii="Arial" w:hAnsi="Arial" w:cs="Arial"/>
          <w:b/>
          <w:szCs w:val="20"/>
        </w:rPr>
      </w:pPr>
      <w:r w:rsidRPr="00C23BDC">
        <w:rPr>
          <w:rFonts w:ascii="Arial" w:hAnsi="Arial" w:cs="Arial"/>
          <w:b/>
        </w:rPr>
        <w:t>Čl. IV.</w:t>
      </w:r>
    </w:p>
    <w:p w:rsidR="00701C57" w:rsidRPr="00C23BDC" w:rsidRDefault="00701C57" w:rsidP="00701C57">
      <w:pPr>
        <w:pStyle w:val="Nadpis3"/>
        <w:rPr>
          <w:szCs w:val="20"/>
        </w:rPr>
      </w:pPr>
      <w:r w:rsidRPr="00C23BDC">
        <w:t>Závěrečná ustanovení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</w:rPr>
        <w:t>1. Smluvní strany se dohodly, že technické, organizační a bezpečnostní podmínky související se zřizováním a provozováním sítě elektronických komunikací v nemovitosti či na nemovitosti budou předmětem jiných ujednání po vydání územního rozhodnutí o umístění stavby a stavebního povolení a nejsou součástí této smlouvy.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3B3C7D" w:rsidRPr="00E40695" w:rsidRDefault="00701C57" w:rsidP="003B3C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</w:rPr>
        <w:t xml:space="preserve">2. </w:t>
      </w:r>
      <w:r w:rsidR="003B3C7D" w:rsidRPr="00E40695">
        <w:rPr>
          <w:rFonts w:ascii="Arial" w:hAnsi="Arial" w:cs="Arial"/>
          <w:sz w:val="20"/>
          <w:szCs w:val="20"/>
        </w:rPr>
        <w:t xml:space="preserve">Smluvní strany berou na vědomí, že </w:t>
      </w:r>
      <w:r w:rsidR="003B3C7D">
        <w:rPr>
          <w:rFonts w:ascii="Arial" w:hAnsi="Arial" w:cs="Arial"/>
          <w:sz w:val="20"/>
          <w:szCs w:val="20"/>
        </w:rPr>
        <w:t xml:space="preserve">žadatel </w:t>
      </w:r>
      <w:r w:rsidR="003B3C7D" w:rsidRPr="00E40695">
        <w:rPr>
          <w:rFonts w:ascii="Arial" w:hAnsi="Arial" w:cs="Arial"/>
          <w:sz w:val="20"/>
          <w:szCs w:val="20"/>
        </w:rPr>
        <w:t>je ve smyslu § 2 odst.</w:t>
      </w:r>
      <w:r w:rsidR="00AD10B1">
        <w:rPr>
          <w:rFonts w:ascii="Arial" w:hAnsi="Arial" w:cs="Arial"/>
          <w:sz w:val="20"/>
          <w:szCs w:val="20"/>
        </w:rPr>
        <w:t xml:space="preserve"> </w:t>
      </w:r>
      <w:r w:rsidR="003B3C7D" w:rsidRPr="00E40695">
        <w:rPr>
          <w:rFonts w:ascii="Arial" w:hAnsi="Arial" w:cs="Arial"/>
          <w:sz w:val="20"/>
          <w:szCs w:val="20"/>
        </w:rPr>
        <w:t>1 písm. e) osobou, na n</w:t>
      </w:r>
      <w:r w:rsidR="003B3C7D">
        <w:rPr>
          <w:rFonts w:ascii="Arial" w:hAnsi="Arial" w:cs="Arial"/>
          <w:sz w:val="20"/>
          <w:szCs w:val="20"/>
        </w:rPr>
        <w:t>í</w:t>
      </w:r>
      <w:r w:rsidR="003B3C7D" w:rsidRPr="00E40695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 a ber</w:t>
      </w:r>
      <w:r w:rsidR="003B3C7D">
        <w:rPr>
          <w:rFonts w:ascii="Arial" w:hAnsi="Arial" w:cs="Arial"/>
          <w:sz w:val="20"/>
          <w:szCs w:val="20"/>
        </w:rPr>
        <w:t>ou</w:t>
      </w:r>
      <w:r w:rsidR="003B3C7D" w:rsidRPr="00E40695">
        <w:rPr>
          <w:rFonts w:ascii="Arial" w:hAnsi="Arial" w:cs="Arial"/>
          <w:sz w:val="20"/>
          <w:szCs w:val="20"/>
        </w:rPr>
        <w:t xml:space="preserve"> tuto skutečnost na vědomí</w:t>
      </w:r>
      <w:r w:rsidR="003B3C7D" w:rsidRPr="008E4F05">
        <w:rPr>
          <w:rFonts w:ascii="Arial" w:hAnsi="Arial" w:cs="Arial"/>
          <w:sz w:val="20"/>
          <w:szCs w:val="20"/>
        </w:rPr>
        <w:t xml:space="preserve"> a proti uveřejnění této smlouvy nemají </w:t>
      </w:r>
      <w:r w:rsidR="003B3C7D">
        <w:rPr>
          <w:rFonts w:ascii="Arial" w:hAnsi="Arial" w:cs="Arial"/>
          <w:sz w:val="20"/>
          <w:szCs w:val="20"/>
        </w:rPr>
        <w:t xml:space="preserve">žádných </w:t>
      </w:r>
      <w:r w:rsidR="003B3C7D" w:rsidRPr="008E4F05">
        <w:rPr>
          <w:rFonts w:ascii="Arial" w:hAnsi="Arial" w:cs="Arial"/>
          <w:sz w:val="20"/>
          <w:szCs w:val="20"/>
        </w:rPr>
        <w:t>námitek</w:t>
      </w:r>
      <w:r w:rsidR="003B3C7D" w:rsidRPr="00E40695">
        <w:rPr>
          <w:rFonts w:ascii="Arial" w:hAnsi="Arial" w:cs="Arial"/>
          <w:sz w:val="20"/>
          <w:szCs w:val="20"/>
        </w:rPr>
        <w:t xml:space="preserve">. </w:t>
      </w:r>
      <w:r w:rsidR="003B3C7D" w:rsidRPr="008E4F05">
        <w:rPr>
          <w:rFonts w:ascii="Arial" w:hAnsi="Arial" w:cs="Arial"/>
          <w:sz w:val="20"/>
          <w:szCs w:val="20"/>
        </w:rPr>
        <w:t xml:space="preserve">Smluvní strany </w:t>
      </w:r>
      <w:r w:rsidR="003B3C7D">
        <w:rPr>
          <w:rFonts w:ascii="Arial" w:hAnsi="Arial" w:cs="Arial"/>
          <w:sz w:val="20"/>
          <w:szCs w:val="20"/>
        </w:rPr>
        <w:t xml:space="preserve">prohlašují, že se </w:t>
      </w:r>
      <w:r w:rsidR="003B3C7D" w:rsidRPr="008E4F05">
        <w:rPr>
          <w:rFonts w:ascii="Arial" w:hAnsi="Arial" w:cs="Arial"/>
          <w:sz w:val="20"/>
          <w:szCs w:val="20"/>
        </w:rPr>
        <w:t>dohodly</w:t>
      </w:r>
      <w:r w:rsidR="003B3C7D">
        <w:rPr>
          <w:rFonts w:ascii="Arial" w:hAnsi="Arial" w:cs="Arial"/>
          <w:sz w:val="20"/>
          <w:szCs w:val="20"/>
        </w:rPr>
        <w:t>,</w:t>
      </w:r>
      <w:r w:rsidR="003B3C7D" w:rsidRPr="008E4F05">
        <w:rPr>
          <w:rFonts w:ascii="Arial" w:hAnsi="Arial" w:cs="Arial"/>
          <w:sz w:val="20"/>
          <w:szCs w:val="20"/>
        </w:rPr>
        <w:t xml:space="preserve"> </w:t>
      </w:r>
      <w:r w:rsidR="003B3C7D">
        <w:rPr>
          <w:rFonts w:ascii="Arial" w:hAnsi="Arial" w:cs="Arial"/>
          <w:sz w:val="20"/>
          <w:szCs w:val="20"/>
        </w:rPr>
        <w:t>že žádná z informací, které jso</w:t>
      </w:r>
      <w:bookmarkStart w:id="0" w:name="_GoBack"/>
      <w:bookmarkEnd w:id="0"/>
      <w:r w:rsidR="003B3C7D">
        <w:rPr>
          <w:rFonts w:ascii="Arial" w:hAnsi="Arial" w:cs="Arial"/>
          <w:sz w:val="20"/>
          <w:szCs w:val="20"/>
        </w:rPr>
        <w:t xml:space="preserve">u obsaženy v této smlouvě, není </w:t>
      </w:r>
      <w:r w:rsidR="003B3C7D" w:rsidRPr="008E4F05">
        <w:rPr>
          <w:rFonts w:ascii="Arial" w:hAnsi="Arial" w:cs="Arial"/>
          <w:sz w:val="20"/>
          <w:szCs w:val="20"/>
        </w:rPr>
        <w:t>obchodní</w:t>
      </w:r>
      <w:r w:rsidR="003B3C7D">
        <w:rPr>
          <w:rFonts w:ascii="Arial" w:hAnsi="Arial" w:cs="Arial"/>
          <w:sz w:val="20"/>
          <w:szCs w:val="20"/>
        </w:rPr>
        <w:t>m</w:t>
      </w:r>
      <w:r w:rsidR="003B3C7D" w:rsidRPr="008E4F05">
        <w:rPr>
          <w:rFonts w:ascii="Arial" w:hAnsi="Arial" w:cs="Arial"/>
          <w:sz w:val="20"/>
          <w:szCs w:val="20"/>
        </w:rPr>
        <w:t xml:space="preserve"> tajemství</w:t>
      </w:r>
      <w:r w:rsidR="003B3C7D">
        <w:rPr>
          <w:rFonts w:ascii="Arial" w:hAnsi="Arial" w:cs="Arial"/>
          <w:sz w:val="20"/>
          <w:szCs w:val="20"/>
        </w:rPr>
        <w:t>m</w:t>
      </w:r>
      <w:r w:rsidR="003B3C7D" w:rsidRPr="008E4F05">
        <w:rPr>
          <w:rFonts w:ascii="Arial" w:hAnsi="Arial" w:cs="Arial"/>
          <w:sz w:val="20"/>
          <w:szCs w:val="20"/>
        </w:rPr>
        <w:t xml:space="preserve"> či citlivou informac</w:t>
      </w:r>
      <w:r w:rsidR="003B3C7D">
        <w:rPr>
          <w:rFonts w:ascii="Arial" w:hAnsi="Arial" w:cs="Arial"/>
          <w:sz w:val="20"/>
          <w:szCs w:val="20"/>
        </w:rPr>
        <w:t>í</w:t>
      </w:r>
      <w:r w:rsidR="003B3C7D" w:rsidRPr="008E4F05">
        <w:rPr>
          <w:rFonts w:ascii="Arial" w:hAnsi="Arial" w:cs="Arial"/>
          <w:sz w:val="20"/>
          <w:szCs w:val="20"/>
        </w:rPr>
        <w:t xml:space="preserve">, </w:t>
      </w:r>
      <w:r w:rsidR="003B3C7D">
        <w:rPr>
          <w:rFonts w:ascii="Arial" w:hAnsi="Arial" w:cs="Arial"/>
          <w:sz w:val="20"/>
          <w:szCs w:val="20"/>
        </w:rPr>
        <w:t xml:space="preserve">které by bylo třeba </w:t>
      </w:r>
      <w:r w:rsidR="003B3C7D" w:rsidRPr="008E4F05">
        <w:rPr>
          <w:rFonts w:ascii="Arial" w:hAnsi="Arial" w:cs="Arial"/>
          <w:sz w:val="20"/>
          <w:szCs w:val="20"/>
        </w:rPr>
        <w:t>před zveřejněním smlouvy v registru smluv znečiteln</w:t>
      </w:r>
      <w:r w:rsidR="003B3C7D">
        <w:rPr>
          <w:rFonts w:ascii="Arial" w:hAnsi="Arial" w:cs="Arial"/>
          <w:sz w:val="20"/>
          <w:szCs w:val="20"/>
        </w:rPr>
        <w:t xml:space="preserve">it. </w:t>
      </w:r>
      <w:r w:rsidR="003B3C7D" w:rsidRPr="00090AAA">
        <w:rPr>
          <w:rFonts w:ascii="Arial" w:hAnsi="Arial" w:cs="Arial"/>
          <w:sz w:val="20"/>
          <w:szCs w:val="20"/>
        </w:rPr>
        <w:t xml:space="preserve">Uveřejnění </w:t>
      </w:r>
      <w:r w:rsidR="003B3C7D">
        <w:rPr>
          <w:rFonts w:ascii="Arial" w:hAnsi="Arial" w:cs="Arial"/>
          <w:sz w:val="20"/>
          <w:szCs w:val="20"/>
        </w:rPr>
        <w:t xml:space="preserve">této smlouvy </w:t>
      </w:r>
      <w:r w:rsidR="003B3C7D" w:rsidRPr="00090AAA">
        <w:rPr>
          <w:rFonts w:ascii="Arial" w:hAnsi="Arial" w:cs="Arial"/>
          <w:sz w:val="20"/>
          <w:szCs w:val="20"/>
        </w:rPr>
        <w:t xml:space="preserve">prostřednictvím registru smluv </w:t>
      </w:r>
      <w:r w:rsidR="003B3C7D" w:rsidRPr="00E40695">
        <w:rPr>
          <w:rFonts w:ascii="Arial" w:hAnsi="Arial" w:cs="Arial"/>
          <w:sz w:val="20"/>
          <w:szCs w:val="20"/>
        </w:rPr>
        <w:t xml:space="preserve">zajistí </w:t>
      </w:r>
      <w:r w:rsidR="003B3C7D">
        <w:rPr>
          <w:rFonts w:ascii="Arial" w:hAnsi="Arial" w:cs="Arial"/>
          <w:sz w:val="20"/>
          <w:szCs w:val="20"/>
        </w:rPr>
        <w:t xml:space="preserve">žadatel </w:t>
      </w:r>
      <w:r w:rsidR="003B3C7D" w:rsidRPr="00E40695">
        <w:rPr>
          <w:rFonts w:ascii="Arial" w:hAnsi="Arial" w:cs="Arial"/>
          <w:sz w:val="20"/>
          <w:szCs w:val="20"/>
        </w:rPr>
        <w:t>do 15 dnů od uzavření smlouvy.</w:t>
      </w:r>
    </w:p>
    <w:p w:rsidR="00701C57" w:rsidRPr="00C23BDC" w:rsidRDefault="00701C57" w:rsidP="003B3C7D">
      <w:pPr>
        <w:pStyle w:val="Hlavikarejstku"/>
        <w:rPr>
          <w:rFonts w:ascii="Arial" w:hAnsi="Arial" w:cs="Arial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</w:rPr>
      </w:pPr>
      <w:r w:rsidRPr="00C23BDC">
        <w:rPr>
          <w:rFonts w:ascii="Arial" w:hAnsi="Arial" w:cs="Arial"/>
          <w:sz w:val="20"/>
        </w:rPr>
        <w:t>3. Smlouva je vyhotovena ve dvou stejnopisech, z nichž každý má platnost originálu, po jednom obdrží každá smluvní strana a kopie této smlouvy budou žadatelem použity jako příloha k žádosti o vydání stavebního povolení ve smyslu výše uvedeného ustanovení stavebního zákona.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</w:rPr>
      </w:pPr>
    </w:p>
    <w:p w:rsidR="00701C57" w:rsidRPr="00C23BDC" w:rsidRDefault="00701C57" w:rsidP="00701C57">
      <w:pPr>
        <w:widowControl w:val="0"/>
        <w:ind w:left="360"/>
        <w:jc w:val="both"/>
        <w:rPr>
          <w:rFonts w:ascii="Arial" w:hAnsi="Arial" w:cs="Arial"/>
          <w:sz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</w:rPr>
        <w:t>V Ústí nad Labem dne</w:t>
      </w:r>
      <w:r w:rsidR="00DA35BF">
        <w:rPr>
          <w:rFonts w:ascii="Arial" w:hAnsi="Arial" w:cs="Arial"/>
          <w:sz w:val="20"/>
        </w:rPr>
        <w:t xml:space="preserve"> </w:t>
      </w:r>
      <w:r w:rsidRPr="00C23BDC">
        <w:rPr>
          <w:rFonts w:ascii="Arial" w:hAnsi="Arial" w:cs="Arial"/>
          <w:sz w:val="20"/>
        </w:rPr>
        <w:t>……………</w:t>
      </w:r>
      <w:proofErr w:type="gramStart"/>
      <w:r w:rsidRPr="00C23BDC">
        <w:rPr>
          <w:rFonts w:ascii="Arial" w:hAnsi="Arial" w:cs="Arial"/>
          <w:sz w:val="20"/>
        </w:rPr>
        <w:t>…                                    V </w:t>
      </w:r>
      <w:r w:rsidR="00B951E8" w:rsidRPr="00C23BDC">
        <w:rPr>
          <w:rFonts w:ascii="Arial" w:hAnsi="Arial" w:cs="Arial"/>
          <w:sz w:val="20"/>
        </w:rPr>
        <w:t>Ústí</w:t>
      </w:r>
      <w:proofErr w:type="gramEnd"/>
      <w:r w:rsidR="00B951E8" w:rsidRPr="00C23BDC">
        <w:rPr>
          <w:rFonts w:ascii="Arial" w:hAnsi="Arial" w:cs="Arial"/>
          <w:sz w:val="20"/>
        </w:rPr>
        <w:t xml:space="preserve"> nad Labem</w:t>
      </w:r>
      <w:r w:rsidRPr="00C23BDC">
        <w:rPr>
          <w:rFonts w:ascii="Arial" w:hAnsi="Arial" w:cs="Arial"/>
          <w:sz w:val="20"/>
        </w:rPr>
        <w:t xml:space="preserve"> dne ………………….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Cs w:val="20"/>
        </w:rPr>
      </w:pPr>
    </w:p>
    <w:p w:rsidR="00701C57" w:rsidRPr="00C23BDC" w:rsidRDefault="00701C57" w:rsidP="00701C57">
      <w:pPr>
        <w:pStyle w:val="Zkladntext"/>
        <w:widowControl w:val="0"/>
        <w:rPr>
          <w:rFonts w:ascii="Arial" w:hAnsi="Arial" w:cs="Arial"/>
          <w:szCs w:val="24"/>
        </w:rPr>
      </w:pPr>
      <w:r w:rsidRPr="00C23BDC">
        <w:rPr>
          <w:rFonts w:ascii="Arial" w:hAnsi="Arial" w:cs="Arial"/>
          <w:szCs w:val="24"/>
        </w:rPr>
        <w:t>………………………………..                                  …………………………………..</w:t>
      </w:r>
    </w:p>
    <w:p w:rsidR="003B3C7D" w:rsidRPr="003B3C7D" w:rsidRDefault="00701C57" w:rsidP="003B3C7D">
      <w:pPr>
        <w:rPr>
          <w:rFonts w:ascii="Arial" w:hAnsi="Arial" w:cs="Arial"/>
          <w:sz w:val="20"/>
        </w:rPr>
      </w:pPr>
      <w:r w:rsidRPr="00C23BDC">
        <w:rPr>
          <w:rFonts w:ascii="Arial" w:hAnsi="Arial" w:cs="Arial"/>
          <w:sz w:val="20"/>
          <w:szCs w:val="20"/>
        </w:rPr>
        <w:t xml:space="preserve">Ing. Zdeněk </w:t>
      </w:r>
      <w:proofErr w:type="gramStart"/>
      <w:r w:rsidRPr="00C23BDC">
        <w:rPr>
          <w:rFonts w:ascii="Arial" w:hAnsi="Arial" w:cs="Arial"/>
          <w:sz w:val="20"/>
          <w:szCs w:val="20"/>
        </w:rPr>
        <w:t>Smrž</w:t>
      </w:r>
      <w:r w:rsidRPr="00C23BDC">
        <w:rPr>
          <w:rFonts w:ascii="Arial" w:hAnsi="Arial" w:cs="Arial"/>
          <w:sz w:val="20"/>
        </w:rPr>
        <w:t xml:space="preserve">                                                                  </w:t>
      </w:r>
      <w:r w:rsidR="00B061AC">
        <w:rPr>
          <w:rFonts w:ascii="Arial" w:hAnsi="Arial" w:cs="Arial"/>
          <w:sz w:val="20"/>
        </w:rPr>
        <w:t xml:space="preserve">   </w:t>
      </w:r>
      <w:r w:rsidRPr="00C23BDC">
        <w:rPr>
          <w:rFonts w:ascii="Arial" w:hAnsi="Arial" w:cs="Arial"/>
          <w:sz w:val="20"/>
        </w:rPr>
        <w:t xml:space="preserve">  </w:t>
      </w:r>
      <w:r w:rsidR="003B3C7D" w:rsidRPr="003B3C7D">
        <w:rPr>
          <w:rFonts w:ascii="Arial" w:hAnsi="Arial" w:cs="Arial"/>
          <w:sz w:val="20"/>
        </w:rPr>
        <w:t>doc.</w:t>
      </w:r>
      <w:proofErr w:type="gramEnd"/>
      <w:r w:rsidR="003B3C7D" w:rsidRPr="003B3C7D">
        <w:rPr>
          <w:rFonts w:ascii="Arial" w:hAnsi="Arial" w:cs="Arial"/>
          <w:sz w:val="20"/>
        </w:rPr>
        <w:t xml:space="preserve"> RNDr. Martin Balej, Ph.D., </w:t>
      </w:r>
    </w:p>
    <w:p w:rsidR="00701C57" w:rsidRPr="00C23BDC" w:rsidRDefault="00701C57" w:rsidP="00701C57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C23BDC">
        <w:rPr>
          <w:rFonts w:ascii="Arial" w:hAnsi="Arial" w:cs="Arial"/>
          <w:sz w:val="20"/>
          <w:szCs w:val="20"/>
        </w:rPr>
        <w:t>jednatel společnosti TETA s.r.o.</w:t>
      </w:r>
      <w:r w:rsidRPr="00C23BDC">
        <w:rPr>
          <w:rFonts w:ascii="Arial" w:hAnsi="Arial" w:cs="Arial"/>
          <w:sz w:val="20"/>
          <w:szCs w:val="20"/>
        </w:rPr>
        <w:tab/>
      </w:r>
      <w:r w:rsidRPr="00C23BDC">
        <w:rPr>
          <w:rFonts w:ascii="Arial" w:hAnsi="Arial" w:cs="Arial"/>
          <w:sz w:val="20"/>
          <w:szCs w:val="20"/>
        </w:rPr>
        <w:tab/>
      </w:r>
      <w:r w:rsidRPr="00C23BDC">
        <w:rPr>
          <w:rFonts w:ascii="Arial" w:hAnsi="Arial" w:cs="Arial"/>
          <w:sz w:val="20"/>
          <w:szCs w:val="20"/>
        </w:rPr>
        <w:tab/>
      </w:r>
      <w:r w:rsidRPr="00C23BDC">
        <w:rPr>
          <w:rFonts w:ascii="Arial" w:hAnsi="Arial" w:cs="Arial"/>
          <w:sz w:val="20"/>
          <w:szCs w:val="20"/>
        </w:rPr>
        <w:tab/>
        <w:t xml:space="preserve"> </w:t>
      </w:r>
      <w:r w:rsidR="003B3C7D">
        <w:rPr>
          <w:rFonts w:ascii="Arial" w:hAnsi="Arial" w:cs="Arial"/>
          <w:sz w:val="20"/>
          <w:szCs w:val="20"/>
        </w:rPr>
        <w:tab/>
      </w:r>
      <w:r w:rsidRPr="00C23BDC">
        <w:rPr>
          <w:rFonts w:ascii="Arial" w:hAnsi="Arial" w:cs="Arial"/>
          <w:sz w:val="20"/>
          <w:szCs w:val="20"/>
        </w:rPr>
        <w:t xml:space="preserve">        </w:t>
      </w:r>
      <w:r w:rsidR="003B3C7D">
        <w:rPr>
          <w:rFonts w:ascii="Arial" w:hAnsi="Arial" w:cs="Arial"/>
          <w:sz w:val="20"/>
          <w:szCs w:val="20"/>
        </w:rPr>
        <w:t>rektor</w:t>
      </w:r>
      <w:r w:rsidRPr="00C23BDC">
        <w:rPr>
          <w:rFonts w:ascii="Arial" w:hAnsi="Arial" w:cs="Arial"/>
          <w:sz w:val="20"/>
          <w:szCs w:val="20"/>
        </w:rPr>
        <w:t xml:space="preserve"> </w:t>
      </w:r>
      <w:r w:rsidR="004600F1">
        <w:rPr>
          <w:rFonts w:ascii="Arial" w:hAnsi="Arial" w:cs="Arial"/>
          <w:sz w:val="20"/>
          <w:szCs w:val="20"/>
        </w:rPr>
        <w:t>………………….</w:t>
      </w:r>
    </w:p>
    <w:p w:rsidR="005A6F0D" w:rsidRPr="00C23BDC" w:rsidRDefault="005A6F0D">
      <w:pPr>
        <w:rPr>
          <w:rFonts w:ascii="Arial" w:hAnsi="Arial" w:cs="Arial"/>
        </w:rPr>
      </w:pPr>
    </w:p>
    <w:sectPr w:rsidR="005A6F0D" w:rsidRPr="00C23BDC" w:rsidSect="005A6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A6C4F"/>
    <w:multiLevelType w:val="multilevel"/>
    <w:tmpl w:val="548CD9D8"/>
    <w:lvl w:ilvl="0">
      <w:start w:val="2"/>
      <w:numFmt w:val="decimal"/>
      <w:lvlText w:val="4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Restart w:val="0"/>
      <w:pStyle w:val="Nadpis2"/>
      <w:isLgl/>
      <w:lvlText w:val="4.%2"/>
      <w:lvlJc w:val="left"/>
      <w:pPr>
        <w:tabs>
          <w:tab w:val="num" w:pos="720"/>
        </w:tabs>
        <w:ind w:left="360" w:hanging="360"/>
      </w:pPr>
    </w:lvl>
    <w:lvl w:ilvl="2">
      <w:start w:val="1"/>
      <w:numFmt w:val="decimal"/>
      <w:isLgl/>
      <w:lvlText w:val="4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74CA2BD8"/>
    <w:multiLevelType w:val="hybridMultilevel"/>
    <w:tmpl w:val="DFAC4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01C57"/>
    <w:rsid w:val="0000587D"/>
    <w:rsid w:val="000258B6"/>
    <w:rsid w:val="00164703"/>
    <w:rsid w:val="00191A11"/>
    <w:rsid w:val="001B0A0A"/>
    <w:rsid w:val="00201A96"/>
    <w:rsid w:val="00211EAA"/>
    <w:rsid w:val="002475DE"/>
    <w:rsid w:val="002D59C8"/>
    <w:rsid w:val="00361849"/>
    <w:rsid w:val="0039164B"/>
    <w:rsid w:val="003B3C7D"/>
    <w:rsid w:val="004133EC"/>
    <w:rsid w:val="004600F1"/>
    <w:rsid w:val="00477EA5"/>
    <w:rsid w:val="005226BA"/>
    <w:rsid w:val="005A6F0D"/>
    <w:rsid w:val="005B649B"/>
    <w:rsid w:val="00691019"/>
    <w:rsid w:val="006F729F"/>
    <w:rsid w:val="00701C57"/>
    <w:rsid w:val="00742E6B"/>
    <w:rsid w:val="00746F5F"/>
    <w:rsid w:val="007E1A95"/>
    <w:rsid w:val="009141DC"/>
    <w:rsid w:val="009278C5"/>
    <w:rsid w:val="00933ABF"/>
    <w:rsid w:val="00A62B7B"/>
    <w:rsid w:val="00AA298E"/>
    <w:rsid w:val="00AB6B86"/>
    <w:rsid w:val="00AB7284"/>
    <w:rsid w:val="00AD10B1"/>
    <w:rsid w:val="00AE7786"/>
    <w:rsid w:val="00B061AC"/>
    <w:rsid w:val="00B0688B"/>
    <w:rsid w:val="00B951E8"/>
    <w:rsid w:val="00C006C5"/>
    <w:rsid w:val="00C0719F"/>
    <w:rsid w:val="00C12B53"/>
    <w:rsid w:val="00C23BDC"/>
    <w:rsid w:val="00C70406"/>
    <w:rsid w:val="00CC34CD"/>
    <w:rsid w:val="00D10D7E"/>
    <w:rsid w:val="00D65A08"/>
    <w:rsid w:val="00DA35BF"/>
    <w:rsid w:val="00DB7909"/>
    <w:rsid w:val="00E3757F"/>
    <w:rsid w:val="00F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D9E6"/>
  <w15:docId w15:val="{8B418881-E712-4132-9CBB-3EF0DB7B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1C57"/>
    <w:pPr>
      <w:keepNext/>
      <w:widowControl w:val="0"/>
      <w:tabs>
        <w:tab w:val="left" w:pos="432"/>
      </w:tabs>
      <w:jc w:val="both"/>
      <w:outlineLvl w:val="0"/>
    </w:pPr>
    <w:rPr>
      <w:rFonts w:eastAsia="Arial Unicode MS"/>
      <w:b/>
      <w:kern w:val="28"/>
      <w:sz w:val="32"/>
      <w:szCs w:val="20"/>
    </w:rPr>
  </w:style>
  <w:style w:type="paragraph" w:styleId="Nadpis2">
    <w:name w:val="heading 2"/>
    <w:basedOn w:val="Normln"/>
    <w:next w:val="Normln"/>
    <w:link w:val="Nadpis2Char"/>
    <w:qFormat/>
    <w:rsid w:val="00701C57"/>
    <w:pPr>
      <w:keepNext/>
      <w:widowControl w:val="0"/>
      <w:numPr>
        <w:ilvl w:val="1"/>
        <w:numId w:val="1"/>
      </w:numPr>
      <w:jc w:val="both"/>
      <w:outlineLvl w:val="1"/>
    </w:pPr>
    <w:rPr>
      <w:rFonts w:eastAsia="Arial Unicode MS"/>
      <w:b/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701C57"/>
    <w:pPr>
      <w:keepNext/>
      <w:widowControl w:val="0"/>
      <w:jc w:val="center"/>
      <w:outlineLvl w:val="2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1C57"/>
    <w:rPr>
      <w:rFonts w:ascii="Times New Roman" w:eastAsia="Arial Unicode MS" w:hAnsi="Times New Roman" w:cs="Times New Roman"/>
      <w:b/>
      <w:kern w:val="28"/>
      <w:sz w:val="32"/>
      <w:szCs w:val="20"/>
    </w:rPr>
  </w:style>
  <w:style w:type="character" w:customStyle="1" w:styleId="Nadpis2Char">
    <w:name w:val="Nadpis 2 Char"/>
    <w:basedOn w:val="Standardnpsmoodstavce"/>
    <w:link w:val="Nadpis2"/>
    <w:rsid w:val="00701C57"/>
    <w:rPr>
      <w:rFonts w:ascii="Times New Roman" w:eastAsia="Arial Unicode MS" w:hAnsi="Times New Roman" w:cs="Times New Roman"/>
      <w:b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701C57"/>
    <w:rPr>
      <w:rFonts w:ascii="Arial" w:eastAsia="Times New Roman" w:hAnsi="Arial" w:cs="Arial"/>
      <w:b/>
      <w:sz w:val="20"/>
      <w:szCs w:val="24"/>
    </w:rPr>
  </w:style>
  <w:style w:type="paragraph" w:styleId="Rejstk1">
    <w:name w:val="index 1"/>
    <w:basedOn w:val="Normln"/>
    <w:next w:val="Normln"/>
    <w:autoRedefine/>
    <w:semiHidden/>
    <w:rsid w:val="00701C57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701C57"/>
    <w:pPr>
      <w:widowControl w:val="0"/>
      <w:jc w:val="both"/>
    </w:pPr>
    <w:rPr>
      <w:szCs w:val="20"/>
    </w:rPr>
  </w:style>
  <w:style w:type="paragraph" w:styleId="Nzev">
    <w:name w:val="Title"/>
    <w:basedOn w:val="Normln"/>
    <w:link w:val="NzevChar"/>
    <w:qFormat/>
    <w:rsid w:val="00701C57"/>
    <w:pPr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701C57"/>
    <w:rPr>
      <w:rFonts w:ascii="Times New Roman" w:eastAsia="Times New Roman" w:hAnsi="Times New Roman" w:cs="Times New Roman"/>
      <w:b/>
      <w:sz w:val="24"/>
      <w:szCs w:val="20"/>
    </w:rPr>
  </w:style>
  <w:style w:type="paragraph" w:styleId="Zkladntext">
    <w:name w:val="Body Text"/>
    <w:basedOn w:val="Normln"/>
    <w:link w:val="ZkladntextChar"/>
    <w:semiHidden/>
    <w:rsid w:val="00701C57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01C57"/>
    <w:rPr>
      <w:rFonts w:ascii="Times New Roman" w:eastAsia="Times New Roman" w:hAnsi="Times New Roman" w:cs="Times New Roman"/>
      <w:sz w:val="24"/>
      <w:szCs w:val="20"/>
    </w:rPr>
  </w:style>
  <w:style w:type="paragraph" w:styleId="Zkladntext2">
    <w:name w:val="Body Text 2"/>
    <w:basedOn w:val="Normln"/>
    <w:link w:val="Zkladntext2Char"/>
    <w:semiHidden/>
    <w:rsid w:val="00701C57"/>
    <w:pPr>
      <w:widowControl w:val="0"/>
      <w:jc w:val="both"/>
    </w:pPr>
    <w:rPr>
      <w:b/>
      <w:sz w:val="36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701C57"/>
    <w:rPr>
      <w:rFonts w:ascii="Times New Roman" w:eastAsia="Times New Roman" w:hAnsi="Times New Roman" w:cs="Times New Roman"/>
      <w:b/>
      <w:sz w:val="36"/>
      <w:szCs w:val="20"/>
    </w:rPr>
  </w:style>
  <w:style w:type="character" w:styleId="Hypertextovodkaz">
    <w:name w:val="Hyperlink"/>
    <w:uiPriority w:val="99"/>
    <w:semiHidden/>
    <w:unhideWhenUsed/>
    <w:rsid w:val="00701C5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5A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5A08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2D59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59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59C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59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59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D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ipa.cz/sbirka/sbsrv.dll/sb?DR=SB&amp;CP=2006s1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665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zumr</dc:creator>
  <cp:lastModifiedBy>klimaa</cp:lastModifiedBy>
  <cp:revision>4</cp:revision>
  <dcterms:created xsi:type="dcterms:W3CDTF">2019-03-04T07:52:00Z</dcterms:created>
  <dcterms:modified xsi:type="dcterms:W3CDTF">2019-03-04T07:57:00Z</dcterms:modified>
</cp:coreProperties>
</file>