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1992"/>
        <w:gridCol w:w="160"/>
        <w:gridCol w:w="1718"/>
        <w:gridCol w:w="1897"/>
        <w:gridCol w:w="2301"/>
      </w:tblGrid>
      <w:tr w:rsidR="00EB5985" w:rsidTr="00EB5985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Správa městských lesů Most</w:t>
            </w:r>
          </w:p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příspěvková organizace</w:t>
            </w:r>
          </w:p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Loupnická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176, Litvínov – Janov, 435 42</w:t>
            </w:r>
          </w:p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IČ: 47324210 / DIČ: CZ47324210</w:t>
            </w:r>
          </w:p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Bankovní spojení: MONETA Money Bank, a.s.</w:t>
            </w:r>
          </w:p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Číslo účtu: 212591092 / 0600</w:t>
            </w: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DODAVATEL</w:t>
            </w:r>
          </w:p>
        </w:tc>
        <w:tc>
          <w:tcPr>
            <w:tcW w:w="1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MP TRADE INVEST, s.r.o.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OBJEDNÁVKA ČÍSLO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5/2019</w:t>
            </w: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Adresa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Libušská 2001/274</w:t>
            </w:r>
          </w:p>
        </w:tc>
        <w:tc>
          <w:tcPr>
            <w:tcW w:w="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Vyřizuje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Marta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Nachlingerová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Město, PSČ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Praha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4-Krč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, 142 00</w:t>
            </w:r>
          </w:p>
        </w:tc>
        <w:tc>
          <w:tcPr>
            <w:tcW w:w="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476 742 902</w:t>
            </w: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IČ / DIČ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27180972/CZ27180972</w:t>
            </w: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info@lesymost.cz</w:t>
            </w: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Vyřizuje 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 Litvínově, dne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26.2.2019</w:t>
            </w: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 / email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u w:val="single"/>
              </w:rPr>
            </w:pPr>
          </w:p>
        </w:tc>
        <w:tc>
          <w:tcPr>
            <w:tcW w:w="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Poznámka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4217"/>
        </w:trPr>
        <w:tc>
          <w:tcPr>
            <w:tcW w:w="2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 xml:space="preserve">Objednáváme u Vás odběr PHM na rok 2019.  Žádáme Vás o zaslání zálohové faktury, která bude 2x za daný měsíc vyúčtovaná daňovým dokladem. Přeplatek bude zachován na další měsíc, nedoplatek bude vyrovnán dle splatnosti daňového dokladu. Společnosti G.A.S. </w:t>
            </w:r>
            <w:proofErr w:type="spellStart"/>
            <w:r>
              <w:rPr>
                <w:rFonts w:ascii="Tahoma" w:hAnsi="Tahoma" w:cs="Tahoma"/>
                <w:color w:val="000000"/>
                <w:sz w:val="32"/>
                <w:szCs w:val="32"/>
              </w:rPr>
              <w:t>Petroleum</w:t>
            </w:r>
            <w:proofErr w:type="spellEnd"/>
            <w:r>
              <w:rPr>
                <w:rFonts w:ascii="Tahoma" w:hAnsi="Tahoma" w:cs="Tahoma"/>
                <w:color w:val="000000"/>
                <w:sz w:val="32"/>
                <w:szCs w:val="32"/>
              </w:rPr>
              <w:t xml:space="preserve"> Group s.r.o. bude předán soupis vozidel a jejich řidičů.                                                                                            </w:t>
            </w: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Předpokládaná měsíční cena bez DPH do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20 000,00 Kč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 xml:space="preserve">Jsme plátci DPH. </w:t>
            </w:r>
          </w:p>
        </w:tc>
        <w:tc>
          <w:tcPr>
            <w:tcW w:w="19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Termín dokončení do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4.3.2019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2042"/>
        </w:trPr>
        <w:tc>
          <w:tcPr>
            <w:tcW w:w="2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………………………………………………………….</w:t>
            </w:r>
          </w:p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Správce rozpočtu</w:t>
            </w: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2042"/>
        </w:trPr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………………………………………………………….</w:t>
            </w:r>
          </w:p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Příkazce operace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………………………………………………………….</w:t>
            </w:r>
          </w:p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Razítko a podpis dodavatele</w:t>
            </w: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Dne: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4.3.2019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1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Poznámky: Žádáme o potvrzení objednávky a její zaslání zpět. 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V případě jakékoliv změny, žádáme o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</w:rPr>
              <w:t>vyrozumění - nutné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</w:rPr>
              <w:t xml:space="preserve"> odsouhlasit!</w:t>
            </w: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EB5985" w:rsidTr="00EB598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5985" w:rsidRDefault="00EB5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</w:tbl>
    <w:p w:rsidR="003171BD" w:rsidRDefault="003171BD">
      <w:bookmarkStart w:id="0" w:name="_GoBack"/>
      <w:bookmarkEnd w:id="0"/>
    </w:p>
    <w:sectPr w:rsidR="0031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85"/>
    <w:rsid w:val="003171BD"/>
    <w:rsid w:val="00E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8A1DF-3C67-46B5-8ED3-B4163277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1</cp:revision>
  <dcterms:created xsi:type="dcterms:W3CDTF">2019-03-05T07:01:00Z</dcterms:created>
  <dcterms:modified xsi:type="dcterms:W3CDTF">2019-03-05T07:01:00Z</dcterms:modified>
</cp:coreProperties>
</file>