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753"/>
      </w:tblGrid>
      <w:tr w:rsidR="00510E27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13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C25941">
            <w:pPr>
              <w:spacing w:before="11" w:after="1"/>
              <w:ind w:left="118"/>
              <w:jc w:val="right"/>
              <w:textAlignment w:val="baseline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67715" cy="49974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C25941">
            <w:pPr>
              <w:spacing w:before="52" w:line="232" w:lineRule="exact"/>
              <w:ind w:left="144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Evropská unie</w:t>
            </w:r>
          </w:p>
          <w:p w:rsidR="00510E27" w:rsidRDefault="00C25941">
            <w:pPr>
              <w:spacing w:line="220" w:lineRule="exact"/>
              <w:ind w:left="144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 xml:space="preserve">Evropský </w:t>
            </w:r>
            <w:proofErr w:type="spellStart"/>
            <w:r>
              <w:rPr>
                <w:rFonts w:eastAsia="Times New Roman"/>
                <w:color w:val="000000"/>
                <w:sz w:val="21"/>
                <w:lang w:val="cs-CZ"/>
              </w:rPr>
              <w:t>sociátní</w:t>
            </w:r>
            <w:proofErr w:type="spellEnd"/>
            <w:r>
              <w:rPr>
                <w:rFonts w:eastAsia="Times New Roman"/>
                <w:color w:val="000000"/>
                <w:sz w:val="21"/>
                <w:lang w:val="cs-CZ"/>
              </w:rPr>
              <w:t xml:space="preserve"> fond</w:t>
            </w:r>
          </w:p>
          <w:p w:rsidR="00510E27" w:rsidRDefault="00C25941">
            <w:pPr>
              <w:spacing w:after="56" w:line="228" w:lineRule="exact"/>
              <w:ind w:left="144"/>
              <w:textAlignment w:val="baseline"/>
              <w:rPr>
                <w:rFonts w:eastAsia="Times New Roman"/>
                <w:color w:val="000000"/>
                <w:sz w:val="21"/>
                <w:lang w:val="cs-CZ"/>
              </w:rPr>
            </w:pPr>
            <w:r>
              <w:rPr>
                <w:rFonts w:eastAsia="Times New Roman"/>
                <w:color w:val="000000"/>
                <w:sz w:val="21"/>
                <w:lang w:val="cs-CZ"/>
              </w:rPr>
              <w:t>Operační program Zaměstnanost</w:t>
            </w:r>
          </w:p>
        </w:tc>
      </w:tr>
    </w:tbl>
    <w:p w:rsidR="00510E27" w:rsidRDefault="00510E27">
      <w:pPr>
        <w:spacing w:after="412" w:line="20" w:lineRule="exact"/>
      </w:pPr>
    </w:p>
    <w:p w:rsidR="00510E27" w:rsidRDefault="00C25941">
      <w:pPr>
        <w:spacing w:line="235" w:lineRule="exact"/>
        <w:ind w:left="72"/>
        <w:jc w:val="center"/>
        <w:textAlignment w:val="baseline"/>
        <w:rPr>
          <w:rFonts w:eastAsia="Times New Roman"/>
          <w:b/>
          <w:color w:val="000000"/>
          <w:spacing w:val="3"/>
          <w:sz w:val="21"/>
          <w:lang w:val="cs-CZ"/>
        </w:rPr>
      </w:pPr>
      <w:r>
        <w:rPr>
          <w:rFonts w:eastAsia="Times New Roman"/>
          <w:b/>
          <w:color w:val="000000"/>
          <w:spacing w:val="3"/>
          <w:sz w:val="21"/>
          <w:lang w:val="cs-CZ"/>
        </w:rPr>
        <w:t>DODATEK ě. 1</w:t>
      </w:r>
    </w:p>
    <w:p w:rsidR="00510E27" w:rsidRDefault="00C25941">
      <w:pPr>
        <w:spacing w:line="259" w:lineRule="exact"/>
        <w:ind w:left="72"/>
        <w:jc w:val="center"/>
        <w:textAlignment w:val="baseline"/>
        <w:rPr>
          <w:rFonts w:eastAsia="Times New Roman"/>
          <w:b/>
          <w:color w:val="000000"/>
          <w:spacing w:val="6"/>
          <w:sz w:val="21"/>
          <w:lang w:val="cs-CZ"/>
        </w:rPr>
      </w:pPr>
      <w:r>
        <w:rPr>
          <w:rFonts w:eastAsia="Times New Roman"/>
          <w:b/>
          <w:color w:val="000000"/>
          <w:spacing w:val="6"/>
          <w:sz w:val="21"/>
          <w:lang w:val="cs-CZ"/>
        </w:rPr>
        <w:t>SMLOUVY O DÍLO / SMLOUVY O POSKYTOVÁNÍ PORADENSKÝCH SLUŽEB</w:t>
      </w:r>
    </w:p>
    <w:p w:rsidR="00510E27" w:rsidRDefault="00C25941">
      <w:pPr>
        <w:spacing w:before="1293" w:line="239" w:lineRule="exact"/>
        <w:ind w:left="72"/>
        <w:textAlignment w:val="baseline"/>
        <w:rPr>
          <w:rFonts w:eastAsia="Times New Roman"/>
          <w:color w:val="000000"/>
          <w:spacing w:val="2"/>
          <w:sz w:val="21"/>
          <w:lang w:val="cs-CZ"/>
        </w:rPr>
      </w:pPr>
      <w:r>
        <w:rPr>
          <w:rFonts w:eastAsia="Times New Roman"/>
          <w:color w:val="000000"/>
          <w:spacing w:val="2"/>
          <w:sz w:val="21"/>
          <w:lang w:val="cs-CZ"/>
        </w:rPr>
        <w:t>Smluvní strany:</w:t>
      </w:r>
    </w:p>
    <w:p w:rsidR="00510E27" w:rsidRDefault="00C25941">
      <w:pPr>
        <w:spacing w:before="294" w:line="244" w:lineRule="exact"/>
        <w:ind w:left="72"/>
        <w:textAlignment w:val="baseline"/>
        <w:rPr>
          <w:rFonts w:eastAsia="Times New Roman"/>
          <w:b/>
          <w:color w:val="000000"/>
          <w:spacing w:val="3"/>
          <w:sz w:val="21"/>
          <w:lang w:val="cs-CZ"/>
        </w:rPr>
      </w:pPr>
      <w:r>
        <w:rPr>
          <w:rFonts w:eastAsia="Times New Roman"/>
          <w:b/>
          <w:color w:val="000000"/>
          <w:spacing w:val="3"/>
          <w:sz w:val="21"/>
          <w:lang w:val="cs-CZ"/>
        </w:rPr>
        <w:t xml:space="preserve">Ernst &amp; </w:t>
      </w:r>
      <w:proofErr w:type="spellStart"/>
      <w:r>
        <w:rPr>
          <w:rFonts w:eastAsia="Times New Roman"/>
          <w:b/>
          <w:color w:val="000000"/>
          <w:spacing w:val="3"/>
          <w:sz w:val="21"/>
          <w:lang w:val="cs-CZ"/>
        </w:rPr>
        <w:t>Young</w:t>
      </w:r>
      <w:proofErr w:type="spellEnd"/>
      <w:r>
        <w:rPr>
          <w:rFonts w:eastAsia="Times New Roman"/>
          <w:b/>
          <w:color w:val="000000"/>
          <w:spacing w:val="3"/>
          <w:sz w:val="21"/>
          <w:lang w:val="cs-CZ"/>
        </w:rPr>
        <w:t>, s.r.o.</w:t>
      </w:r>
    </w:p>
    <w:p w:rsidR="00510E27" w:rsidRDefault="00C25941">
      <w:pPr>
        <w:spacing w:before="3" w:line="239" w:lineRule="exact"/>
        <w:ind w:left="72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se sídlem Na Florenci 2116/15, 110 OO Praha 1</w:t>
      </w:r>
      <w:r>
        <w:rPr>
          <w:rFonts w:eastAsia="Times New Roman"/>
          <w:color w:val="8D8A8C"/>
          <w:sz w:val="21"/>
          <w:lang w:val="cs-CZ"/>
        </w:rPr>
        <w:t xml:space="preserve"> —</w:t>
      </w:r>
      <w:r>
        <w:rPr>
          <w:rFonts w:eastAsia="Times New Roman"/>
          <w:color w:val="000000"/>
          <w:sz w:val="21"/>
          <w:lang w:val="cs-CZ"/>
        </w:rPr>
        <w:t xml:space="preserve"> Nové Město</w:t>
      </w:r>
    </w:p>
    <w:p w:rsidR="00510E27" w:rsidRDefault="00C25941">
      <w:pPr>
        <w:spacing w:before="21" w:line="239" w:lineRule="exact"/>
        <w:ind w:left="72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>zapsaná v obchodním rejstříku vedeném Městským soudem v Praze</w:t>
      </w:r>
    </w:p>
    <w:p w:rsidR="00510E27" w:rsidRDefault="00C25941">
      <w:pPr>
        <w:spacing w:before="22" w:line="239" w:lineRule="exact"/>
        <w:ind w:lef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spisová značka C 108716</w:t>
      </w:r>
    </w:p>
    <w:p w:rsidR="00510E27" w:rsidRDefault="00C25941">
      <w:pPr>
        <w:spacing w:before="13" w:line="240" w:lineRule="exact"/>
        <w:ind w:left="72"/>
        <w:textAlignment w:val="baseline"/>
        <w:rPr>
          <w:rFonts w:eastAsia="Times New Roman"/>
          <w:color w:val="000000"/>
          <w:spacing w:val="4"/>
          <w:sz w:val="21"/>
          <w:lang w:val="cs-CZ"/>
        </w:rPr>
      </w:pPr>
      <w:r>
        <w:rPr>
          <w:rFonts w:eastAsia="Times New Roman"/>
          <w:color w:val="000000"/>
          <w:spacing w:val="4"/>
          <w:sz w:val="21"/>
          <w:lang w:val="cs-CZ"/>
        </w:rPr>
        <w:t>zastoupená Romanou Smetánkovou, prokuristkou společnosti</w:t>
      </w:r>
    </w:p>
    <w:p w:rsidR="00510E27" w:rsidRDefault="00C25941">
      <w:pPr>
        <w:spacing w:before="15" w:line="241" w:lineRule="exact"/>
        <w:ind w:left="72"/>
        <w:textAlignment w:val="baseline"/>
        <w:rPr>
          <w:rFonts w:eastAsia="Times New Roman"/>
          <w:color w:val="000000"/>
          <w:spacing w:val="2"/>
          <w:sz w:val="21"/>
          <w:lang w:val="cs-CZ"/>
        </w:rPr>
      </w:pPr>
      <w:r>
        <w:rPr>
          <w:rFonts w:eastAsia="Times New Roman"/>
          <w:color w:val="000000"/>
          <w:spacing w:val="2"/>
          <w:sz w:val="21"/>
          <w:lang w:val="cs-CZ"/>
        </w:rPr>
        <w:t>IČ: 26705338</w:t>
      </w:r>
      <w:bookmarkStart w:id="0" w:name="_GoBack"/>
      <w:bookmarkEnd w:id="0"/>
    </w:p>
    <w:p w:rsidR="00510E27" w:rsidRDefault="00C25941">
      <w:pPr>
        <w:spacing w:before="18" w:line="241" w:lineRule="exact"/>
        <w:ind w:lef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DIČ: CZ26705338</w:t>
      </w:r>
    </w:p>
    <w:p w:rsidR="00510E27" w:rsidRDefault="00C25941">
      <w:pPr>
        <w:spacing w:before="10" w:line="518" w:lineRule="exact"/>
        <w:ind w:left="72" w:right="7560"/>
        <w:textAlignment w:val="baseline"/>
        <w:rPr>
          <w:rFonts w:eastAsia="Times New Roman"/>
          <w:color w:val="000000"/>
          <w:spacing w:val="9"/>
          <w:sz w:val="21"/>
          <w:lang w:val="cs-CZ"/>
        </w:rPr>
      </w:pPr>
      <w:r>
        <w:rPr>
          <w:rFonts w:eastAsia="Times New Roman"/>
          <w:color w:val="000000"/>
          <w:spacing w:val="9"/>
          <w:sz w:val="21"/>
          <w:lang w:val="cs-CZ"/>
        </w:rPr>
        <w:t>(dále jen „EY") a</w:t>
      </w:r>
    </w:p>
    <w:p w:rsidR="00510E27" w:rsidRDefault="00C25941">
      <w:pPr>
        <w:spacing w:before="280" w:line="244" w:lineRule="exact"/>
        <w:ind w:left="72"/>
        <w:textAlignment w:val="baseline"/>
        <w:rPr>
          <w:rFonts w:eastAsia="Times New Roman"/>
          <w:b/>
          <w:color w:val="000000"/>
          <w:spacing w:val="4"/>
          <w:sz w:val="21"/>
          <w:lang w:val="cs-CZ"/>
        </w:rPr>
      </w:pPr>
      <w:r>
        <w:rPr>
          <w:rFonts w:eastAsia="Times New Roman"/>
          <w:b/>
          <w:color w:val="000000"/>
          <w:spacing w:val="4"/>
          <w:sz w:val="21"/>
          <w:lang w:val="cs-CZ"/>
        </w:rPr>
        <w:t xml:space="preserve">Národní ústav duševního zdraví, </w:t>
      </w:r>
      <w:proofErr w:type="spellStart"/>
      <w:proofErr w:type="gramStart"/>
      <w:r>
        <w:rPr>
          <w:rFonts w:eastAsia="Times New Roman"/>
          <w:b/>
          <w:color w:val="000000"/>
          <w:spacing w:val="4"/>
          <w:sz w:val="21"/>
          <w:lang w:val="cs-CZ"/>
        </w:rPr>
        <w:t>p.o</w:t>
      </w:r>
      <w:proofErr w:type="spellEnd"/>
      <w:r>
        <w:rPr>
          <w:rFonts w:eastAsia="Times New Roman"/>
          <w:b/>
          <w:color w:val="000000"/>
          <w:spacing w:val="4"/>
          <w:sz w:val="21"/>
          <w:lang w:val="cs-CZ"/>
        </w:rPr>
        <w:t>.</w:t>
      </w:r>
      <w:proofErr w:type="gramEnd"/>
    </w:p>
    <w:p w:rsidR="00510E27" w:rsidRDefault="00C25941">
      <w:pPr>
        <w:spacing w:before="5" w:line="239" w:lineRule="exact"/>
        <w:ind w:lef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se sídlem Topolová 748, Klecany 250 67</w:t>
      </w:r>
    </w:p>
    <w:p w:rsidR="00510E27" w:rsidRDefault="00C25941">
      <w:pPr>
        <w:spacing w:before="18" w:line="245" w:lineRule="exact"/>
        <w:ind w:lef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 xml:space="preserve">zastoupená prof. MUDr. Cyrilem </w:t>
      </w:r>
      <w:proofErr w:type="spellStart"/>
      <w:r>
        <w:rPr>
          <w:rFonts w:eastAsia="Times New Roman"/>
          <w:color w:val="000000"/>
          <w:spacing w:val="3"/>
          <w:sz w:val="21"/>
          <w:lang w:val="cs-CZ"/>
        </w:rPr>
        <w:t>Fliischlem</w:t>
      </w:r>
      <w:proofErr w:type="spellEnd"/>
      <w:r>
        <w:rPr>
          <w:rFonts w:eastAsia="Times New Roman"/>
          <w:color w:val="000000"/>
          <w:spacing w:val="3"/>
          <w:sz w:val="21"/>
          <w:lang w:val="cs-CZ"/>
        </w:rPr>
        <w:t xml:space="preserve">, DrSc. </w:t>
      </w:r>
      <w:proofErr w:type="spellStart"/>
      <w:r>
        <w:rPr>
          <w:rFonts w:eastAsia="Times New Roman"/>
          <w:color w:val="000000"/>
          <w:spacing w:val="3"/>
          <w:sz w:val="21"/>
          <w:lang w:val="cs-CZ"/>
        </w:rPr>
        <w:t>FRCPsych</w:t>
      </w:r>
      <w:proofErr w:type="spellEnd"/>
      <w:r>
        <w:rPr>
          <w:rFonts w:eastAsia="Times New Roman"/>
          <w:color w:val="000000"/>
          <w:spacing w:val="3"/>
          <w:sz w:val="21"/>
          <w:lang w:val="cs-CZ"/>
        </w:rPr>
        <w:t>., ředitelem</w:t>
      </w:r>
    </w:p>
    <w:p w:rsidR="00510E27" w:rsidRDefault="00C25941">
      <w:pPr>
        <w:spacing w:before="15" w:line="241" w:lineRule="exact"/>
        <w:ind w:left="72"/>
        <w:textAlignment w:val="baseline"/>
        <w:rPr>
          <w:rFonts w:eastAsia="Times New Roman"/>
          <w:color w:val="000000"/>
          <w:spacing w:val="2"/>
          <w:sz w:val="21"/>
          <w:lang w:val="cs-CZ"/>
        </w:rPr>
      </w:pPr>
      <w:r>
        <w:rPr>
          <w:rFonts w:eastAsia="Times New Roman"/>
          <w:color w:val="000000"/>
          <w:spacing w:val="2"/>
          <w:sz w:val="21"/>
          <w:lang w:val="cs-CZ"/>
        </w:rPr>
        <w:t>IČ: 00023752</w:t>
      </w:r>
    </w:p>
    <w:p w:rsidR="00510E27" w:rsidRDefault="00C25941">
      <w:pPr>
        <w:spacing w:before="18" w:line="241" w:lineRule="exact"/>
        <w:ind w:lef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DIČ: CZ00023752</w:t>
      </w:r>
    </w:p>
    <w:p w:rsidR="00510E27" w:rsidRDefault="00C25941">
      <w:pPr>
        <w:spacing w:before="279" w:line="239" w:lineRule="exact"/>
        <w:ind w:left="72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(dále jen „Klient")</w:t>
      </w:r>
    </w:p>
    <w:p w:rsidR="00510E27" w:rsidRDefault="00C25941">
      <w:pPr>
        <w:spacing w:before="257" w:line="259" w:lineRule="exact"/>
        <w:ind w:left="72"/>
        <w:textAlignment w:val="baseline"/>
        <w:rPr>
          <w:rFonts w:eastAsia="Times New Roman"/>
          <w:color w:val="000000"/>
          <w:spacing w:val="2"/>
          <w:sz w:val="21"/>
          <w:lang w:val="cs-CZ"/>
        </w:rPr>
      </w:pPr>
      <w:r>
        <w:rPr>
          <w:rFonts w:eastAsia="Times New Roman"/>
          <w:color w:val="000000"/>
          <w:spacing w:val="2"/>
          <w:sz w:val="21"/>
          <w:lang w:val="cs-CZ"/>
        </w:rPr>
        <w:t>uzav</w:t>
      </w:r>
      <w:r>
        <w:rPr>
          <w:rFonts w:eastAsia="Times New Roman"/>
          <w:color w:val="000000"/>
          <w:spacing w:val="2"/>
          <w:sz w:val="21"/>
          <w:lang w:val="cs-CZ"/>
        </w:rPr>
        <w:t xml:space="preserve">řely podle ustanovení § 2586 a násl./ § 1746 odst. 2 zák. č. 89/2012 Sb., občanský zákoník v platném znění dne 14. 12. 2017 smlouvu o dílo / smlouvu o poskytování poradenských služeb (dále </w:t>
      </w:r>
      <w:proofErr w:type="gramStart"/>
      <w:r>
        <w:rPr>
          <w:rFonts w:eastAsia="Times New Roman"/>
          <w:color w:val="000000"/>
          <w:spacing w:val="2"/>
          <w:sz w:val="21"/>
          <w:lang w:val="cs-CZ"/>
        </w:rPr>
        <w:t>jen ,Smlouva</w:t>
      </w:r>
      <w:proofErr w:type="gramEnd"/>
      <w:r>
        <w:rPr>
          <w:rFonts w:eastAsia="Times New Roman"/>
          <w:color w:val="000000"/>
          <w:spacing w:val="2"/>
          <w:sz w:val="21"/>
          <w:lang w:val="cs-CZ"/>
        </w:rPr>
        <w:t>").</w:t>
      </w:r>
    </w:p>
    <w:p w:rsidR="00510E27" w:rsidRDefault="00510E27">
      <w:pPr>
        <w:sectPr w:rsidR="00510E27">
          <w:pgSz w:w="11861" w:h="16742"/>
          <w:pgMar w:top="680" w:right="1118" w:bottom="6186" w:left="1663" w:header="720" w:footer="720" w:gutter="0"/>
          <w:cols w:space="708"/>
        </w:sectPr>
      </w:pPr>
    </w:p>
    <w:p w:rsidR="00510E27" w:rsidRDefault="00C25941">
      <w:pPr>
        <w:spacing w:before="404" w:line="229" w:lineRule="exact"/>
        <w:ind w:left="72"/>
        <w:jc w:val="both"/>
        <w:textAlignment w:val="baseline"/>
        <w:rPr>
          <w:rFonts w:ascii="Verdana" w:eastAsia="Verdana" w:hAnsi="Verdana"/>
          <w:color w:val="0C0C0C"/>
          <w:spacing w:val="-12"/>
          <w:sz w:val="18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88.35pt;margin-top:34.55pt;width:69.35pt;height:42.25pt;z-index:-251666432;mso-wrap-distance-left:0;mso-wrap-distance-top:16.55pt;mso-wrap-distance-right:0;mso-wrap-distance-bottom:19.25pt;mso-position-horizontal-relative:page;mso-position-vertical-relative:page" fillcolor="#0e2359" stroked="f">
            <v:textbox inset="0,0,0,0">
              <w:txbxContent>
                <w:p w:rsidR="00510E27" w:rsidRDefault="00510E27"/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562.9pt;margin-top:18.45pt;width:14.7pt;height:5.25pt;z-index:-251665408;mso-wrap-distance-left:0;mso-wrap-distance-right:0;mso-position-horizontal-relative:page;mso-position-vertical-relative:page" filled="f" stroked="f">
            <v:textbox inset="0,0,0,0">
              <w:txbxContent>
                <w:p w:rsidR="00510E27" w:rsidRDefault="00C25941">
                  <w:pPr>
                    <w:spacing w:line="91" w:lineRule="exact"/>
                    <w:textAlignment w:val="baseline"/>
                    <w:rPr>
                      <w:rFonts w:ascii="Courier New" w:eastAsia="Courier New" w:hAnsi="Courier New"/>
                      <w:color w:val="0C0C0C"/>
                      <w:spacing w:val="20"/>
                      <w:sz w:val="9"/>
                      <w:lang w:val="cs-CZ"/>
                    </w:rPr>
                  </w:pPr>
                  <w:r>
                    <w:rPr>
                      <w:rFonts w:ascii="Courier New" w:eastAsia="Courier New" w:hAnsi="Courier New"/>
                      <w:color w:val="0C0C0C"/>
                      <w:spacing w:val="20"/>
                      <w:sz w:val="9"/>
                      <w:lang w:val="cs-CZ"/>
                    </w:rPr>
                    <w:t>.3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307.55pt;margin-top:780pt;width:14.9pt;height:11.7pt;z-index:-251664384;mso-wrap-distance-left:0;mso-wrap-distance-right:0;mso-position-horizontal-relative:page;mso-position-vertical-relative:page" filled="f" stroked="f">
            <v:textbox inset="0,0,0,0">
              <w:txbxContent>
                <w:p w:rsidR="00510E27" w:rsidRDefault="00C25941">
                  <w:pPr>
                    <w:spacing w:line="225" w:lineRule="exact"/>
                    <w:textAlignment w:val="baseline"/>
                    <w:rPr>
                      <w:rFonts w:ascii="Verdana" w:eastAsia="Verdana" w:hAnsi="Verdana"/>
                      <w:color w:val="0C0C0C"/>
                      <w:sz w:val="18"/>
                      <w:lang w:val="cs-CZ"/>
                    </w:rPr>
                  </w:pPr>
                  <w:r>
                    <w:rPr>
                      <w:rFonts w:ascii="Verdana" w:eastAsia="Verdana" w:hAnsi="Verdana"/>
                      <w:color w:val="0C0C0C"/>
                      <w:sz w:val="18"/>
                      <w:lang w:val="cs-CZ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C0C0C"/>
          <w:spacing w:val="-12"/>
          <w:sz w:val="18"/>
          <w:lang w:val="cs-CZ"/>
        </w:rPr>
        <w:t>Evropská unie</w:t>
      </w:r>
    </w:p>
    <w:p w:rsidR="00510E27" w:rsidRDefault="00C25941">
      <w:pPr>
        <w:spacing w:line="219" w:lineRule="exact"/>
        <w:ind w:left="72"/>
        <w:jc w:val="both"/>
        <w:textAlignment w:val="baseline"/>
        <w:rPr>
          <w:rFonts w:ascii="Verdana" w:eastAsia="Verdana" w:hAnsi="Verdana"/>
          <w:color w:val="0C0C0C"/>
          <w:spacing w:val="-8"/>
          <w:sz w:val="18"/>
          <w:lang w:val="cs-CZ"/>
        </w:rPr>
      </w:pPr>
      <w:r>
        <w:rPr>
          <w:rFonts w:ascii="Verdana" w:eastAsia="Verdana" w:hAnsi="Verdana"/>
          <w:color w:val="0C0C0C"/>
          <w:spacing w:val="-8"/>
          <w:sz w:val="18"/>
          <w:lang w:val="cs-CZ"/>
        </w:rPr>
        <w:t>Evropský sociální fond</w:t>
      </w:r>
    </w:p>
    <w:p w:rsidR="00510E27" w:rsidRDefault="00C25941">
      <w:pPr>
        <w:spacing w:line="229" w:lineRule="exact"/>
        <w:ind w:left="72"/>
        <w:jc w:val="both"/>
        <w:textAlignment w:val="baseline"/>
        <w:rPr>
          <w:rFonts w:ascii="Verdana" w:eastAsia="Verdana" w:hAnsi="Verdana"/>
          <w:color w:val="0C0C0C"/>
          <w:spacing w:val="-8"/>
          <w:sz w:val="18"/>
          <w:lang w:val="cs-CZ"/>
        </w:rPr>
      </w:pPr>
      <w:r>
        <w:rPr>
          <w:rFonts w:ascii="Verdana" w:eastAsia="Verdana" w:hAnsi="Verdana"/>
          <w:color w:val="0C0C0C"/>
          <w:spacing w:val="-8"/>
          <w:sz w:val="18"/>
          <w:lang w:val="cs-CZ"/>
        </w:rPr>
        <w:t>Operační program Zaměstnanost</w:t>
      </w:r>
    </w:p>
    <w:p w:rsidR="00510E27" w:rsidRDefault="00C25941">
      <w:pPr>
        <w:spacing w:before="475" w:line="200" w:lineRule="exact"/>
        <w:ind w:left="72"/>
        <w:jc w:val="both"/>
        <w:textAlignment w:val="baseline"/>
        <w:rPr>
          <w:rFonts w:ascii="Verdana" w:eastAsia="Verdana" w:hAnsi="Verdana"/>
          <w:b/>
          <w:color w:val="0C0C0C"/>
          <w:spacing w:val="3"/>
          <w:sz w:val="16"/>
          <w:u w:val="single"/>
          <w:lang w:val="cs-CZ"/>
        </w:rPr>
      </w:pPr>
      <w:r>
        <w:rPr>
          <w:rFonts w:ascii="Verdana" w:eastAsia="Verdana" w:hAnsi="Verdana"/>
          <w:b/>
          <w:color w:val="0C0C0C"/>
          <w:spacing w:val="3"/>
          <w:sz w:val="16"/>
          <w:u w:val="single"/>
          <w:lang w:val="cs-CZ"/>
        </w:rPr>
        <w:t xml:space="preserve">Preambule: </w:t>
      </w:r>
    </w:p>
    <w:p w:rsidR="00510E27" w:rsidRDefault="00C25941">
      <w:pPr>
        <w:numPr>
          <w:ilvl w:val="0"/>
          <w:numId w:val="1"/>
        </w:numPr>
        <w:tabs>
          <w:tab w:val="clear" w:pos="144"/>
          <w:tab w:val="left" w:pos="216"/>
        </w:tabs>
        <w:spacing w:before="281" w:line="241" w:lineRule="exact"/>
        <w:ind w:left="72"/>
        <w:textAlignment w:val="baseline"/>
        <w:rPr>
          <w:rFonts w:ascii="Verdana" w:eastAsia="Verdana" w:hAnsi="Verdana"/>
          <w:color w:val="0C0C0C"/>
          <w:spacing w:val="4"/>
          <w:sz w:val="18"/>
          <w:lang w:val="cs-CZ"/>
        </w:rPr>
      </w:pPr>
      <w:r>
        <w:pict>
          <v:line id="_x0000_s1038" style="position:absolute;left:0;text-align:left;z-index:251656192;mso-position-horizontal-relative:page;mso-position-vertical-relative:page" from="88.35pt,107.05pt" to="145.5pt,107.05pt" strokecolor="#131313" strokeweight="1.2pt">
            <w10:wrap anchorx="page" anchory="page"/>
          </v:line>
        </w:pict>
      </w:r>
    </w:p>
    <w:p w:rsidR="00510E27" w:rsidRDefault="00C25941">
      <w:pPr>
        <w:spacing w:before="16" w:line="252" w:lineRule="exact"/>
        <w:ind w:left="72"/>
        <w:textAlignment w:val="baseline"/>
        <w:rPr>
          <w:rFonts w:ascii="Verdana" w:eastAsia="Verdana" w:hAnsi="Verdana"/>
          <w:color w:val="0C0C0C"/>
          <w:spacing w:val="-2"/>
          <w:sz w:val="18"/>
          <w:lang w:val="cs-CZ"/>
        </w:rPr>
      </w:pPr>
      <w:r>
        <w:rPr>
          <w:rFonts w:ascii="Verdana" w:eastAsia="Verdana" w:hAnsi="Verdana"/>
          <w:color w:val="0C0C0C"/>
          <w:spacing w:val="-2"/>
          <w:sz w:val="18"/>
          <w:lang w:val="cs-CZ"/>
        </w:rPr>
        <w:t>V dodatku jsou používány pojmy, sjednané pro účel Smlouvy.</w:t>
      </w:r>
    </w:p>
    <w:p w:rsidR="00510E27" w:rsidRDefault="00510E27">
      <w:pPr>
        <w:numPr>
          <w:ilvl w:val="0"/>
          <w:numId w:val="1"/>
        </w:numPr>
        <w:tabs>
          <w:tab w:val="clear" w:pos="144"/>
          <w:tab w:val="left" w:pos="216"/>
        </w:tabs>
        <w:spacing w:before="490" w:line="239" w:lineRule="exact"/>
        <w:ind w:left="72"/>
        <w:textAlignment w:val="baseline"/>
        <w:rPr>
          <w:rFonts w:ascii="Verdana" w:eastAsia="Verdana" w:hAnsi="Verdana"/>
          <w:color w:val="0C0C0C"/>
          <w:spacing w:val="4"/>
          <w:sz w:val="18"/>
          <w:lang w:val="cs-CZ"/>
        </w:rPr>
      </w:pPr>
    </w:p>
    <w:p w:rsidR="00510E27" w:rsidRDefault="00C25941">
      <w:pPr>
        <w:spacing w:before="9" w:line="248" w:lineRule="exact"/>
        <w:ind w:left="72" w:right="72"/>
        <w:textAlignment w:val="baseline"/>
        <w:rPr>
          <w:rFonts w:ascii="Verdana" w:eastAsia="Verdana" w:hAnsi="Verdana"/>
          <w:color w:val="0C0C0C"/>
          <w:sz w:val="18"/>
          <w:lang w:val="cs-CZ"/>
        </w:rPr>
      </w:pPr>
      <w:r>
        <w:rPr>
          <w:rFonts w:ascii="Verdana" w:eastAsia="Verdana" w:hAnsi="Verdana"/>
          <w:color w:val="0C0C0C"/>
          <w:sz w:val="18"/>
          <w:lang w:val="cs-CZ"/>
        </w:rPr>
        <w:t>D</w:t>
      </w:r>
      <w:r>
        <w:rPr>
          <w:rFonts w:ascii="Verdana" w:eastAsia="Verdana" w:hAnsi="Verdana"/>
          <w:color w:val="0C0C0C"/>
          <w:sz w:val="18"/>
          <w:lang w:val="cs-CZ"/>
        </w:rPr>
        <w:t xml:space="preserve">ůvodem uzavření tohoto dodatku je vůle stran změnit způsob hrazení odměny a </w:t>
      </w:r>
      <w:proofErr w:type="spellStart"/>
      <w:r>
        <w:rPr>
          <w:rFonts w:ascii="Verdana" w:eastAsia="Verdana" w:hAnsi="Verdana"/>
          <w:color w:val="0C0C0C"/>
          <w:sz w:val="18"/>
          <w:lang w:val="cs-CZ"/>
        </w:rPr>
        <w:t>dopinění</w:t>
      </w:r>
      <w:proofErr w:type="spellEnd"/>
      <w:r>
        <w:rPr>
          <w:rFonts w:ascii="Verdana" w:eastAsia="Verdana" w:hAnsi="Verdana"/>
          <w:color w:val="0C0C0C"/>
          <w:sz w:val="18"/>
          <w:lang w:val="cs-CZ"/>
        </w:rPr>
        <w:t xml:space="preserve"> nové přílohy č. 1 Smlouvy — „Specifikace milníků </w:t>
      </w:r>
      <w:proofErr w:type="spellStart"/>
      <w:r>
        <w:rPr>
          <w:rFonts w:ascii="Verdana" w:eastAsia="Verdana" w:hAnsi="Verdana"/>
          <w:color w:val="0C0C0C"/>
          <w:sz w:val="18"/>
          <w:lang w:val="cs-CZ"/>
        </w:rPr>
        <w:t>pinění</w:t>
      </w:r>
      <w:proofErr w:type="spellEnd"/>
      <w:r>
        <w:rPr>
          <w:rFonts w:ascii="Verdana" w:eastAsia="Verdana" w:hAnsi="Verdana"/>
          <w:color w:val="0C0C0C"/>
          <w:sz w:val="18"/>
          <w:lang w:val="cs-CZ"/>
        </w:rPr>
        <w:t>".</w:t>
      </w:r>
    </w:p>
    <w:p w:rsidR="00510E27" w:rsidRDefault="00C25941">
      <w:pPr>
        <w:spacing w:before="518" w:line="211" w:lineRule="exact"/>
        <w:ind w:left="72"/>
        <w:textAlignment w:val="baseline"/>
        <w:rPr>
          <w:rFonts w:ascii="Verdana" w:eastAsia="Verdana" w:hAnsi="Verdana"/>
          <w:color w:val="0C0C0C"/>
          <w:spacing w:val="12"/>
          <w:sz w:val="18"/>
          <w:lang w:val="cs-CZ"/>
        </w:rPr>
      </w:pPr>
      <w:r>
        <w:rPr>
          <w:rFonts w:ascii="Verdana" w:eastAsia="Verdana" w:hAnsi="Verdana"/>
          <w:color w:val="0C0C0C"/>
          <w:spacing w:val="12"/>
          <w:sz w:val="18"/>
          <w:lang w:val="cs-CZ"/>
        </w:rPr>
        <w:t xml:space="preserve">Za </w:t>
      </w:r>
      <w:proofErr w:type="spellStart"/>
      <w:r>
        <w:rPr>
          <w:rFonts w:ascii="Verdana" w:eastAsia="Verdana" w:hAnsi="Verdana"/>
          <w:color w:val="0C0C0C"/>
          <w:spacing w:val="12"/>
          <w:sz w:val="18"/>
          <w:lang w:val="cs-CZ"/>
        </w:rPr>
        <w:t>rvé</w:t>
      </w:r>
      <w:proofErr w:type="spellEnd"/>
      <w:r>
        <w:rPr>
          <w:rFonts w:ascii="Verdana" w:eastAsia="Verdana" w:hAnsi="Verdana"/>
          <w:color w:val="0C0C0C"/>
          <w:spacing w:val="12"/>
          <w:sz w:val="18"/>
          <w:lang w:val="cs-CZ"/>
        </w:rPr>
        <w:t>:</w:t>
      </w:r>
    </w:p>
    <w:p w:rsidR="00510E27" w:rsidRDefault="00C25941">
      <w:pPr>
        <w:numPr>
          <w:ilvl w:val="0"/>
          <w:numId w:val="2"/>
        </w:numPr>
        <w:tabs>
          <w:tab w:val="clear" w:pos="144"/>
          <w:tab w:val="left" w:pos="216"/>
        </w:tabs>
        <w:spacing w:before="536" w:line="239" w:lineRule="exact"/>
        <w:ind w:left="72"/>
        <w:textAlignment w:val="baseline"/>
        <w:rPr>
          <w:rFonts w:ascii="Verdana" w:eastAsia="Verdana" w:hAnsi="Verdana"/>
          <w:color w:val="0C0C0C"/>
          <w:spacing w:val="4"/>
          <w:sz w:val="18"/>
          <w:lang w:val="cs-CZ"/>
        </w:rPr>
      </w:pPr>
      <w:r>
        <w:pict>
          <v:line id="_x0000_s1037" style="position:absolute;left:0;text-align:left;z-index:251657216;mso-position-horizontal-relative:page;mso-position-vertical-relative:page" from="88.35pt,244.8pt" to="131.35pt,244.8pt" strokecolor="#151515" strokeweight="1.2pt">
            <w10:wrap anchorx="page" anchory="page"/>
          </v:line>
        </w:pict>
      </w:r>
    </w:p>
    <w:p w:rsidR="00510E27" w:rsidRDefault="00C25941">
      <w:pPr>
        <w:spacing w:before="10" w:line="247" w:lineRule="exact"/>
        <w:ind w:left="72"/>
        <w:textAlignment w:val="baseline"/>
        <w:rPr>
          <w:rFonts w:ascii="Verdana" w:eastAsia="Verdana" w:hAnsi="Verdana"/>
          <w:color w:val="0C0C0C"/>
          <w:sz w:val="18"/>
          <w:lang w:val="cs-CZ"/>
        </w:rPr>
      </w:pPr>
      <w:r>
        <w:rPr>
          <w:rFonts w:ascii="Verdana" w:eastAsia="Verdana" w:hAnsi="Verdana"/>
          <w:color w:val="0C0C0C"/>
          <w:sz w:val="18"/>
          <w:lang w:val="cs-CZ"/>
        </w:rPr>
        <w:t xml:space="preserve">Smlouva se doplňuje o přílohu č. I — „Specifikace milníků </w:t>
      </w:r>
      <w:proofErr w:type="spellStart"/>
      <w:r>
        <w:rPr>
          <w:rFonts w:ascii="Verdana" w:eastAsia="Verdana" w:hAnsi="Verdana"/>
          <w:color w:val="0C0C0C"/>
          <w:sz w:val="18"/>
          <w:lang w:val="cs-CZ"/>
        </w:rPr>
        <w:t>pinění</w:t>
      </w:r>
      <w:proofErr w:type="spellEnd"/>
      <w:r>
        <w:rPr>
          <w:rFonts w:ascii="Verdana" w:eastAsia="Verdana" w:hAnsi="Verdana"/>
          <w:color w:val="0C0C0C"/>
          <w:sz w:val="18"/>
          <w:lang w:val="cs-CZ"/>
        </w:rPr>
        <w:t>", která představuje přílohu č. 1 tohot</w:t>
      </w:r>
      <w:r>
        <w:rPr>
          <w:rFonts w:ascii="Verdana" w:eastAsia="Verdana" w:hAnsi="Verdana"/>
          <w:color w:val="0C0C0C"/>
          <w:sz w:val="18"/>
          <w:lang w:val="cs-CZ"/>
        </w:rPr>
        <w:t>o dodatku.</w:t>
      </w:r>
    </w:p>
    <w:p w:rsidR="00510E27" w:rsidRDefault="00510E27">
      <w:pPr>
        <w:numPr>
          <w:ilvl w:val="0"/>
          <w:numId w:val="2"/>
        </w:numPr>
        <w:tabs>
          <w:tab w:val="clear" w:pos="144"/>
          <w:tab w:val="left" w:pos="216"/>
        </w:tabs>
        <w:spacing w:before="515" w:line="240" w:lineRule="exact"/>
        <w:ind w:left="72"/>
        <w:textAlignment w:val="baseline"/>
        <w:rPr>
          <w:rFonts w:ascii="Verdana" w:eastAsia="Verdana" w:hAnsi="Verdana"/>
          <w:color w:val="0C0C0C"/>
          <w:spacing w:val="9"/>
          <w:sz w:val="18"/>
          <w:lang w:val="cs-CZ"/>
        </w:rPr>
      </w:pPr>
    </w:p>
    <w:p w:rsidR="00510E27" w:rsidRDefault="00C25941">
      <w:pPr>
        <w:spacing w:before="25" w:after="259" w:line="244" w:lineRule="exact"/>
        <w:ind w:left="72"/>
        <w:textAlignment w:val="baseline"/>
        <w:rPr>
          <w:rFonts w:ascii="Verdana" w:eastAsia="Verdana" w:hAnsi="Verdana"/>
          <w:color w:val="0C0C0C"/>
          <w:sz w:val="18"/>
          <w:lang w:val="cs-CZ"/>
        </w:rPr>
      </w:pPr>
      <w:r>
        <w:rPr>
          <w:rFonts w:ascii="Verdana" w:eastAsia="Verdana" w:hAnsi="Verdana"/>
          <w:color w:val="0C0C0C"/>
          <w:sz w:val="18"/>
          <w:lang w:val="cs-CZ"/>
        </w:rPr>
        <w:t>Mění se ujednání článku II. odst. 2 Smlouvy tak, že ustanovení odst. 2 článku II. Smlouvy se ruší a nahrazuje se tímto zněním:</w:t>
      </w:r>
    </w:p>
    <w:p w:rsidR="00510E27" w:rsidRDefault="00C25941">
      <w:pPr>
        <w:spacing w:before="538" w:after="141" w:line="261" w:lineRule="exact"/>
        <w:ind w:left="792" w:right="72"/>
        <w:textAlignment w:val="baseline"/>
        <w:rPr>
          <w:rFonts w:eastAsia="Times New Roman"/>
          <w:i/>
          <w:color w:val="0C0C0C"/>
          <w:sz w:val="21"/>
          <w:lang w:val="cs-CZ"/>
        </w:rPr>
      </w:pPr>
      <w:r>
        <w:pict>
          <v:line id="_x0000_s1036" style="position:absolute;left:0;text-align:left;z-index:251658240;mso-position-horizontal-relative:page;mso-position-vertical-relative:page" from="88.35pt,385.45pt" to="542.4pt,385.45pt" strokecolor="#383838" strokeweight=".95pt">
            <w10:wrap anchorx="page" anchory="page"/>
          </v:line>
        </w:pict>
      </w:r>
      <w:r>
        <w:rPr>
          <w:rFonts w:eastAsia="Times New Roman"/>
          <w:i/>
          <w:color w:val="0C0C0C"/>
          <w:sz w:val="21"/>
          <w:lang w:val="cs-CZ"/>
        </w:rPr>
        <w:t>'</w:t>
      </w:r>
      <w:proofErr w:type="spellStart"/>
      <w:r>
        <w:rPr>
          <w:rFonts w:eastAsia="Times New Roman"/>
          <w:i/>
          <w:color w:val="0C0C0C"/>
          <w:sz w:val="21"/>
          <w:lang w:val="cs-CZ"/>
        </w:rPr>
        <w:t>h</w:t>
      </w:r>
      <w:r>
        <w:rPr>
          <w:rFonts w:eastAsia="Times New Roman"/>
          <w:i/>
          <w:color w:val="0C0C0C"/>
          <w:sz w:val="21"/>
          <w:vertAlign w:val="superscript"/>
          <w:lang w:val="cs-CZ"/>
        </w:rPr>
        <w:t>,</w:t>
      </w:r>
      <w:r>
        <w:rPr>
          <w:rFonts w:eastAsia="Times New Roman"/>
          <w:i/>
          <w:color w:val="0C0C0C"/>
          <w:sz w:val="21"/>
          <w:lang w:val="cs-CZ"/>
        </w:rPr>
        <w:t>rmíny</w:t>
      </w:r>
      <w:proofErr w:type="spellEnd"/>
      <w:r>
        <w:rPr>
          <w:rFonts w:eastAsia="Times New Roman"/>
          <w:i/>
          <w:color w:val="0C0C0C"/>
          <w:sz w:val="21"/>
          <w:lang w:val="cs-CZ"/>
        </w:rPr>
        <w:t xml:space="preserve"> </w:t>
      </w:r>
      <w:proofErr w:type="spellStart"/>
      <w:r>
        <w:rPr>
          <w:rFonts w:eastAsia="Times New Roman"/>
          <w:i/>
          <w:color w:val="0C0C0C"/>
          <w:sz w:val="21"/>
          <w:lang w:val="cs-CZ"/>
        </w:rPr>
        <w:t>piněni</w:t>
      </w:r>
      <w:proofErr w:type="spellEnd"/>
      <w:r>
        <w:rPr>
          <w:rFonts w:eastAsia="Times New Roman"/>
          <w:i/>
          <w:color w:val="0C0C0C"/>
          <w:sz w:val="21"/>
          <w:lang w:val="cs-CZ"/>
        </w:rPr>
        <w:t xml:space="preserve"> </w:t>
      </w:r>
      <w:r>
        <w:rPr>
          <w:rFonts w:eastAsia="Times New Roman"/>
          <w:b/>
          <w:i/>
          <w:color w:val="0C0C0C"/>
          <w:sz w:val="21"/>
          <w:lang w:val="cs-CZ"/>
        </w:rPr>
        <w:t xml:space="preserve">jsou vázány na </w:t>
      </w:r>
      <w:proofErr w:type="spellStart"/>
      <w:r>
        <w:rPr>
          <w:rFonts w:eastAsia="Times New Roman"/>
          <w:b/>
          <w:i/>
          <w:color w:val="0C0C0C"/>
          <w:sz w:val="21"/>
          <w:lang w:val="cs-CZ"/>
        </w:rPr>
        <w:t>pinění</w:t>
      </w:r>
      <w:proofErr w:type="spellEnd"/>
      <w:r>
        <w:rPr>
          <w:rFonts w:eastAsia="Times New Roman"/>
          <w:b/>
          <w:i/>
          <w:color w:val="0C0C0C"/>
          <w:sz w:val="21"/>
          <w:lang w:val="cs-CZ"/>
        </w:rPr>
        <w:t xml:space="preserve"> milníků dle přílohy </w:t>
      </w:r>
      <w:r>
        <w:rPr>
          <w:rFonts w:eastAsia="Times New Roman"/>
          <w:i/>
          <w:color w:val="0C0C0C"/>
          <w:sz w:val="21"/>
          <w:lang w:val="cs-CZ"/>
        </w:rPr>
        <w:t xml:space="preserve">Č. </w:t>
      </w:r>
      <w:r>
        <w:rPr>
          <w:rFonts w:eastAsia="Times New Roman"/>
          <w:b/>
          <w:i/>
          <w:color w:val="0C0C0C"/>
          <w:sz w:val="21"/>
          <w:lang w:val="cs-CZ"/>
        </w:rPr>
        <w:t xml:space="preserve">1 této Smlouvy, přičemž tyto milníky budou </w:t>
      </w:r>
      <w:proofErr w:type="spellStart"/>
      <w:r>
        <w:rPr>
          <w:rFonts w:eastAsia="Times New Roman"/>
          <w:b/>
          <w:i/>
          <w:color w:val="0C0C0C"/>
          <w:sz w:val="21"/>
          <w:lang w:val="cs-CZ"/>
        </w:rPr>
        <w:t>piněny</w:t>
      </w:r>
      <w:proofErr w:type="spellEnd"/>
      <w:r>
        <w:rPr>
          <w:rFonts w:eastAsia="Times New Roman"/>
          <w:b/>
          <w:i/>
          <w:color w:val="0C0C0C"/>
          <w:sz w:val="21"/>
          <w:lang w:val="cs-CZ"/>
        </w:rPr>
        <w:t xml:space="preserve"> v následujících termínech: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616"/>
        <w:gridCol w:w="221"/>
        <w:gridCol w:w="5164"/>
      </w:tblGrid>
      <w:tr w:rsidR="00510E2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510E27">
            <w:pPr>
              <w:numPr>
                <w:ilvl w:val="0"/>
                <w:numId w:val="3"/>
              </w:numPr>
              <w:spacing w:before="118" w:line="246" w:lineRule="exact"/>
              <w:ind w:left="0" w:right="91"/>
              <w:jc w:val="right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before="118" w:line="246" w:lineRule="exact"/>
              <w:jc w:val="center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proofErr w:type="gramStart"/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Milník 1— nejpozději</w:t>
            </w:r>
            <w:proofErr w:type="gramEnd"/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 xml:space="preserve"> do 28.</w:t>
            </w:r>
          </w:p>
        </w:tc>
        <w:tc>
          <w:tcPr>
            <w:tcW w:w="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before="118" w:line="246" w:lineRule="exact"/>
              <w:jc w:val="center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2.</w:t>
            </w: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before="118" w:line="246" w:lineRule="exact"/>
              <w:ind w:right="4669"/>
              <w:jc w:val="right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2019</w:t>
            </w:r>
          </w:p>
        </w:tc>
      </w:tr>
      <w:tr w:rsidR="00510E2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510E27">
            <w:pPr>
              <w:numPr>
                <w:ilvl w:val="0"/>
                <w:numId w:val="3"/>
              </w:numPr>
              <w:spacing w:line="246" w:lineRule="exact"/>
              <w:ind w:left="0" w:right="91"/>
              <w:jc w:val="right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line="246" w:lineRule="exact"/>
              <w:jc w:val="center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Milník 2 - nejpozději do 28.</w:t>
            </w:r>
          </w:p>
        </w:tc>
        <w:tc>
          <w:tcPr>
            <w:tcW w:w="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line="246" w:lineRule="exact"/>
              <w:jc w:val="center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2.</w:t>
            </w: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line="246" w:lineRule="exact"/>
              <w:ind w:right="4669"/>
              <w:jc w:val="right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2021</w:t>
            </w:r>
          </w:p>
        </w:tc>
      </w:tr>
      <w:tr w:rsidR="00510E2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510E27">
            <w:pPr>
              <w:numPr>
                <w:ilvl w:val="0"/>
                <w:numId w:val="3"/>
              </w:numPr>
              <w:spacing w:after="38" w:line="252" w:lineRule="exact"/>
              <w:ind w:left="0" w:right="91"/>
              <w:jc w:val="right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after="38" w:line="252" w:lineRule="exact"/>
              <w:jc w:val="center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Milník 3 - nejpozději do 31.</w:t>
            </w:r>
          </w:p>
        </w:tc>
        <w:tc>
          <w:tcPr>
            <w:tcW w:w="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after="38" w:line="252" w:lineRule="exact"/>
              <w:jc w:val="center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8.</w:t>
            </w:r>
          </w:p>
        </w:tc>
        <w:tc>
          <w:tcPr>
            <w:tcW w:w="51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10E27" w:rsidRDefault="00C25941">
            <w:pPr>
              <w:spacing w:after="37" w:line="252" w:lineRule="exact"/>
              <w:ind w:right="4669"/>
              <w:jc w:val="right"/>
              <w:textAlignment w:val="baseline"/>
              <w:rPr>
                <w:rFonts w:eastAsia="Times New Roman"/>
                <w:b/>
                <w:i/>
                <w:color w:val="0C0C0C"/>
                <w:sz w:val="21"/>
                <w:lang w:val="cs-CZ"/>
              </w:rPr>
            </w:pPr>
            <w:r>
              <w:rPr>
                <w:rFonts w:eastAsia="Times New Roman"/>
                <w:b/>
                <w:i/>
                <w:color w:val="0C0C0C"/>
                <w:sz w:val="21"/>
                <w:lang w:val="cs-CZ"/>
              </w:rPr>
              <w:t>2022</w:t>
            </w:r>
          </w:p>
        </w:tc>
      </w:tr>
    </w:tbl>
    <w:p w:rsidR="00510E27" w:rsidRDefault="00510E27">
      <w:pPr>
        <w:spacing w:after="196" w:line="20" w:lineRule="exact"/>
      </w:pPr>
    </w:p>
    <w:p w:rsidR="00510E27" w:rsidRDefault="00C25941">
      <w:pPr>
        <w:spacing w:before="272" w:after="278" w:line="251" w:lineRule="exact"/>
        <w:ind w:left="72" w:right="72"/>
        <w:jc w:val="both"/>
        <w:textAlignment w:val="baseline"/>
        <w:rPr>
          <w:rFonts w:ascii="Verdana" w:eastAsia="Verdana" w:hAnsi="Verdana"/>
          <w:color w:val="0C0C0C"/>
          <w:sz w:val="18"/>
          <w:lang w:val="cs-CZ"/>
        </w:rPr>
      </w:pPr>
      <w:r>
        <w:pict>
          <v:line id="_x0000_s1035" style="position:absolute;left:0;text-align:left;z-index:251659264;mso-position-horizontal-relative:page;mso-position-vertical-relative:page" from="88.35pt,503.75pt" to="542.4pt,503.75pt" strokecolor="#2d2d2d" strokeweight=".95pt">
            <w10:wrap anchorx="page" anchory="page"/>
          </v:line>
        </w:pict>
      </w:r>
      <w:r>
        <w:rPr>
          <w:rFonts w:ascii="Verdana" w:eastAsia="Verdana" w:hAnsi="Verdana"/>
          <w:color w:val="0C0C0C"/>
          <w:sz w:val="18"/>
          <w:lang w:val="cs-CZ"/>
        </w:rPr>
        <w:t>3) M</w:t>
      </w:r>
      <w:r>
        <w:rPr>
          <w:rFonts w:ascii="Verdana" w:eastAsia="Verdana" w:hAnsi="Verdana"/>
          <w:color w:val="0C0C0C"/>
          <w:sz w:val="18"/>
          <w:lang w:val="cs-CZ"/>
        </w:rPr>
        <w:t>ění se ujednání odst. 4 článku VI. Smlouvy tak, že ustanovení článku VI. odst. 4 Smlouvy se ruší a nahrazuje se tímto zněním:</w:t>
      </w:r>
    </w:p>
    <w:p w:rsidR="00510E27" w:rsidRDefault="00C25941">
      <w:pPr>
        <w:tabs>
          <w:tab w:val="right" w:pos="9000"/>
        </w:tabs>
        <w:spacing w:before="284" w:line="252" w:lineRule="exact"/>
        <w:ind w:left="72"/>
        <w:textAlignment w:val="baseline"/>
        <w:rPr>
          <w:rFonts w:eastAsia="Times New Roman"/>
          <w:b/>
          <w:i/>
          <w:color w:val="0C0C0C"/>
          <w:sz w:val="21"/>
          <w:lang w:val="cs-CZ"/>
        </w:rPr>
      </w:pPr>
      <w:r>
        <w:pict>
          <v:line id="_x0000_s1034" style="position:absolute;left:0;text-align:left;z-index:251660288;mso-position-horizontal-relative:page;mso-position-vertical-relative:page" from="88.35pt,556.3pt" to="542.4pt,556.3pt" strokecolor="#333" strokeweight=".7pt">
            <w10:wrap anchorx="page" anchory="page"/>
          </v:line>
        </w:pict>
      </w:r>
      <w:r>
        <w:rPr>
          <w:rFonts w:eastAsia="Times New Roman"/>
          <w:b/>
          <w:i/>
          <w:color w:val="0C0C0C"/>
          <w:sz w:val="21"/>
          <w:lang w:val="cs-CZ"/>
        </w:rPr>
        <w:t>4.</w:t>
      </w:r>
      <w:r>
        <w:rPr>
          <w:rFonts w:eastAsia="Times New Roman"/>
          <w:b/>
          <w:i/>
          <w:color w:val="0C0C0C"/>
          <w:sz w:val="21"/>
          <w:lang w:val="cs-CZ"/>
        </w:rPr>
        <w:tab/>
        <w:t>Hrazení jednotlivých částí odměny za Služby bude prováděno v Kč, bezhotovostními převody</w:t>
      </w:r>
    </w:p>
    <w:p w:rsidR="00510E27" w:rsidRDefault="00C25941">
      <w:pPr>
        <w:spacing w:after="265" w:line="250" w:lineRule="exact"/>
        <w:ind w:left="720" w:right="72"/>
        <w:jc w:val="both"/>
        <w:textAlignment w:val="baseline"/>
        <w:rPr>
          <w:rFonts w:eastAsia="Times New Roman"/>
          <w:b/>
          <w:i/>
          <w:color w:val="0C0C0C"/>
          <w:spacing w:val="3"/>
          <w:sz w:val="21"/>
          <w:lang w:val="cs-CZ"/>
        </w:rPr>
      </w:pPr>
      <w:r>
        <w:rPr>
          <w:rFonts w:eastAsia="Times New Roman"/>
          <w:b/>
          <w:i/>
          <w:color w:val="0C0C0C"/>
          <w:spacing w:val="3"/>
          <w:sz w:val="21"/>
          <w:lang w:val="cs-CZ"/>
        </w:rPr>
        <w:t>na účet EY, na základě daňových dokla</w:t>
      </w:r>
      <w:r>
        <w:rPr>
          <w:rFonts w:eastAsia="Times New Roman"/>
          <w:b/>
          <w:i/>
          <w:color w:val="0C0C0C"/>
          <w:spacing w:val="3"/>
          <w:sz w:val="21"/>
          <w:lang w:val="cs-CZ"/>
        </w:rPr>
        <w:t xml:space="preserve">dů vystavených EY v souladu se zákonem č. 235/2004 Sb., o dani z přidané hodnoty, ve znění pozdějších předpisů a v souladu s ostatními právními předpisy. Faktury </w:t>
      </w:r>
      <w:r>
        <w:rPr>
          <w:rFonts w:eastAsia="Times New Roman"/>
          <w:i/>
          <w:color w:val="0C0C0C"/>
          <w:spacing w:val="3"/>
          <w:sz w:val="21"/>
          <w:lang w:val="cs-CZ"/>
        </w:rPr>
        <w:t>musí obsahovat veškeré zákonné náležitosti, tj. zejména název a sídlo Klienta, daňové identifi</w:t>
      </w:r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kační číslo Klienta, název a sídlo EY, daňové </w:t>
      </w:r>
      <w:proofErr w:type="gramStart"/>
      <w:r>
        <w:rPr>
          <w:rFonts w:eastAsia="Times New Roman"/>
          <w:i/>
          <w:color w:val="0C0C0C"/>
          <w:spacing w:val="3"/>
          <w:sz w:val="21"/>
          <w:lang w:val="cs-CZ"/>
        </w:rPr>
        <w:t>identifikační  číslo</w:t>
      </w:r>
      <w:proofErr w:type="gramEnd"/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 EY, evidenční číslo daňového dokladu, rozsah a předmět </w:t>
      </w:r>
      <w:proofErr w:type="spellStart"/>
      <w:r>
        <w:rPr>
          <w:rFonts w:eastAsia="Times New Roman"/>
          <w:i/>
          <w:color w:val="0C0C0C"/>
          <w:spacing w:val="3"/>
          <w:sz w:val="21"/>
          <w:lang w:val="cs-CZ"/>
        </w:rPr>
        <w:t>pinění</w:t>
      </w:r>
      <w:proofErr w:type="spellEnd"/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, datum vystavení daňového dokladu, datum uskutečnění </w:t>
      </w:r>
      <w:proofErr w:type="spellStart"/>
      <w:r>
        <w:rPr>
          <w:rFonts w:eastAsia="Times New Roman"/>
          <w:i/>
          <w:color w:val="0C0C0C"/>
          <w:spacing w:val="3"/>
          <w:sz w:val="21"/>
          <w:lang w:val="cs-CZ"/>
        </w:rPr>
        <w:t>pinění</w:t>
      </w:r>
      <w:proofErr w:type="spellEnd"/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 nebo datum přijetí úplaty (a to den, který nastane dříve), jednotko</w:t>
      </w:r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vou cenu bez DPH, celkovou cenu bez DPH a včetně DPH, prohlášení, že účtované </w:t>
      </w:r>
      <w:proofErr w:type="spellStart"/>
      <w:r>
        <w:rPr>
          <w:rFonts w:eastAsia="Times New Roman"/>
          <w:i/>
          <w:color w:val="0C0C0C"/>
          <w:spacing w:val="3"/>
          <w:sz w:val="21"/>
          <w:lang w:val="cs-CZ"/>
        </w:rPr>
        <w:t>piněni</w:t>
      </w:r>
      <w:proofErr w:type="spellEnd"/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 je poskytováno pro účely projektu „ </w:t>
      </w:r>
      <w:proofErr w:type="spellStart"/>
      <w:r>
        <w:rPr>
          <w:rFonts w:eastAsia="Times New Roman"/>
          <w:i/>
          <w:color w:val="0C0C0C"/>
          <w:spacing w:val="3"/>
          <w:sz w:val="21"/>
          <w:lang w:val="cs-CZ"/>
        </w:rPr>
        <w:t>Destigmatizace</w:t>
      </w:r>
      <w:proofErr w:type="spellEnd"/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 lidí s duševním onemocněním v ČR zkráceně </w:t>
      </w:r>
      <w:proofErr w:type="spellStart"/>
      <w:r>
        <w:rPr>
          <w:rFonts w:eastAsia="Times New Roman"/>
          <w:i/>
          <w:color w:val="0C0C0C"/>
          <w:spacing w:val="3"/>
          <w:sz w:val="21"/>
          <w:lang w:val="cs-CZ"/>
        </w:rPr>
        <w:t>Destigmatizace</w:t>
      </w:r>
      <w:proofErr w:type="spellEnd"/>
      <w:r>
        <w:rPr>
          <w:rFonts w:eastAsia="Times New Roman"/>
          <w:i/>
          <w:color w:val="0C0C0C"/>
          <w:spacing w:val="3"/>
          <w:sz w:val="21"/>
          <w:lang w:val="cs-CZ"/>
        </w:rPr>
        <w:t>, CZ.03.2.63/0.0/0.0/15 039/0007276, v rámci Operačního programu</w:t>
      </w:r>
      <w:r>
        <w:rPr>
          <w:rFonts w:eastAsia="Times New Roman"/>
          <w:i/>
          <w:color w:val="0C0C0C"/>
          <w:spacing w:val="3"/>
          <w:sz w:val="21"/>
          <w:lang w:val="cs-CZ"/>
        </w:rPr>
        <w:t xml:space="preserve"> zaměstnanost (dále jen „OP Z").</w:t>
      </w:r>
    </w:p>
    <w:p w:rsidR="00510E27" w:rsidRDefault="00C25941">
      <w:pPr>
        <w:spacing w:before="289" w:line="240" w:lineRule="exact"/>
        <w:ind w:left="72" w:right="72"/>
        <w:jc w:val="both"/>
        <w:textAlignment w:val="baseline"/>
        <w:rPr>
          <w:rFonts w:ascii="Verdana" w:eastAsia="Verdana" w:hAnsi="Verdana"/>
          <w:color w:val="0C0C0C"/>
          <w:sz w:val="18"/>
          <w:lang w:val="cs-CZ"/>
        </w:rPr>
      </w:pPr>
      <w:r>
        <w:pict>
          <v:line id="_x0000_s1033" style="position:absolute;left:0;text-align:left;z-index:251661312;mso-position-horizontal-relative:page;mso-position-vertical-relative:page" from="88.35pt,722.4pt" to="542.4pt,722.4pt" strokecolor="#282828" strokeweight=".95pt">
            <w10:wrap anchorx="page" anchory="page"/>
          </v:line>
        </w:pict>
      </w:r>
      <w:r>
        <w:rPr>
          <w:rFonts w:ascii="Verdana" w:eastAsia="Verdana" w:hAnsi="Verdana"/>
          <w:color w:val="0C0C0C"/>
          <w:sz w:val="18"/>
          <w:lang w:val="cs-CZ"/>
        </w:rPr>
        <w:t xml:space="preserve">4) Mění se ujednání odst. 6 článku </w:t>
      </w:r>
      <w:proofErr w:type="spellStart"/>
      <w:r>
        <w:rPr>
          <w:rFonts w:ascii="Verdana" w:eastAsia="Verdana" w:hAnsi="Verdana"/>
          <w:color w:val="0C0C0C"/>
          <w:sz w:val="18"/>
          <w:lang w:val="cs-CZ"/>
        </w:rPr>
        <w:t>Vl</w:t>
      </w:r>
      <w:proofErr w:type="spellEnd"/>
      <w:r>
        <w:rPr>
          <w:rFonts w:ascii="Verdana" w:eastAsia="Verdana" w:hAnsi="Verdana"/>
          <w:color w:val="0C0C0C"/>
          <w:sz w:val="18"/>
          <w:lang w:val="cs-CZ"/>
        </w:rPr>
        <w:t>. Smlouvy tak, že ustanovení článku VI. odst. 6 Smlouvy se ruší a nahrazuje se tímto zněním:</w:t>
      </w:r>
    </w:p>
    <w:p w:rsidR="00510E27" w:rsidRDefault="00510E27">
      <w:pPr>
        <w:sectPr w:rsidR="00510E27">
          <w:pgSz w:w="11923" w:h="16762"/>
          <w:pgMar w:top="360" w:right="1076" w:bottom="766" w:left="1767" w:header="720" w:footer="720" w:gutter="0"/>
          <w:cols w:space="708"/>
        </w:sectPr>
      </w:pPr>
    </w:p>
    <w:p w:rsidR="00510E27" w:rsidRDefault="00C25941">
      <w:pPr>
        <w:rPr>
          <w:sz w:val="2"/>
        </w:rPr>
      </w:pPr>
      <w:r>
        <w:lastRenderedPageBreak/>
        <w:pict>
          <v:shape id="_x0000_s1032" type="#_x0000_t202" style="position:absolute;margin-left:304.9pt;margin-top:779.75pt;width:15.15pt;height:11.9pt;z-index:-251663360;mso-wrap-distance-left:0;mso-wrap-distance-right:0;mso-position-horizontal-relative:page;mso-position-vertical-relative:page" filled="f" stroked="f">
            <v:textbox inset="0,0,0,0">
              <w:txbxContent>
                <w:p w:rsidR="00510E27" w:rsidRDefault="00C25941">
                  <w:pPr>
                    <w:spacing w:line="230" w:lineRule="exact"/>
                    <w:textAlignment w:val="baseline"/>
                    <w:rPr>
                      <w:rFonts w:eastAsia="Times New Roman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sz w:val="21"/>
                      <w:lang w:val="cs-CZ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49"/>
        <w:gridCol w:w="423"/>
        <w:gridCol w:w="7796"/>
      </w:tblGrid>
      <w:tr w:rsidR="00510E2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43265" w:fill="143265"/>
          </w:tcPr>
          <w:p w:rsidR="00510E27" w:rsidRDefault="00C25941">
            <w:pPr>
              <w:spacing w:before="97" w:line="115" w:lineRule="exact"/>
              <w:ind w:right="34"/>
              <w:jc w:val="right"/>
              <w:textAlignment w:val="baseline"/>
              <w:rPr>
                <w:rFonts w:ascii="Bookman Old Style" w:eastAsia="Bookman Old Style" w:hAnsi="Bookman Old Style"/>
                <w:color w:val="CAC944"/>
                <w:sz w:val="16"/>
                <w:lang w:val="cs-CZ"/>
              </w:rPr>
            </w:pPr>
            <w:r>
              <w:rPr>
                <w:rFonts w:ascii="Bookman Old Style" w:eastAsia="Bookman Old Style" w:hAnsi="Bookman Old Style"/>
                <w:color w:val="CAC944"/>
                <w:sz w:val="16"/>
                <w:lang w:val="cs-CZ"/>
              </w:rPr>
              <w:t>*</w:t>
            </w:r>
          </w:p>
          <w:p w:rsidR="00510E27" w:rsidRDefault="00C25941">
            <w:pPr>
              <w:spacing w:line="128" w:lineRule="exact"/>
              <w:ind w:right="124"/>
              <w:jc w:val="right"/>
              <w:textAlignment w:val="baseline"/>
              <w:rPr>
                <w:rFonts w:eastAsia="Times New Roman"/>
                <w:color w:val="CAC944"/>
                <w:sz w:val="9"/>
                <w:lang w:val="cs-CZ"/>
              </w:rPr>
            </w:pPr>
            <w:r>
              <w:rPr>
                <w:rFonts w:eastAsia="Times New Roman"/>
                <w:color w:val="CAC944"/>
                <w:sz w:val="9"/>
                <w:lang w:val="cs-CZ"/>
              </w:rPr>
              <w:t>•</w:t>
            </w:r>
          </w:p>
          <w:p w:rsidR="00510E27" w:rsidRDefault="00C25941">
            <w:pPr>
              <w:spacing w:before="92" w:line="156" w:lineRule="exact"/>
              <w:ind w:right="124"/>
              <w:jc w:val="right"/>
              <w:textAlignment w:val="baseline"/>
              <w:rPr>
                <w:rFonts w:eastAsia="Times New Roman"/>
                <w:color w:val="CAC944"/>
                <w:sz w:val="9"/>
                <w:lang w:val="cs-CZ"/>
              </w:rPr>
            </w:pPr>
            <w:r>
              <w:rPr>
                <w:rFonts w:eastAsia="Times New Roman"/>
                <w:color w:val="CAC944"/>
                <w:sz w:val="9"/>
                <w:lang w:val="cs-CZ"/>
              </w:rPr>
              <w:t>•</w:t>
            </w:r>
          </w:p>
          <w:p w:rsidR="00510E27" w:rsidRDefault="00C25941">
            <w:pPr>
              <w:spacing w:after="97" w:line="107" w:lineRule="exact"/>
              <w:ind w:right="34"/>
              <w:jc w:val="right"/>
              <w:textAlignment w:val="baseline"/>
              <w:rPr>
                <w:rFonts w:eastAsia="Times New Roman"/>
                <w:color w:val="CAC944"/>
                <w:sz w:val="9"/>
                <w:lang w:val="cs-CZ"/>
              </w:rPr>
            </w:pPr>
            <w:r>
              <w:rPr>
                <w:rFonts w:eastAsia="Times New Roman"/>
                <w:color w:val="CAC944"/>
                <w:sz w:val="9"/>
                <w:lang w:val="cs-CZ"/>
              </w:rPr>
              <w:t>*</w:t>
            </w:r>
          </w:p>
        </w:tc>
        <w:tc>
          <w:tcPr>
            <w:tcW w:w="2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43265" w:fill="143265"/>
          </w:tcPr>
          <w:p w:rsidR="00510E27" w:rsidRDefault="00C25941">
            <w:pPr>
              <w:spacing w:before="97" w:line="155" w:lineRule="exact"/>
              <w:ind w:right="14"/>
              <w:jc w:val="right"/>
              <w:textAlignment w:val="baseline"/>
              <w:rPr>
                <w:rFonts w:ascii="Bookman Old Style" w:eastAsia="Bookman Old Style" w:hAnsi="Bookman Old Style"/>
                <w:color w:val="CAC944"/>
                <w:sz w:val="16"/>
                <w:lang w:val="cs-CZ"/>
              </w:rPr>
            </w:pPr>
            <w:r>
              <w:rPr>
                <w:rFonts w:ascii="Bookman Old Style" w:eastAsia="Bookman Old Style" w:hAnsi="Bookman Old Style"/>
                <w:color w:val="CAC944"/>
                <w:sz w:val="16"/>
                <w:lang w:val="cs-CZ"/>
              </w:rPr>
              <w:t>r</w:t>
            </w:r>
          </w:p>
          <w:p w:rsidR="00510E27" w:rsidRDefault="00C25941">
            <w:pPr>
              <w:spacing w:before="326" w:after="97" w:line="117" w:lineRule="exact"/>
              <w:ind w:right="14"/>
              <w:jc w:val="right"/>
              <w:textAlignment w:val="baseline"/>
              <w:rPr>
                <w:rFonts w:eastAsia="Times New Roman"/>
                <w:color w:val="E6E04C"/>
                <w:sz w:val="9"/>
                <w:lang w:val="cs-CZ"/>
              </w:rPr>
            </w:pPr>
            <w:r>
              <w:rPr>
                <w:rFonts w:eastAsia="Times New Roman"/>
                <w:color w:val="E6E04C"/>
                <w:sz w:val="9"/>
                <w:lang w:val="cs-CZ"/>
              </w:rPr>
              <w:t>**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143265" w:fill="143265"/>
            <w:vAlign w:val="center"/>
          </w:tcPr>
          <w:p w:rsidR="00510E27" w:rsidRDefault="00C25941">
            <w:pPr>
              <w:spacing w:before="223" w:line="117" w:lineRule="exact"/>
              <w:ind w:right="324"/>
              <w:jc w:val="right"/>
              <w:textAlignment w:val="baseline"/>
              <w:rPr>
                <w:rFonts w:eastAsia="Times New Roman"/>
                <w:color w:val="CAC944"/>
                <w:sz w:val="9"/>
                <w:lang w:val="cs-CZ"/>
              </w:rPr>
            </w:pPr>
            <w:r>
              <w:rPr>
                <w:rFonts w:eastAsia="Times New Roman"/>
                <w:color w:val="CAC944"/>
                <w:sz w:val="9"/>
                <w:lang w:val="cs-CZ"/>
              </w:rPr>
              <w:t>*</w:t>
            </w:r>
          </w:p>
          <w:p w:rsidR="00510E27" w:rsidRDefault="00C25941">
            <w:pPr>
              <w:spacing w:before="142" w:after="193" w:line="117" w:lineRule="exact"/>
              <w:ind w:right="324"/>
              <w:jc w:val="right"/>
              <w:textAlignment w:val="baseline"/>
              <w:rPr>
                <w:rFonts w:eastAsia="Times New Roman"/>
                <w:color w:val="CAC944"/>
                <w:sz w:val="9"/>
                <w:lang w:val="cs-CZ"/>
              </w:rPr>
            </w:pPr>
            <w:r>
              <w:rPr>
                <w:rFonts w:eastAsia="Times New Roman"/>
                <w:color w:val="CAC944"/>
                <w:sz w:val="9"/>
                <w:lang w:val="cs-CZ"/>
              </w:rPr>
              <w:t>*</w:t>
            </w:r>
          </w:p>
        </w:tc>
        <w:tc>
          <w:tcPr>
            <w:tcW w:w="77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C25941">
            <w:pPr>
              <w:spacing w:before="51" w:line="219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7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7"/>
                <w:lang w:val="cs-CZ"/>
              </w:rPr>
              <w:t>Evropská unie</w:t>
            </w:r>
          </w:p>
          <w:p w:rsidR="00510E27" w:rsidRDefault="00C25941">
            <w:pPr>
              <w:spacing w:line="217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7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7"/>
                <w:lang w:val="cs-CZ"/>
              </w:rPr>
              <w:t>Evropský sociální fond</w:t>
            </w:r>
          </w:p>
          <w:p w:rsidR="00510E27" w:rsidRDefault="00C25941">
            <w:pPr>
              <w:spacing w:after="77" w:line="228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7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7"/>
                <w:lang w:val="cs-CZ"/>
              </w:rPr>
              <w:t>Opera</w:t>
            </w:r>
            <w:r>
              <w:rPr>
                <w:rFonts w:ascii="Tahoma" w:eastAsia="Tahoma" w:hAnsi="Tahoma"/>
                <w:color w:val="000000"/>
                <w:sz w:val="17"/>
                <w:lang w:val="cs-CZ"/>
              </w:rPr>
              <w:t>ční program Zaměstnanost</w:t>
            </w:r>
          </w:p>
        </w:tc>
      </w:tr>
    </w:tbl>
    <w:p w:rsidR="00510E27" w:rsidRDefault="00510E27">
      <w:pPr>
        <w:spacing w:after="389" w:line="20" w:lineRule="exact"/>
      </w:pPr>
    </w:p>
    <w:p w:rsidR="00510E27" w:rsidRDefault="00C25941">
      <w:pPr>
        <w:tabs>
          <w:tab w:val="right" w:pos="9000"/>
        </w:tabs>
        <w:spacing w:before="287" w:line="242" w:lineRule="exact"/>
        <w:ind w:left="360"/>
        <w:textAlignment w:val="baseline"/>
        <w:rPr>
          <w:rFonts w:ascii="Tahoma" w:eastAsia="Tahoma" w:hAnsi="Tahoma"/>
          <w:color w:val="000000"/>
          <w:sz w:val="17"/>
          <w:lang w:val="cs-CZ"/>
        </w:rPr>
      </w:pPr>
      <w:r>
        <w:pict>
          <v:line id="_x0000_s1031" style="position:absolute;left:0;text-align:left;z-index:251662336;mso-position-horizontal-relative:page;mso-position-vertical-relative:page" from="85.35pt,95.5pt" to="539.4pt,95.5pt" strokecolor="#363535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7"/>
          <w:lang w:val="cs-CZ"/>
        </w:rPr>
        <w:t>6</w:t>
      </w:r>
      <w:r>
        <w:rPr>
          <w:rFonts w:ascii="Tahoma" w:eastAsia="Tahoma" w:hAnsi="Tahoma"/>
          <w:color w:val="000000"/>
          <w:sz w:val="17"/>
          <w:lang w:val="cs-CZ"/>
        </w:rPr>
        <w:tab/>
      </w:r>
      <w:r>
        <w:rPr>
          <w:rFonts w:eastAsia="Times New Roman"/>
          <w:b/>
          <w:i/>
          <w:color w:val="000000"/>
          <w:sz w:val="21"/>
          <w:lang w:val="cs-CZ"/>
        </w:rPr>
        <w:t xml:space="preserve">EY může faktury vystavit teprve po řádném </w:t>
      </w:r>
      <w:proofErr w:type="gramStart"/>
      <w:r>
        <w:rPr>
          <w:rFonts w:eastAsia="Times New Roman"/>
          <w:b/>
          <w:i/>
          <w:color w:val="000000"/>
          <w:sz w:val="21"/>
          <w:lang w:val="cs-CZ"/>
        </w:rPr>
        <w:t>poskytnuti</w:t>
      </w:r>
      <w:proofErr w:type="gramEnd"/>
      <w:r>
        <w:rPr>
          <w:rFonts w:eastAsia="Times New Roman"/>
          <w:b/>
          <w:i/>
          <w:color w:val="000000"/>
          <w:sz w:val="21"/>
          <w:lang w:val="cs-CZ"/>
        </w:rPr>
        <w:t xml:space="preserve"> Služeb v rozsahu jednotlivých milníků</w:t>
      </w:r>
    </w:p>
    <w:p w:rsidR="00510E27" w:rsidRDefault="00C25941">
      <w:pPr>
        <w:spacing w:before="16" w:line="242" w:lineRule="exact"/>
        <w:ind w:left="864"/>
        <w:textAlignment w:val="baseline"/>
        <w:rPr>
          <w:rFonts w:eastAsia="Times New Roman"/>
          <w:b/>
          <w:i/>
          <w:color w:val="000000"/>
          <w:spacing w:val="1"/>
          <w:sz w:val="21"/>
          <w:lang w:val="cs-CZ"/>
        </w:rPr>
      </w:pPr>
      <w:r>
        <w:rPr>
          <w:rFonts w:eastAsia="Times New Roman"/>
          <w:b/>
          <w:i/>
          <w:color w:val="000000"/>
          <w:spacing w:val="1"/>
          <w:sz w:val="21"/>
          <w:lang w:val="cs-CZ"/>
        </w:rPr>
        <w:t>dle přílohy č. I této Smlouvy, kdy</w:t>
      </w:r>
    </w:p>
    <w:p w:rsidR="00510E27" w:rsidRDefault="00C25941">
      <w:pPr>
        <w:numPr>
          <w:ilvl w:val="0"/>
          <w:numId w:val="4"/>
        </w:numPr>
        <w:tabs>
          <w:tab w:val="clear" w:pos="288"/>
          <w:tab w:val="left" w:pos="1152"/>
        </w:tabs>
        <w:spacing w:before="246" w:line="260" w:lineRule="exact"/>
        <w:ind w:left="1152" w:hanging="288"/>
        <w:textAlignment w:val="baseline"/>
        <w:rPr>
          <w:rFonts w:eastAsia="Times New Roman"/>
          <w:b/>
          <w:i/>
          <w:color w:val="000000"/>
          <w:sz w:val="21"/>
          <w:lang w:val="cs-CZ"/>
        </w:rPr>
      </w:pPr>
      <w:r>
        <w:rPr>
          <w:rFonts w:eastAsia="Times New Roman"/>
          <w:b/>
          <w:i/>
          <w:color w:val="000000"/>
          <w:sz w:val="21"/>
          <w:lang w:val="cs-CZ"/>
        </w:rPr>
        <w:t xml:space="preserve">za </w:t>
      </w:r>
      <w:r>
        <w:rPr>
          <w:rFonts w:eastAsia="Times New Roman"/>
          <w:b/>
          <w:i/>
          <w:color w:val="000000"/>
          <w:sz w:val="21"/>
          <w:lang w:val="cs-CZ"/>
        </w:rPr>
        <w:t xml:space="preserve">řádně a včas dokončený Milník 1, tj. za řádně a včas zpracované výstupy a za řádně a včas poskytnuté služby dle Milníku 1 náleží EY část odměny ve výši </w:t>
      </w:r>
      <w:proofErr w:type="gramStart"/>
      <w:r>
        <w:rPr>
          <w:rFonts w:eastAsia="Times New Roman"/>
          <w:b/>
          <w:i/>
          <w:color w:val="000000"/>
          <w:sz w:val="21"/>
          <w:lang w:val="cs-CZ"/>
        </w:rPr>
        <w:t>121 000.- Kč</w:t>
      </w:r>
      <w:proofErr w:type="gramEnd"/>
      <w:r>
        <w:rPr>
          <w:rFonts w:eastAsia="Times New Roman"/>
          <w:b/>
          <w:i/>
          <w:color w:val="000000"/>
          <w:sz w:val="21"/>
          <w:lang w:val="cs-CZ"/>
        </w:rPr>
        <w:t xml:space="preserve"> (slovy jedno sto dvacet jedna tisíc korun českých);</w:t>
      </w:r>
    </w:p>
    <w:p w:rsidR="00510E27" w:rsidRDefault="00C25941">
      <w:pPr>
        <w:numPr>
          <w:ilvl w:val="0"/>
          <w:numId w:val="4"/>
        </w:numPr>
        <w:tabs>
          <w:tab w:val="clear" w:pos="288"/>
          <w:tab w:val="left" w:pos="1152"/>
        </w:tabs>
        <w:spacing w:before="260" w:line="259" w:lineRule="exact"/>
        <w:ind w:left="1152" w:hanging="288"/>
        <w:jc w:val="both"/>
        <w:textAlignment w:val="baseline"/>
        <w:rPr>
          <w:rFonts w:eastAsia="Times New Roman"/>
          <w:b/>
          <w:i/>
          <w:color w:val="000000"/>
          <w:sz w:val="21"/>
          <w:lang w:val="cs-CZ"/>
        </w:rPr>
      </w:pPr>
      <w:r>
        <w:rPr>
          <w:rFonts w:eastAsia="Times New Roman"/>
          <w:b/>
          <w:i/>
          <w:color w:val="000000"/>
          <w:sz w:val="21"/>
          <w:lang w:val="cs-CZ"/>
        </w:rPr>
        <w:t>za řádně a včas dokončený Milník 2, tj.</w:t>
      </w:r>
      <w:r>
        <w:rPr>
          <w:rFonts w:eastAsia="Times New Roman"/>
          <w:b/>
          <w:i/>
          <w:color w:val="000000"/>
          <w:sz w:val="21"/>
          <w:lang w:val="cs-CZ"/>
        </w:rPr>
        <w:t xml:space="preserve"> za řádně a včas zpracované výstupy a za řádně a včas poskytnuté služby dle Milníku 2 náleží EY část odměny ve výši </w:t>
      </w:r>
      <w:proofErr w:type="gramStart"/>
      <w:r>
        <w:rPr>
          <w:rFonts w:eastAsia="Times New Roman"/>
          <w:b/>
          <w:i/>
          <w:color w:val="000000"/>
          <w:sz w:val="21"/>
          <w:lang w:val="cs-CZ"/>
        </w:rPr>
        <w:t>121 000.- Kč</w:t>
      </w:r>
      <w:proofErr w:type="gramEnd"/>
      <w:r>
        <w:rPr>
          <w:rFonts w:eastAsia="Times New Roman"/>
          <w:b/>
          <w:i/>
          <w:color w:val="000000"/>
          <w:sz w:val="21"/>
          <w:lang w:val="cs-CZ"/>
        </w:rPr>
        <w:t xml:space="preserve"> (slovy jedno sto dvacet jedna tisíc korun českých);</w:t>
      </w:r>
    </w:p>
    <w:p w:rsidR="00510E27" w:rsidRDefault="00C25941">
      <w:pPr>
        <w:numPr>
          <w:ilvl w:val="0"/>
          <w:numId w:val="4"/>
        </w:numPr>
        <w:tabs>
          <w:tab w:val="clear" w:pos="288"/>
          <w:tab w:val="left" w:pos="1152"/>
        </w:tabs>
        <w:spacing w:before="256" w:line="260" w:lineRule="exact"/>
        <w:ind w:left="1152" w:hanging="288"/>
        <w:jc w:val="both"/>
        <w:textAlignment w:val="baseline"/>
        <w:rPr>
          <w:rFonts w:eastAsia="Times New Roman"/>
          <w:b/>
          <w:i/>
          <w:color w:val="000000"/>
          <w:sz w:val="21"/>
          <w:lang w:val="cs-CZ"/>
        </w:rPr>
      </w:pPr>
      <w:r>
        <w:rPr>
          <w:rFonts w:eastAsia="Times New Roman"/>
          <w:b/>
          <w:i/>
          <w:color w:val="000000"/>
          <w:sz w:val="21"/>
          <w:lang w:val="cs-CZ"/>
        </w:rPr>
        <w:t xml:space="preserve">za řádně a včas dokončený Milník 3, tj. za řádně a včas zpracované výstupy </w:t>
      </w:r>
      <w:r>
        <w:rPr>
          <w:rFonts w:eastAsia="Times New Roman"/>
          <w:b/>
          <w:i/>
          <w:color w:val="000000"/>
          <w:sz w:val="21"/>
          <w:lang w:val="cs-CZ"/>
        </w:rPr>
        <w:t xml:space="preserve">a za řádně a včas poskytnuté služby dle Milníku 3 náleží EY část odměny ve výši </w:t>
      </w:r>
      <w:proofErr w:type="gramStart"/>
      <w:r>
        <w:rPr>
          <w:rFonts w:eastAsia="Times New Roman"/>
          <w:b/>
          <w:i/>
          <w:color w:val="000000"/>
          <w:sz w:val="21"/>
          <w:lang w:val="cs-CZ"/>
        </w:rPr>
        <w:t>121 000.- Kč</w:t>
      </w:r>
      <w:proofErr w:type="gramEnd"/>
      <w:r>
        <w:rPr>
          <w:rFonts w:eastAsia="Times New Roman"/>
          <w:b/>
          <w:i/>
          <w:color w:val="000000"/>
          <w:sz w:val="21"/>
          <w:lang w:val="cs-CZ"/>
        </w:rPr>
        <w:t xml:space="preserve"> (slovy jedno sto dvacet jedna tisíc korun českých);</w:t>
      </w:r>
    </w:p>
    <w:p w:rsidR="00510E27" w:rsidRDefault="00C25941">
      <w:pPr>
        <w:spacing w:before="255" w:after="238" w:line="263" w:lineRule="exact"/>
        <w:ind w:left="864"/>
        <w:jc w:val="both"/>
        <w:textAlignment w:val="baseline"/>
        <w:rPr>
          <w:rFonts w:eastAsia="Times New Roman"/>
          <w:b/>
          <w:i/>
          <w:color w:val="000000"/>
          <w:sz w:val="21"/>
          <w:lang w:val="cs-CZ"/>
        </w:rPr>
      </w:pPr>
      <w:r>
        <w:rPr>
          <w:rFonts w:eastAsia="Times New Roman"/>
          <w:b/>
          <w:i/>
          <w:color w:val="000000"/>
          <w:sz w:val="21"/>
          <w:lang w:val="cs-CZ"/>
        </w:rPr>
        <w:t>přičemž splatnost každé faktury bude činit třicet kalendářních dnů ode dne jejího doručení Klientovi. Za doruče</w:t>
      </w:r>
      <w:r>
        <w:rPr>
          <w:rFonts w:eastAsia="Times New Roman"/>
          <w:b/>
          <w:i/>
          <w:color w:val="000000"/>
          <w:sz w:val="21"/>
          <w:lang w:val="cs-CZ"/>
        </w:rPr>
        <w:t>ní faktury se považuje její doručení na adresu Klienta uvedenou v této Smlouvě.</w:t>
      </w:r>
    </w:p>
    <w:p w:rsidR="00510E27" w:rsidRDefault="00C25941">
      <w:pPr>
        <w:spacing w:before="518" w:line="257" w:lineRule="exact"/>
        <w:ind w:lef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pict>
          <v:line id="_x0000_s1030" style="position:absolute;left:0;text-align:left;z-index:251663360;mso-position-horizontal-relative:page;mso-position-vertical-relative:page" from="85.35pt,354.7pt" to="539.4pt,354.7pt" strokecolor="#303030" strokeweight=".95pt">
            <w10:wrap anchorx="page" anchory="page"/>
          </v:line>
        </w:pict>
      </w:r>
      <w:r>
        <w:rPr>
          <w:rFonts w:eastAsia="Times New Roman"/>
          <w:color w:val="000000"/>
          <w:sz w:val="21"/>
          <w:lang w:val="cs-CZ"/>
        </w:rPr>
        <w:t>5) Mění se ujednání článku XIII. odst. 5 Smlouvy tak, že ustanovení odst. 5 článku XIII. Smlouvy se ruší a nahrazuje se tímto zněním:</w:t>
      </w:r>
    </w:p>
    <w:p w:rsidR="00510E27" w:rsidRDefault="00C25941">
      <w:pPr>
        <w:tabs>
          <w:tab w:val="right" w:pos="9000"/>
        </w:tabs>
        <w:spacing w:before="530" w:line="255" w:lineRule="exact"/>
        <w:ind w:left="432"/>
        <w:textAlignment w:val="baseline"/>
        <w:rPr>
          <w:rFonts w:eastAsia="Times New Roman"/>
          <w:i/>
          <w:color w:val="000000"/>
          <w:sz w:val="21"/>
          <w:lang w:val="cs-CZ"/>
        </w:rPr>
      </w:pPr>
      <w:r>
        <w:rPr>
          <w:rFonts w:eastAsia="Times New Roman"/>
          <w:i/>
          <w:color w:val="000000"/>
          <w:sz w:val="21"/>
          <w:lang w:val="cs-CZ"/>
        </w:rPr>
        <w:t>5.</w:t>
      </w:r>
      <w:r>
        <w:rPr>
          <w:rFonts w:eastAsia="Times New Roman"/>
          <w:i/>
          <w:color w:val="000000"/>
          <w:sz w:val="21"/>
          <w:lang w:val="cs-CZ"/>
        </w:rPr>
        <w:tab/>
        <w:t>Klient má právo odstoupit od této Smlo</w:t>
      </w:r>
      <w:r>
        <w:rPr>
          <w:rFonts w:eastAsia="Times New Roman"/>
          <w:i/>
          <w:color w:val="000000"/>
          <w:sz w:val="21"/>
          <w:lang w:val="cs-CZ"/>
        </w:rPr>
        <w:t>uvy v případě, že ze strany Účastníka dojde k</w:t>
      </w:r>
    </w:p>
    <w:p w:rsidR="00510E27" w:rsidRDefault="00C25941">
      <w:pPr>
        <w:spacing w:line="288" w:lineRule="exact"/>
        <w:ind w:left="792"/>
        <w:textAlignment w:val="baseline"/>
        <w:rPr>
          <w:rFonts w:eastAsia="Times New Roman"/>
          <w:i/>
          <w:color w:val="000000"/>
          <w:sz w:val="21"/>
          <w:lang w:val="cs-CZ"/>
        </w:rPr>
      </w:pPr>
      <w:r>
        <w:rPr>
          <w:rFonts w:eastAsia="Times New Roman"/>
          <w:i/>
          <w:color w:val="000000"/>
          <w:sz w:val="21"/>
          <w:lang w:val="cs-CZ"/>
        </w:rPr>
        <w:t>podstatnému porušení smluvních podmínek stanovených touto Smlouvou, za které se pro účely této Smlouvy považuje situace, kdy:</w:t>
      </w:r>
    </w:p>
    <w:p w:rsidR="00510E27" w:rsidRDefault="00C25941">
      <w:pPr>
        <w:tabs>
          <w:tab w:val="right" w:pos="9000"/>
        </w:tabs>
        <w:spacing w:before="286" w:line="244" w:lineRule="exact"/>
        <w:ind w:left="1152"/>
        <w:textAlignment w:val="baseline"/>
        <w:rPr>
          <w:rFonts w:eastAsia="Times New Roman"/>
          <w:i/>
          <w:color w:val="000000"/>
          <w:sz w:val="21"/>
          <w:lang w:val="cs-CZ"/>
        </w:rPr>
      </w:pPr>
      <w:r>
        <w:rPr>
          <w:rFonts w:eastAsia="Times New Roman"/>
          <w:i/>
          <w:color w:val="000000"/>
          <w:sz w:val="21"/>
          <w:lang w:val="cs-CZ"/>
        </w:rPr>
        <w:t>a.</w:t>
      </w:r>
      <w:r>
        <w:rPr>
          <w:rFonts w:eastAsia="Times New Roman"/>
          <w:i/>
          <w:color w:val="000000"/>
          <w:sz w:val="21"/>
          <w:lang w:val="cs-CZ"/>
        </w:rPr>
        <w:tab/>
        <w:t xml:space="preserve">se EY ocitne v prodlení o více než </w:t>
      </w:r>
      <w:r>
        <w:rPr>
          <w:rFonts w:eastAsia="Times New Roman"/>
          <w:b/>
          <w:i/>
          <w:color w:val="000000"/>
          <w:sz w:val="21"/>
          <w:lang w:val="cs-CZ"/>
        </w:rPr>
        <w:t xml:space="preserve">15 dní se započetím </w:t>
      </w:r>
      <w:r>
        <w:rPr>
          <w:rFonts w:eastAsia="Times New Roman"/>
          <w:i/>
          <w:color w:val="000000"/>
          <w:sz w:val="21"/>
          <w:lang w:val="cs-CZ"/>
        </w:rPr>
        <w:t>poskytování Služeb v termínu</w:t>
      </w:r>
    </w:p>
    <w:p w:rsidR="00510E27" w:rsidRDefault="00C25941">
      <w:pPr>
        <w:spacing w:before="49" w:line="245" w:lineRule="exact"/>
        <w:ind w:left="1512"/>
        <w:textAlignment w:val="baseline"/>
        <w:rPr>
          <w:rFonts w:eastAsia="Times New Roman"/>
          <w:i/>
          <w:color w:val="000000"/>
          <w:spacing w:val="3"/>
          <w:sz w:val="21"/>
          <w:lang w:val="cs-CZ"/>
        </w:rPr>
      </w:pPr>
      <w:r>
        <w:rPr>
          <w:rFonts w:eastAsia="Times New Roman"/>
          <w:i/>
          <w:color w:val="000000"/>
          <w:spacing w:val="3"/>
          <w:sz w:val="21"/>
          <w:lang w:val="cs-CZ"/>
        </w:rPr>
        <w:t xml:space="preserve">stanoveném touto Smlouvou, tj. </w:t>
      </w:r>
      <w:r>
        <w:rPr>
          <w:rFonts w:eastAsia="Times New Roman"/>
          <w:b/>
          <w:i/>
          <w:color w:val="000000"/>
          <w:spacing w:val="3"/>
          <w:sz w:val="21"/>
          <w:lang w:val="cs-CZ"/>
        </w:rPr>
        <w:t xml:space="preserve">po </w:t>
      </w:r>
      <w:r>
        <w:rPr>
          <w:rFonts w:eastAsia="Times New Roman"/>
          <w:i/>
          <w:color w:val="000000"/>
          <w:spacing w:val="3"/>
          <w:sz w:val="21"/>
          <w:lang w:val="cs-CZ"/>
        </w:rPr>
        <w:t>zahájení projektu DESTIGMATIZACE;</w:t>
      </w:r>
    </w:p>
    <w:p w:rsidR="00510E27" w:rsidRDefault="00C25941">
      <w:pPr>
        <w:tabs>
          <w:tab w:val="right" w:pos="9000"/>
        </w:tabs>
        <w:spacing w:before="290" w:line="244" w:lineRule="exact"/>
        <w:ind w:left="1152"/>
        <w:textAlignment w:val="baseline"/>
        <w:rPr>
          <w:rFonts w:eastAsia="Times New Roman"/>
          <w:i/>
          <w:color w:val="000000"/>
          <w:sz w:val="21"/>
          <w:lang w:val="cs-CZ"/>
        </w:rPr>
      </w:pPr>
      <w:r>
        <w:rPr>
          <w:rFonts w:eastAsia="Times New Roman"/>
          <w:i/>
          <w:color w:val="000000"/>
          <w:sz w:val="21"/>
          <w:lang w:val="cs-CZ"/>
        </w:rPr>
        <w:t>h.</w:t>
      </w:r>
      <w:r>
        <w:rPr>
          <w:rFonts w:eastAsia="Times New Roman"/>
          <w:i/>
          <w:color w:val="000000"/>
          <w:sz w:val="21"/>
          <w:lang w:val="cs-CZ"/>
        </w:rPr>
        <w:tab/>
        <w:t xml:space="preserve">EY se </w:t>
      </w:r>
      <w:r>
        <w:rPr>
          <w:rFonts w:eastAsia="Times New Roman"/>
          <w:b/>
          <w:i/>
          <w:color w:val="000000"/>
          <w:sz w:val="21"/>
          <w:lang w:val="cs-CZ"/>
        </w:rPr>
        <w:t xml:space="preserve">ocitne v </w:t>
      </w:r>
      <w:r>
        <w:rPr>
          <w:rFonts w:eastAsia="Times New Roman"/>
          <w:i/>
          <w:color w:val="000000"/>
          <w:sz w:val="21"/>
          <w:lang w:val="cs-CZ"/>
        </w:rPr>
        <w:t xml:space="preserve">prodlení s </w:t>
      </w:r>
      <w:proofErr w:type="spellStart"/>
      <w:r>
        <w:rPr>
          <w:rFonts w:eastAsia="Times New Roman"/>
          <w:i/>
          <w:color w:val="000000"/>
          <w:sz w:val="21"/>
          <w:lang w:val="cs-CZ"/>
        </w:rPr>
        <w:t>piněním</w:t>
      </w:r>
      <w:proofErr w:type="spellEnd"/>
      <w:r>
        <w:rPr>
          <w:rFonts w:eastAsia="Times New Roman"/>
          <w:i/>
          <w:color w:val="000000"/>
          <w:sz w:val="21"/>
          <w:lang w:val="cs-CZ"/>
        </w:rPr>
        <w:t xml:space="preserve"> </w:t>
      </w:r>
      <w:r>
        <w:rPr>
          <w:rFonts w:eastAsia="Times New Roman"/>
          <w:b/>
          <w:i/>
          <w:color w:val="000000"/>
          <w:sz w:val="21"/>
          <w:lang w:val="cs-CZ"/>
        </w:rPr>
        <w:t>termínů dle čl. 2. odst. 2 této Smlouvy o více než</w:t>
      </w:r>
    </w:p>
    <w:p w:rsidR="00510E27" w:rsidRDefault="00C25941">
      <w:pPr>
        <w:spacing w:before="53" w:line="242" w:lineRule="exact"/>
        <w:ind w:left="1512"/>
        <w:textAlignment w:val="baseline"/>
        <w:rPr>
          <w:rFonts w:eastAsia="Times New Roman"/>
          <w:b/>
          <w:i/>
          <w:color w:val="000000"/>
          <w:sz w:val="21"/>
          <w:lang w:val="cs-CZ"/>
        </w:rPr>
      </w:pPr>
      <w:r>
        <w:rPr>
          <w:rFonts w:eastAsia="Times New Roman"/>
          <w:b/>
          <w:i/>
          <w:color w:val="000000"/>
          <w:sz w:val="21"/>
          <w:lang w:val="cs-CZ"/>
        </w:rPr>
        <w:t>30 dnů;</w:t>
      </w:r>
    </w:p>
    <w:p w:rsidR="00510E27" w:rsidRDefault="00C25941">
      <w:pPr>
        <w:numPr>
          <w:ilvl w:val="0"/>
          <w:numId w:val="5"/>
        </w:numPr>
        <w:tabs>
          <w:tab w:val="clear" w:pos="360"/>
          <w:tab w:val="left" w:pos="1512"/>
        </w:tabs>
        <w:spacing w:before="232" w:line="291" w:lineRule="exact"/>
        <w:ind w:left="1512" w:hanging="360"/>
        <w:jc w:val="both"/>
        <w:textAlignment w:val="baseline"/>
        <w:rPr>
          <w:rFonts w:eastAsia="Times New Roman"/>
          <w:b/>
          <w:i/>
          <w:color w:val="000000"/>
          <w:sz w:val="21"/>
          <w:lang w:val="cs-CZ"/>
        </w:rPr>
      </w:pPr>
      <w:r>
        <w:rPr>
          <w:rFonts w:eastAsia="Times New Roman"/>
          <w:b/>
          <w:i/>
          <w:color w:val="000000"/>
          <w:sz w:val="21"/>
          <w:lang w:val="cs-CZ"/>
        </w:rPr>
        <w:t xml:space="preserve">Klient </w:t>
      </w:r>
      <w:r>
        <w:rPr>
          <w:rFonts w:eastAsia="Times New Roman"/>
          <w:i/>
          <w:color w:val="000000"/>
          <w:sz w:val="21"/>
          <w:lang w:val="cs-CZ"/>
        </w:rPr>
        <w:t xml:space="preserve">zjistí, že EY </w:t>
      </w:r>
      <w:proofErr w:type="spellStart"/>
      <w:r>
        <w:rPr>
          <w:rFonts w:eastAsia="Times New Roman"/>
          <w:i/>
          <w:color w:val="000000"/>
          <w:sz w:val="21"/>
          <w:lang w:val="cs-CZ"/>
        </w:rPr>
        <w:t>nepiní</w:t>
      </w:r>
      <w:proofErr w:type="spellEnd"/>
      <w:r>
        <w:rPr>
          <w:rFonts w:eastAsia="Times New Roman"/>
          <w:i/>
          <w:color w:val="000000"/>
          <w:sz w:val="21"/>
          <w:lang w:val="cs-CZ"/>
        </w:rPr>
        <w:t xml:space="preserve"> nebo s p</w:t>
      </w:r>
      <w:r>
        <w:rPr>
          <w:rFonts w:eastAsia="Times New Roman"/>
          <w:i/>
          <w:color w:val="000000"/>
          <w:sz w:val="21"/>
          <w:lang w:val="cs-CZ"/>
        </w:rPr>
        <w:t xml:space="preserve">řihlédnutím ke všem okolnostem nebude objektivně schopen řádně a včas </w:t>
      </w:r>
      <w:proofErr w:type="spellStart"/>
      <w:r>
        <w:rPr>
          <w:rFonts w:eastAsia="Times New Roman"/>
          <w:i/>
          <w:color w:val="000000"/>
          <w:sz w:val="21"/>
          <w:lang w:val="cs-CZ"/>
        </w:rPr>
        <w:t>pinit</w:t>
      </w:r>
      <w:proofErr w:type="spellEnd"/>
      <w:r>
        <w:rPr>
          <w:rFonts w:eastAsia="Times New Roman"/>
          <w:i/>
          <w:color w:val="000000"/>
          <w:sz w:val="21"/>
          <w:lang w:val="cs-CZ"/>
        </w:rPr>
        <w:t xml:space="preserve"> své závazky podle této Smlouvy;</w:t>
      </w:r>
    </w:p>
    <w:p w:rsidR="00510E27" w:rsidRDefault="00C25941">
      <w:pPr>
        <w:numPr>
          <w:ilvl w:val="0"/>
          <w:numId w:val="5"/>
        </w:numPr>
        <w:tabs>
          <w:tab w:val="clear" w:pos="360"/>
          <w:tab w:val="left" w:pos="1512"/>
        </w:tabs>
        <w:spacing w:before="288" w:after="527" w:line="244" w:lineRule="exact"/>
        <w:ind w:left="1512" w:hanging="360"/>
        <w:jc w:val="both"/>
        <w:textAlignment w:val="baseline"/>
        <w:rPr>
          <w:rFonts w:eastAsia="Times New Roman"/>
          <w:i/>
          <w:color w:val="000000"/>
          <w:spacing w:val="2"/>
          <w:sz w:val="21"/>
          <w:lang w:val="cs-CZ"/>
        </w:rPr>
      </w:pPr>
      <w:r>
        <w:rPr>
          <w:rFonts w:eastAsia="Times New Roman"/>
          <w:i/>
          <w:color w:val="000000"/>
          <w:spacing w:val="2"/>
          <w:sz w:val="21"/>
          <w:lang w:val="cs-CZ"/>
        </w:rPr>
        <w:t>bude rozhodnuto o úpadku EY.</w:t>
      </w:r>
    </w:p>
    <w:p w:rsidR="00510E27" w:rsidRDefault="00C25941">
      <w:pPr>
        <w:spacing w:before="546" w:line="195" w:lineRule="exact"/>
        <w:ind w:left="72"/>
        <w:textAlignment w:val="baseline"/>
        <w:rPr>
          <w:rFonts w:eastAsia="Times New Roman"/>
          <w:b/>
          <w:color w:val="000000"/>
          <w:spacing w:val="2"/>
          <w:sz w:val="21"/>
          <w:u w:val="single"/>
          <w:lang w:val="cs-CZ"/>
        </w:rPr>
      </w:pPr>
      <w:r>
        <w:pict>
          <v:line id="_x0000_s1029" style="position:absolute;left:0;text-align:left;z-index:251664384;mso-position-horizontal-relative:page;mso-position-vertical-relative:page" from="85.35pt,651.1pt" to="539.4pt,651.1pt" strokecolor="#252525" strokeweight=".95pt">
            <w10:wrap anchorx="page" anchory="page"/>
          </v:line>
        </w:pict>
      </w:r>
      <w:r>
        <w:rPr>
          <w:rFonts w:eastAsia="Times New Roman"/>
          <w:b/>
          <w:color w:val="000000"/>
          <w:spacing w:val="2"/>
          <w:sz w:val="21"/>
          <w:u w:val="single"/>
          <w:lang w:val="cs-CZ"/>
        </w:rPr>
        <w:t xml:space="preserve">Za druhé: </w:t>
      </w:r>
    </w:p>
    <w:p w:rsidR="00510E27" w:rsidRDefault="00C25941">
      <w:pPr>
        <w:spacing w:before="298" w:line="241" w:lineRule="exact"/>
        <w:ind w:left="72"/>
        <w:textAlignment w:val="baseline"/>
        <w:rPr>
          <w:rFonts w:eastAsia="Times New Roman"/>
          <w:color w:val="000000"/>
          <w:spacing w:val="-10"/>
          <w:sz w:val="21"/>
          <w:lang w:val="cs-CZ"/>
        </w:rPr>
      </w:pPr>
      <w:r>
        <w:pict>
          <v:line id="_x0000_s1028" style="position:absolute;left:0;text-align:left;z-index:251665408;mso-position-horizontal-relative:page;mso-position-vertical-relative:page" from="85.35pt,688.8pt" to="135.9pt,688.8pt" strokecolor="#131313" strokeweight="1.2pt">
            <w10:wrap anchorx="page" anchory="page"/>
          </v:line>
        </w:pict>
      </w:r>
      <w:r>
        <w:rPr>
          <w:rFonts w:eastAsia="Times New Roman"/>
          <w:color w:val="000000"/>
          <w:spacing w:val="-10"/>
          <w:sz w:val="21"/>
          <w:lang w:val="cs-CZ"/>
        </w:rPr>
        <w:t>1)</w:t>
      </w:r>
    </w:p>
    <w:p w:rsidR="00510E27" w:rsidRDefault="00C25941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Smluvní strany prohlašují, že si tento dodatek pe</w:t>
      </w:r>
      <w:r>
        <w:rPr>
          <w:rFonts w:eastAsia="Times New Roman"/>
          <w:color w:val="000000"/>
          <w:sz w:val="21"/>
          <w:lang w:val="cs-CZ"/>
        </w:rPr>
        <w:t>člivě přečetly, že v něm není nic, čemu by neporozuměly, a že dodatek uzavírají svobodně a vážně na základě pečlivého uvážení.</w:t>
      </w:r>
    </w:p>
    <w:p w:rsidR="00510E27" w:rsidRDefault="00510E27">
      <w:pPr>
        <w:sectPr w:rsidR="00510E27">
          <w:pgSz w:w="11842" w:h="16762"/>
          <w:pgMar w:top="680" w:right="1055" w:bottom="771" w:left="1707" w:header="720" w:footer="720" w:gutter="0"/>
          <w:cols w:space="708"/>
        </w:sectPr>
      </w:pPr>
    </w:p>
    <w:p w:rsidR="00510E27" w:rsidRDefault="00C25941">
      <w:pPr>
        <w:rPr>
          <w:sz w:val="2"/>
        </w:rPr>
      </w:pPr>
      <w:r>
        <w:lastRenderedPageBreak/>
        <w:pict>
          <v:shape id="_x0000_s1027" type="#_x0000_t202" style="position:absolute;margin-left:306.8pt;margin-top:779.75pt;width:15.2pt;height:11.6pt;z-index:-251662336;mso-wrap-distance-left:0;mso-wrap-distance-right:0;mso-position-horizontal-relative:page;mso-position-vertical-relative:page" filled="f" stroked="f">
            <v:textbox inset="0,0,0,0">
              <w:txbxContent>
                <w:p w:rsidR="00510E27" w:rsidRDefault="00C25941">
                  <w:pPr>
                    <w:spacing w:line="230" w:lineRule="exact"/>
                    <w:textAlignment w:val="baseline"/>
                    <w:rPr>
                      <w:rFonts w:eastAsia="Times New Roman"/>
                      <w:b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1"/>
                      <w:lang w:val="cs-CZ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7751"/>
      </w:tblGrid>
      <w:tr w:rsidR="00510E27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13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C25941">
            <w:pPr>
              <w:spacing w:before="10" w:after="19"/>
              <w:ind w:left="62"/>
              <w:jc w:val="center"/>
              <w:textAlignment w:val="baseline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04545" cy="52451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C25941">
            <w:pPr>
              <w:spacing w:before="63" w:line="224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8"/>
                <w:lang w:val="cs-CZ"/>
              </w:rPr>
            </w:pPr>
            <w:r>
              <w:rPr>
                <w:rFonts w:ascii="Verdana" w:eastAsia="Verdana" w:hAnsi="Verdana"/>
                <w:color w:val="000000"/>
                <w:sz w:val="18"/>
                <w:lang w:val="cs-CZ"/>
              </w:rPr>
              <w:t>Evropská unie</w:t>
            </w:r>
          </w:p>
          <w:p w:rsidR="00510E27" w:rsidRDefault="00C25941">
            <w:pPr>
              <w:spacing w:line="217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8"/>
                <w:lang w:val="cs-CZ"/>
              </w:rPr>
            </w:pPr>
            <w:r>
              <w:rPr>
                <w:rFonts w:ascii="Verdana" w:eastAsia="Verdana" w:hAnsi="Verdana"/>
                <w:color w:val="000000"/>
                <w:sz w:val="18"/>
                <w:lang w:val="cs-CZ"/>
              </w:rPr>
              <w:t>Evropský sociální fond</w:t>
            </w:r>
          </w:p>
          <w:p w:rsidR="00510E27" w:rsidRDefault="00C25941">
            <w:pPr>
              <w:spacing w:after="105" w:line="231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8"/>
                <w:lang w:val="cs-CZ"/>
              </w:rPr>
            </w:pPr>
            <w:r>
              <w:rPr>
                <w:rFonts w:ascii="Verdana" w:eastAsia="Verdana" w:hAnsi="Verdana"/>
                <w:color w:val="000000"/>
                <w:sz w:val="18"/>
                <w:lang w:val="cs-CZ"/>
              </w:rPr>
              <w:t>Operační program Zaměstnanost</w:t>
            </w:r>
          </w:p>
        </w:tc>
      </w:tr>
    </w:tbl>
    <w:p w:rsidR="00510E27" w:rsidRDefault="00510E27">
      <w:pPr>
        <w:spacing w:after="340" w:line="20" w:lineRule="exact"/>
      </w:pPr>
    </w:p>
    <w:p w:rsidR="00510E27" w:rsidRDefault="00C25941">
      <w:pPr>
        <w:numPr>
          <w:ilvl w:val="0"/>
          <w:numId w:val="6"/>
        </w:numPr>
        <w:tabs>
          <w:tab w:val="clear" w:pos="144"/>
          <w:tab w:val="left" w:pos="216"/>
        </w:tabs>
        <w:spacing w:line="231" w:lineRule="exact"/>
        <w:ind w:left="72"/>
        <w:textAlignment w:val="baseline"/>
        <w:rPr>
          <w:rFonts w:ascii="Verdana" w:eastAsia="Verdana" w:hAnsi="Verdana"/>
          <w:color w:val="000000"/>
          <w:spacing w:val="14"/>
          <w:sz w:val="18"/>
          <w:lang w:val="cs-CZ"/>
        </w:rPr>
      </w:pPr>
      <w:r>
        <w:rPr>
          <w:rFonts w:ascii="Verdana" w:eastAsia="Verdana" w:hAnsi="Verdana"/>
          <w:color w:val="000000"/>
          <w:spacing w:val="14"/>
          <w:sz w:val="18"/>
          <w:lang w:val="cs-CZ"/>
        </w:rPr>
        <w:t xml:space="preserve"> </w:t>
      </w:r>
    </w:p>
    <w:p w:rsidR="00510E27" w:rsidRDefault="00C25941">
      <w:pPr>
        <w:spacing w:before="21" w:line="247" w:lineRule="exact"/>
        <w:textAlignment w:val="baseline"/>
        <w:rPr>
          <w:rFonts w:eastAsia="Times New Roman"/>
          <w:color w:val="000000"/>
          <w:spacing w:val="3"/>
          <w:sz w:val="21"/>
          <w:lang w:val="cs-CZ"/>
        </w:rPr>
      </w:pPr>
      <w:r>
        <w:rPr>
          <w:rFonts w:eastAsia="Times New Roman"/>
          <w:color w:val="000000"/>
          <w:spacing w:val="3"/>
          <w:sz w:val="21"/>
          <w:lang w:val="cs-CZ"/>
        </w:rPr>
        <w:t>Ujednání Smlouvy, která nejsou tímto dodatkem výslovně dotčena, zůstávají v platnosti a účinnosti.</w:t>
      </w:r>
    </w:p>
    <w:p w:rsidR="00510E27" w:rsidRDefault="00510E27">
      <w:pPr>
        <w:numPr>
          <w:ilvl w:val="0"/>
          <w:numId w:val="6"/>
        </w:numPr>
        <w:tabs>
          <w:tab w:val="clear" w:pos="144"/>
          <w:tab w:val="left" w:pos="216"/>
        </w:tabs>
        <w:spacing w:before="497" w:line="247" w:lineRule="exact"/>
        <w:ind w:left="72"/>
        <w:textAlignment w:val="baseline"/>
        <w:rPr>
          <w:rFonts w:eastAsia="Times New Roman"/>
          <w:color w:val="000000"/>
          <w:spacing w:val="14"/>
          <w:sz w:val="21"/>
          <w:lang w:val="cs-CZ"/>
        </w:rPr>
      </w:pPr>
    </w:p>
    <w:p w:rsidR="00510E27" w:rsidRDefault="00C25941">
      <w:pPr>
        <w:spacing w:before="3" w:line="247" w:lineRule="exact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Tento dodatek Smlouvy nabývá platnosti dnem podpisu smluvními stranami a ú</w:t>
      </w:r>
      <w:r>
        <w:rPr>
          <w:rFonts w:eastAsia="Times New Roman"/>
          <w:color w:val="000000"/>
          <w:sz w:val="21"/>
          <w:lang w:val="cs-CZ"/>
        </w:rPr>
        <w:t>činnosti dnem jeho uveřejnění v registru smluv. Uveřejnění v registru smluv zajistí do 5 pracovních dnů ode dne podpisu tohoto dodatku oběma smluvními stranami Klient.</w:t>
      </w:r>
    </w:p>
    <w:p w:rsidR="00510E27" w:rsidRDefault="00510E27">
      <w:pPr>
        <w:numPr>
          <w:ilvl w:val="0"/>
          <w:numId w:val="6"/>
        </w:numPr>
        <w:tabs>
          <w:tab w:val="clear" w:pos="144"/>
          <w:tab w:val="left" w:pos="216"/>
        </w:tabs>
        <w:spacing w:before="261" w:line="247" w:lineRule="exact"/>
        <w:ind w:left="72"/>
        <w:textAlignment w:val="baseline"/>
        <w:rPr>
          <w:rFonts w:eastAsia="Times New Roman"/>
          <w:color w:val="000000"/>
          <w:spacing w:val="23"/>
          <w:sz w:val="21"/>
          <w:lang w:val="cs-CZ"/>
        </w:rPr>
      </w:pPr>
    </w:p>
    <w:p w:rsidR="00510E27" w:rsidRDefault="00C25941">
      <w:pPr>
        <w:spacing w:before="7" w:line="249" w:lineRule="exact"/>
        <w:textAlignment w:val="baseline"/>
        <w:rPr>
          <w:rFonts w:eastAsia="Times New Roman"/>
          <w:color w:val="000000"/>
          <w:sz w:val="21"/>
          <w:lang w:val="cs-CZ"/>
        </w:rPr>
      </w:pPr>
      <w:r>
        <w:rPr>
          <w:rFonts w:eastAsia="Times New Roman"/>
          <w:color w:val="000000"/>
          <w:sz w:val="21"/>
          <w:lang w:val="cs-CZ"/>
        </w:rPr>
        <w:t>Tento dodatek Smlouvy je vyhotoven ve dvou stejnopisech, z nichž každý má platnost orig</w:t>
      </w:r>
      <w:r>
        <w:rPr>
          <w:rFonts w:eastAsia="Times New Roman"/>
          <w:color w:val="000000"/>
          <w:sz w:val="21"/>
          <w:lang w:val="cs-CZ"/>
        </w:rPr>
        <w:t>inálu. Každá ze smluvních stran obdrží po jednom.</w:t>
      </w:r>
    </w:p>
    <w:p w:rsidR="00510E27" w:rsidRDefault="00C25941">
      <w:pPr>
        <w:spacing w:before="256" w:after="758" w:line="248" w:lineRule="exact"/>
        <w:textAlignment w:val="baseline"/>
        <w:rPr>
          <w:rFonts w:eastAsia="Times New Roman"/>
          <w:i/>
          <w:color w:val="000000"/>
          <w:spacing w:val="4"/>
          <w:sz w:val="21"/>
          <w:lang w:val="cs-CZ"/>
        </w:rPr>
      </w:pPr>
      <w:r>
        <w:rPr>
          <w:rFonts w:eastAsia="Times New Roman"/>
          <w:i/>
          <w:color w:val="000000"/>
          <w:spacing w:val="4"/>
          <w:sz w:val="21"/>
          <w:lang w:val="cs-CZ"/>
        </w:rPr>
        <w:t xml:space="preserve">Přílohy: Specifikace milníků </w:t>
      </w:r>
      <w:proofErr w:type="spellStart"/>
      <w:r>
        <w:rPr>
          <w:rFonts w:eastAsia="Times New Roman"/>
          <w:i/>
          <w:color w:val="000000"/>
          <w:spacing w:val="4"/>
          <w:sz w:val="21"/>
          <w:lang w:val="cs-CZ"/>
        </w:rPr>
        <w:t>pinění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991"/>
        <w:gridCol w:w="1979"/>
        <w:gridCol w:w="1056"/>
        <w:gridCol w:w="388"/>
        <w:gridCol w:w="346"/>
        <w:gridCol w:w="1497"/>
      </w:tblGrid>
      <w:tr w:rsidR="00510E27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 w:rsidP="00C25941"/>
        </w:tc>
        <w:tc>
          <w:tcPr>
            <w:tcW w:w="199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1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388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1497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</w:tr>
    </w:tbl>
    <w:p w:rsidR="00510E27" w:rsidRDefault="00C25941">
      <w:pPr>
        <w:tabs>
          <w:tab w:val="left" w:pos="5040"/>
        </w:tabs>
        <w:spacing w:line="232" w:lineRule="exact"/>
        <w:ind w:left="72"/>
        <w:textAlignment w:val="baseline"/>
        <w:rPr>
          <w:rFonts w:eastAsia="Times New Roman"/>
          <w:b/>
          <w:color w:val="000000"/>
          <w:spacing w:val="2"/>
          <w:sz w:val="21"/>
          <w:lang w:val="cs-CZ"/>
        </w:rPr>
      </w:pPr>
      <w:r>
        <w:rPr>
          <w:rFonts w:eastAsia="Times New Roman"/>
          <w:b/>
          <w:color w:val="000000"/>
          <w:spacing w:val="2"/>
          <w:sz w:val="21"/>
          <w:lang w:val="cs-CZ"/>
        </w:rPr>
        <w:t xml:space="preserve">Ernst &amp; </w:t>
      </w:r>
      <w:proofErr w:type="spellStart"/>
      <w:r>
        <w:rPr>
          <w:rFonts w:eastAsia="Times New Roman"/>
          <w:b/>
          <w:color w:val="000000"/>
          <w:spacing w:val="2"/>
          <w:sz w:val="21"/>
          <w:lang w:val="cs-CZ"/>
        </w:rPr>
        <w:t>Young</w:t>
      </w:r>
      <w:proofErr w:type="spellEnd"/>
      <w:r>
        <w:rPr>
          <w:rFonts w:eastAsia="Times New Roman"/>
          <w:b/>
          <w:color w:val="000000"/>
          <w:spacing w:val="2"/>
          <w:sz w:val="21"/>
          <w:lang w:val="cs-CZ"/>
        </w:rPr>
        <w:t>, s.r.o.</w:t>
      </w:r>
      <w:r>
        <w:rPr>
          <w:rFonts w:eastAsia="Times New Roman"/>
          <w:b/>
          <w:color w:val="000000"/>
          <w:spacing w:val="2"/>
          <w:sz w:val="21"/>
          <w:lang w:val="cs-CZ"/>
        </w:rPr>
        <w:tab/>
        <w:t xml:space="preserve">Národní ústav duševního zdraví, </w:t>
      </w:r>
      <w:proofErr w:type="spellStart"/>
      <w:proofErr w:type="gramStart"/>
      <w:r>
        <w:rPr>
          <w:rFonts w:eastAsia="Times New Roman"/>
          <w:b/>
          <w:color w:val="000000"/>
          <w:spacing w:val="2"/>
          <w:sz w:val="21"/>
          <w:lang w:val="cs-CZ"/>
        </w:rPr>
        <w:t>p.o</w:t>
      </w:r>
      <w:proofErr w:type="spellEnd"/>
      <w:r>
        <w:rPr>
          <w:rFonts w:eastAsia="Times New Roman"/>
          <w:b/>
          <w:color w:val="000000"/>
          <w:spacing w:val="2"/>
          <w:sz w:val="21"/>
          <w:lang w:val="cs-CZ"/>
        </w:rPr>
        <w:t>.</w:t>
      </w:r>
      <w:proofErr w:type="gramEnd"/>
    </w:p>
    <w:p w:rsidR="00510E27" w:rsidRDefault="00510E27">
      <w:pPr>
        <w:sectPr w:rsidR="00510E27">
          <w:pgSz w:w="11923" w:h="16762"/>
          <w:pgMar w:top="700" w:right="1119" w:bottom="771" w:left="1724" w:header="720" w:footer="720" w:gutter="0"/>
          <w:cols w:space="708"/>
        </w:sectPr>
      </w:pPr>
    </w:p>
    <w:p w:rsidR="00510E27" w:rsidRDefault="00C25941">
      <w:pPr>
        <w:rPr>
          <w:sz w:val="2"/>
        </w:rPr>
      </w:pPr>
      <w:r>
        <w:lastRenderedPageBreak/>
        <w:pict>
          <v:shape id="_x0000_s1026" type="#_x0000_t202" style="position:absolute;margin-left:305.6pt;margin-top:780.5pt;width:15.2pt;height:12.2pt;z-index:-251661312;mso-wrap-distance-left:0;mso-wrap-distance-right:0;mso-position-horizontal-relative:page;mso-position-vertical-relative:page" filled="f" stroked="f">
            <v:textbox inset="0,0,0,0">
              <w:txbxContent>
                <w:p w:rsidR="00510E27" w:rsidRDefault="00C25941">
                  <w:pPr>
                    <w:spacing w:line="230" w:lineRule="exact"/>
                    <w:textAlignment w:val="baseline"/>
                    <w:rPr>
                      <w:rFonts w:eastAsia="Times New Roman"/>
                      <w:color w:val="000000"/>
                      <w:lang w:val="cs-CZ"/>
                    </w:rPr>
                  </w:pPr>
                  <w:r>
                    <w:rPr>
                      <w:rFonts w:eastAsia="Times New Roman"/>
                      <w:color w:val="000000"/>
                      <w:lang w:val="cs-CZ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383"/>
        <w:gridCol w:w="826"/>
        <w:gridCol w:w="7793"/>
      </w:tblGrid>
      <w:tr w:rsidR="00510E27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12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C25941">
            <w:pPr>
              <w:spacing w:before="11"/>
              <w:ind w:left="59"/>
              <w:jc w:val="center"/>
              <w:textAlignment w:val="baseline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79780" cy="51244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C25941">
            <w:pPr>
              <w:spacing w:before="56" w:line="252" w:lineRule="exact"/>
              <w:ind w:left="72"/>
              <w:textAlignment w:val="baseline"/>
              <w:rPr>
                <w:rFonts w:eastAsia="Times New Roman"/>
                <w:color w:val="000000"/>
                <w:lang w:val="cs-CZ"/>
              </w:rPr>
            </w:pPr>
            <w:r>
              <w:rPr>
                <w:rFonts w:eastAsia="Times New Roman"/>
                <w:color w:val="000000"/>
                <w:lang w:val="cs-CZ"/>
              </w:rPr>
              <w:t>Evropská unie</w:t>
            </w:r>
          </w:p>
          <w:p w:rsidR="00510E27" w:rsidRDefault="00C25941">
            <w:pPr>
              <w:spacing w:line="204" w:lineRule="exact"/>
              <w:ind w:left="72"/>
              <w:textAlignment w:val="baseline"/>
              <w:rPr>
                <w:rFonts w:eastAsia="Times New Roman"/>
                <w:color w:val="000000"/>
                <w:lang w:val="cs-CZ"/>
              </w:rPr>
            </w:pPr>
            <w:r>
              <w:rPr>
                <w:rFonts w:eastAsia="Times New Roman"/>
                <w:color w:val="000000"/>
                <w:lang w:val="cs-CZ"/>
              </w:rPr>
              <w:t>Evropský sociální fond</w:t>
            </w:r>
          </w:p>
          <w:p w:rsidR="00510E27" w:rsidRDefault="00C25941">
            <w:pPr>
              <w:spacing w:after="72" w:line="233" w:lineRule="exact"/>
              <w:ind w:left="72"/>
              <w:textAlignment w:val="baseline"/>
              <w:rPr>
                <w:rFonts w:eastAsia="Times New Roman"/>
                <w:color w:val="000000"/>
                <w:lang w:val="cs-CZ"/>
              </w:rPr>
            </w:pPr>
            <w:r>
              <w:rPr>
                <w:rFonts w:eastAsia="Times New Roman"/>
                <w:color w:val="000000"/>
                <w:lang w:val="cs-CZ"/>
              </w:rPr>
              <w:t>Operační program Zaměstnanost</w:t>
            </w:r>
          </w:p>
        </w:tc>
      </w:tr>
      <w:tr w:rsidR="00510E27">
        <w:tblPrEx>
          <w:tblCellMar>
            <w:top w:w="0" w:type="dxa"/>
            <w:bottom w:w="0" w:type="dxa"/>
          </w:tblCellMar>
        </w:tblPrEx>
        <w:trPr>
          <w:trHeight w:hRule="exact" w:val="37"/>
        </w:trPr>
        <w:tc>
          <w:tcPr>
            <w:tcW w:w="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38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8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  <w:tc>
          <w:tcPr>
            <w:tcW w:w="7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10E27" w:rsidRDefault="00510E27"/>
        </w:tc>
      </w:tr>
    </w:tbl>
    <w:p w:rsidR="00510E27" w:rsidRDefault="00510E27">
      <w:pPr>
        <w:spacing w:after="88" w:line="20" w:lineRule="exact"/>
      </w:pPr>
    </w:p>
    <w:p w:rsidR="00510E27" w:rsidRDefault="00C25941">
      <w:pPr>
        <w:spacing w:line="244" w:lineRule="exact"/>
        <w:ind w:left="72" w:right="72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Příloha č. 1: „Specifikace milníků </w:t>
      </w:r>
      <w:proofErr w:type="spellStart"/>
      <w:r>
        <w:rPr>
          <w:rFonts w:eastAsia="Times New Roman"/>
          <w:color w:val="000000"/>
          <w:lang w:val="cs-CZ"/>
        </w:rPr>
        <w:t>pinění</w:t>
      </w:r>
      <w:proofErr w:type="spellEnd"/>
      <w:r>
        <w:rPr>
          <w:rFonts w:eastAsia="Times New Roman"/>
          <w:color w:val="000000"/>
          <w:lang w:val="cs-CZ"/>
        </w:rPr>
        <w:t>"</w:t>
      </w:r>
    </w:p>
    <w:p w:rsidR="00510E27" w:rsidRDefault="00C25941">
      <w:pPr>
        <w:numPr>
          <w:ilvl w:val="0"/>
          <w:numId w:val="7"/>
        </w:numPr>
        <w:tabs>
          <w:tab w:val="clear" w:pos="360"/>
          <w:tab w:val="left" w:pos="792"/>
        </w:tabs>
        <w:spacing w:before="273" w:line="244" w:lineRule="exact"/>
        <w:ind w:left="432" w:right="72"/>
        <w:textAlignment w:val="baseline"/>
        <w:rPr>
          <w:rFonts w:eastAsia="Times New Roman"/>
          <w:b/>
          <w:color w:val="000000"/>
          <w:spacing w:val="-4"/>
          <w:lang w:val="cs-CZ"/>
        </w:rPr>
      </w:pPr>
      <w:r>
        <w:rPr>
          <w:rFonts w:eastAsia="Times New Roman"/>
          <w:b/>
          <w:color w:val="000000"/>
          <w:spacing w:val="-4"/>
          <w:lang w:val="cs-CZ"/>
        </w:rPr>
        <w:t>Milník č. 1: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line="246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zpracování Vstupní zprávy projektu požadované poskytovatelem dotace (MPSV), která bude obsahovat nastavení evaluace projektu (základní principy, evaluační otázky a způsob jejich vyhodnocení, postup při analýze aktérů a harmonogram);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before="2" w:line="252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vytvo</w:t>
      </w:r>
      <w:r>
        <w:rPr>
          <w:rFonts w:eastAsia="Times New Roman"/>
          <w:color w:val="000000"/>
          <w:lang w:val="cs-CZ"/>
        </w:rPr>
        <w:t>ření analýzy aktérů pro jednotlivé cílové skupiny projektu dle harmonogramu pilotáže;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before="5" w:line="252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provedení analýzy aktérů pro CS veřejnou správu a zdravotníky a částečně pro skupinu uživatelů;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before="2" w:line="252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 xml:space="preserve">zajištění technické realizace dotazníkového šetřeni (tj. tvorba dotazníku </w:t>
      </w:r>
      <w:r>
        <w:rPr>
          <w:rFonts w:eastAsia="Times New Roman"/>
          <w:color w:val="000000"/>
          <w:lang w:val="cs-CZ"/>
        </w:rPr>
        <w:t xml:space="preserve">v online nástroji, rozesílání dotazníků a předávání výsledků internímu evaluátorovi projektu </w:t>
      </w:r>
      <w:proofErr w:type="spellStart"/>
      <w:r>
        <w:rPr>
          <w:rFonts w:eastAsia="Times New Roman"/>
          <w:color w:val="000000"/>
          <w:lang w:val="cs-CZ"/>
        </w:rPr>
        <w:t>destigmatizace</w:t>
      </w:r>
      <w:proofErr w:type="spellEnd"/>
      <w:r>
        <w:rPr>
          <w:rFonts w:eastAsia="Times New Roman"/>
          <w:color w:val="000000"/>
          <w:lang w:val="cs-CZ"/>
        </w:rPr>
        <w:t>);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line="249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účast na schůzkách mezi EY a Klientem za účelem konzultací interní evaluační činnosti zajišťované Klientem.</w:t>
      </w:r>
    </w:p>
    <w:p w:rsidR="00510E27" w:rsidRDefault="00C25941">
      <w:pPr>
        <w:numPr>
          <w:ilvl w:val="0"/>
          <w:numId w:val="7"/>
        </w:numPr>
        <w:tabs>
          <w:tab w:val="clear" w:pos="360"/>
          <w:tab w:val="left" w:pos="792"/>
        </w:tabs>
        <w:spacing w:before="283" w:line="246" w:lineRule="exact"/>
        <w:ind w:left="432" w:right="72"/>
        <w:jc w:val="both"/>
        <w:textAlignment w:val="baseline"/>
        <w:rPr>
          <w:rFonts w:eastAsia="Times New Roman"/>
          <w:b/>
          <w:color w:val="000000"/>
          <w:spacing w:val="-4"/>
          <w:lang w:val="cs-CZ"/>
        </w:rPr>
      </w:pPr>
      <w:r>
        <w:rPr>
          <w:rFonts w:eastAsia="Times New Roman"/>
          <w:b/>
          <w:color w:val="000000"/>
          <w:spacing w:val="-4"/>
          <w:lang w:val="cs-CZ"/>
        </w:rPr>
        <w:t>Milník 2: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line="250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zpracování Průběžné evaluačn</w:t>
      </w:r>
      <w:r>
        <w:rPr>
          <w:rFonts w:eastAsia="Times New Roman"/>
          <w:color w:val="000000"/>
          <w:lang w:val="cs-CZ"/>
        </w:rPr>
        <w:t xml:space="preserve">í zprávy (za roky 2019,2020,2021) na základě podkladů poskytnutých Klientem projektu, které budou přílohou Zpráv o realizaci. Obsahem Průběžné zprávy 2019 bude vyhodnocení pilotáže </w:t>
      </w:r>
      <w:proofErr w:type="spellStart"/>
      <w:r>
        <w:rPr>
          <w:rFonts w:eastAsia="Times New Roman"/>
          <w:color w:val="000000"/>
          <w:lang w:val="cs-CZ"/>
        </w:rPr>
        <w:t>destigmatizačních</w:t>
      </w:r>
      <w:proofErr w:type="spellEnd"/>
      <w:r>
        <w:rPr>
          <w:rFonts w:eastAsia="Times New Roman"/>
          <w:color w:val="000000"/>
          <w:lang w:val="cs-CZ"/>
        </w:rPr>
        <w:t xml:space="preserve"> opatření. Obsahem Průběžných zpráv 2020 a 2021 bude průbě</w:t>
      </w:r>
      <w:r>
        <w:rPr>
          <w:rFonts w:eastAsia="Times New Roman"/>
          <w:color w:val="000000"/>
          <w:lang w:val="cs-CZ"/>
        </w:rPr>
        <w:t>žné vyhodnocení implementačního období uplynulého od odevzdání poslední Průběžné zprávy;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before="3" w:line="252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provedení analýzy aktérů pro další cílové skupiny projektu;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before="7" w:line="252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zajišt</w:t>
      </w:r>
      <w:r>
        <w:rPr>
          <w:rFonts w:eastAsia="Times New Roman"/>
          <w:color w:val="000000"/>
          <w:lang w:val="cs-CZ"/>
        </w:rPr>
        <w:t xml:space="preserve">ění technické realizace dotazníkového šetření (tj. tvorba dotazníku v online nástroji, rozesílání dotazníků a předávání výsledků internímu evaluátorovi projektu </w:t>
      </w:r>
      <w:proofErr w:type="spellStart"/>
      <w:r>
        <w:rPr>
          <w:rFonts w:eastAsia="Times New Roman"/>
          <w:color w:val="000000"/>
          <w:lang w:val="cs-CZ"/>
        </w:rPr>
        <w:t>destigmatizace</w:t>
      </w:r>
      <w:proofErr w:type="spellEnd"/>
      <w:r>
        <w:rPr>
          <w:rFonts w:eastAsia="Times New Roman"/>
          <w:color w:val="000000"/>
          <w:lang w:val="cs-CZ"/>
        </w:rPr>
        <w:t>);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line="250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poskytování konzultací k aktivitám probíhajícím v rámci interní evaluace proje</w:t>
      </w:r>
      <w:r>
        <w:rPr>
          <w:rFonts w:eastAsia="Times New Roman"/>
          <w:color w:val="000000"/>
          <w:lang w:val="cs-CZ"/>
        </w:rPr>
        <w:t>ktu.</w:t>
      </w:r>
    </w:p>
    <w:p w:rsidR="00510E27" w:rsidRDefault="00C25941">
      <w:pPr>
        <w:numPr>
          <w:ilvl w:val="0"/>
          <w:numId w:val="7"/>
        </w:numPr>
        <w:tabs>
          <w:tab w:val="clear" w:pos="360"/>
          <w:tab w:val="left" w:pos="792"/>
        </w:tabs>
        <w:spacing w:before="274" w:line="252" w:lineRule="exact"/>
        <w:ind w:left="432" w:right="72"/>
        <w:jc w:val="both"/>
        <w:textAlignment w:val="baseline"/>
        <w:rPr>
          <w:rFonts w:eastAsia="Times New Roman"/>
          <w:b/>
          <w:color w:val="000000"/>
          <w:spacing w:val="-3"/>
          <w:lang w:val="cs-CZ"/>
        </w:rPr>
      </w:pPr>
      <w:r>
        <w:rPr>
          <w:rFonts w:eastAsia="Times New Roman"/>
          <w:b/>
          <w:color w:val="000000"/>
          <w:spacing w:val="-3"/>
          <w:lang w:val="cs-CZ"/>
        </w:rPr>
        <w:t xml:space="preserve">Milník </w:t>
      </w:r>
      <w:r>
        <w:rPr>
          <w:rFonts w:eastAsia="Times New Roman"/>
          <w:color w:val="000000"/>
          <w:spacing w:val="-3"/>
          <w:lang w:val="cs-CZ"/>
        </w:rPr>
        <w:t>3: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line="250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zpracování Záv</w:t>
      </w:r>
      <w:r>
        <w:rPr>
          <w:rFonts w:eastAsia="Times New Roman"/>
          <w:color w:val="000000"/>
          <w:lang w:val="cs-CZ"/>
        </w:rPr>
        <w:t xml:space="preserve">ěrečné evaluační zprávy na základě podkladů poskytnutých Klientem, která bude přílohou závěrečné zprávy o realizaci. Obsahem Závěrečné zprávy bude vyhodnocení projektu (zejména hlavní aktivity, tj. podpory </w:t>
      </w:r>
      <w:proofErr w:type="spellStart"/>
      <w:r>
        <w:rPr>
          <w:rFonts w:eastAsia="Times New Roman"/>
          <w:color w:val="000000"/>
          <w:lang w:val="cs-CZ"/>
        </w:rPr>
        <w:t>destigmatizace</w:t>
      </w:r>
      <w:proofErr w:type="spellEnd"/>
      <w:r>
        <w:rPr>
          <w:rFonts w:eastAsia="Times New Roman"/>
          <w:color w:val="000000"/>
          <w:lang w:val="cs-CZ"/>
        </w:rPr>
        <w:t xml:space="preserve"> v regionech);</w:t>
      </w:r>
    </w:p>
    <w:p w:rsidR="00510E27" w:rsidRDefault="00C25941">
      <w:pPr>
        <w:numPr>
          <w:ilvl w:val="0"/>
          <w:numId w:val="8"/>
        </w:numPr>
        <w:tabs>
          <w:tab w:val="clear" w:pos="360"/>
          <w:tab w:val="left" w:pos="1512"/>
        </w:tabs>
        <w:spacing w:line="255" w:lineRule="exact"/>
        <w:ind w:left="1512" w:right="72" w:hanging="360"/>
        <w:jc w:val="both"/>
        <w:textAlignment w:val="baseline"/>
        <w:rPr>
          <w:rFonts w:eastAsia="Times New Roman"/>
          <w:color w:val="000000"/>
          <w:lang w:val="cs-CZ"/>
        </w:rPr>
      </w:pPr>
      <w:r>
        <w:rPr>
          <w:rFonts w:eastAsia="Times New Roman"/>
          <w:color w:val="000000"/>
          <w:lang w:val="cs-CZ"/>
        </w:rPr>
        <w:t>poskytování konzultac</w:t>
      </w:r>
      <w:r>
        <w:rPr>
          <w:rFonts w:eastAsia="Times New Roman"/>
          <w:color w:val="000000"/>
          <w:lang w:val="cs-CZ"/>
        </w:rPr>
        <w:t xml:space="preserve">í k aktivitám probíhajícím v rámci interní evaluace implementační fáze (podpora </w:t>
      </w:r>
      <w:proofErr w:type="spellStart"/>
      <w:r>
        <w:rPr>
          <w:rFonts w:eastAsia="Times New Roman"/>
          <w:color w:val="000000"/>
          <w:lang w:val="cs-CZ"/>
        </w:rPr>
        <w:t>destigmatizace</w:t>
      </w:r>
      <w:proofErr w:type="spellEnd"/>
      <w:r>
        <w:rPr>
          <w:rFonts w:eastAsia="Times New Roman"/>
          <w:color w:val="000000"/>
          <w:lang w:val="cs-CZ"/>
        </w:rPr>
        <w:t xml:space="preserve"> v regionech).</w:t>
      </w:r>
    </w:p>
    <w:sectPr w:rsidR="00510E27">
      <w:pgSz w:w="11904" w:h="16781"/>
      <w:pgMar w:top="680" w:right="1097" w:bottom="775" w:left="17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Bookman Old Style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1EEA"/>
    <w:multiLevelType w:val="multilevel"/>
    <w:tmpl w:val="6E984996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76193"/>
    <w:multiLevelType w:val="multilevel"/>
    <w:tmpl w:val="17904ED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7037E"/>
    <w:multiLevelType w:val="multilevel"/>
    <w:tmpl w:val="3670C5D6"/>
    <w:lvl w:ilvl="0">
      <w:start w:val="2"/>
      <w:numFmt w:val="decimal"/>
      <w:lvlText w:val="%1)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000000"/>
        <w:spacing w:val="1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500BB"/>
    <w:multiLevelType w:val="multilevel"/>
    <w:tmpl w:val="464E97AC"/>
    <w:lvl w:ilvl="0">
      <w:start w:val="1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b/>
        <w:i/>
        <w:strike w:val="0"/>
        <w:color w:val="0C0C0C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B4D90"/>
    <w:multiLevelType w:val="multilevel"/>
    <w:tmpl w:val="98906D5C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i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29687B"/>
    <w:multiLevelType w:val="multilevel"/>
    <w:tmpl w:val="101696BC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0C0C0C"/>
        <w:spacing w:val="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592274"/>
    <w:multiLevelType w:val="multilevel"/>
    <w:tmpl w:val="DB828C06"/>
    <w:lvl w:ilvl="0">
      <w:start w:val="3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i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047C5A"/>
    <w:multiLevelType w:val="multilevel"/>
    <w:tmpl w:val="D3342A3A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Verdana" w:eastAsia="Verdana" w:hAnsi="Verdana"/>
        <w:strike w:val="0"/>
        <w:color w:val="0C0C0C"/>
        <w:spacing w:val="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10E27"/>
    <w:rsid w:val="00510E27"/>
    <w:rsid w:val="00C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443D4342-722C-4AC5-9709-992EC20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2019-03-04T11:43:00Z</dcterms:created>
  <dcterms:modified xsi:type="dcterms:W3CDTF">2019-03-04T11:45:00Z</dcterms:modified>
</cp:coreProperties>
</file>