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3C0" w:rsidRDefault="00C540CF">
      <w:pPr>
        <w:pStyle w:val="Nadpis30"/>
        <w:framePr w:w="9115" w:h="278" w:hRule="exact" w:wrap="none" w:vAnchor="page" w:hAnchor="page" w:x="1333" w:y="1447"/>
        <w:shd w:val="clear" w:color="auto" w:fill="auto"/>
        <w:spacing w:after="0" w:line="220" w:lineRule="exact"/>
        <w:ind w:right="200"/>
      </w:pPr>
      <w:bookmarkStart w:id="0" w:name="bookmark0"/>
      <w:r>
        <w:t>č.j.: NG 2688/2016</w:t>
      </w:r>
      <w:bookmarkEnd w:id="0"/>
    </w:p>
    <w:p w:rsidR="003353C0" w:rsidRDefault="00C540CF">
      <w:pPr>
        <w:pStyle w:val="Nadpis30"/>
        <w:framePr w:w="9115" w:h="5826" w:hRule="exact" w:wrap="none" w:vAnchor="page" w:hAnchor="page" w:x="1333" w:y="1944"/>
        <w:shd w:val="clear" w:color="auto" w:fill="auto"/>
        <w:spacing w:after="212" w:line="220" w:lineRule="exact"/>
        <w:jc w:val="both"/>
      </w:pPr>
      <w:bookmarkStart w:id="1" w:name="bookmark1"/>
      <w:r>
        <w:t>Smluvní strany</w:t>
      </w:r>
      <w:bookmarkEnd w:id="1"/>
    </w:p>
    <w:p w:rsidR="003353C0" w:rsidRDefault="00C540CF">
      <w:pPr>
        <w:pStyle w:val="Nadpis30"/>
        <w:framePr w:w="9115" w:h="5826" w:hRule="exact" w:wrap="none" w:vAnchor="page" w:hAnchor="page" w:x="1333" w:y="1944"/>
        <w:shd w:val="clear" w:color="auto" w:fill="auto"/>
        <w:spacing w:after="0" w:line="252" w:lineRule="exact"/>
        <w:jc w:val="both"/>
      </w:pPr>
      <w:bookmarkStart w:id="2" w:name="bookmark2"/>
      <w:r>
        <w:t>Národní galerie v Praze</w:t>
      </w:r>
      <w:bookmarkEnd w:id="2"/>
    </w:p>
    <w:p w:rsidR="003353C0" w:rsidRDefault="00C540CF">
      <w:pPr>
        <w:pStyle w:val="Zkladntext20"/>
        <w:framePr w:w="9115" w:h="5826" w:hRule="exact" w:wrap="none" w:vAnchor="page" w:hAnchor="page" w:x="1333" w:y="1944"/>
        <w:shd w:val="clear" w:color="auto" w:fill="auto"/>
        <w:ind w:firstLine="0"/>
      </w:pPr>
      <w:r>
        <w:t>státní příspěvková organizace</w:t>
      </w:r>
    </w:p>
    <w:p w:rsidR="003353C0" w:rsidRDefault="00C540CF">
      <w:pPr>
        <w:pStyle w:val="Zkladntext20"/>
        <w:framePr w:w="9115" w:h="5826" w:hRule="exact" w:wrap="none" w:vAnchor="page" w:hAnchor="page" w:x="1333" w:y="1944"/>
        <w:shd w:val="clear" w:color="auto" w:fill="auto"/>
        <w:ind w:firstLine="0"/>
      </w:pPr>
      <w:r>
        <w:t>se sídlem Staroměstské nám. 12, 110 15 Praha 1</w:t>
      </w:r>
    </w:p>
    <w:p w:rsidR="003353C0" w:rsidRDefault="00C540CF">
      <w:pPr>
        <w:pStyle w:val="Zkladntext20"/>
        <w:framePr w:w="9115" w:h="5826" w:hRule="exact" w:wrap="none" w:vAnchor="page" w:hAnchor="page" w:x="1333" w:y="1944"/>
        <w:shd w:val="clear" w:color="auto" w:fill="auto"/>
        <w:ind w:firstLine="0"/>
      </w:pPr>
      <w:r>
        <w:t>zastoupená doc. Dr. et Ing. Jiří Fajtem, Ph.D., generálním ředitelem</w:t>
      </w:r>
    </w:p>
    <w:p w:rsidR="003353C0" w:rsidRDefault="00C540CF">
      <w:pPr>
        <w:pStyle w:val="Zkladntext20"/>
        <w:framePr w:w="9115" w:h="5826" w:hRule="exact" w:wrap="none" w:vAnchor="page" w:hAnchor="page" w:x="1333" w:y="1944"/>
        <w:shd w:val="clear" w:color="auto" w:fill="auto"/>
        <w:ind w:firstLine="0"/>
      </w:pPr>
      <w:r>
        <w:t>IČO: 00023281, DIČ: CZ00023281</w:t>
      </w:r>
    </w:p>
    <w:p w:rsidR="003353C0" w:rsidRDefault="00C540CF">
      <w:pPr>
        <w:pStyle w:val="Zkladntext20"/>
        <w:framePr w:w="9115" w:h="5826" w:hRule="exact" w:wrap="none" w:vAnchor="page" w:hAnchor="page" w:x="1333" w:y="1944"/>
        <w:shd w:val="clear" w:color="auto" w:fill="auto"/>
        <w:ind w:firstLine="0"/>
      </w:pPr>
      <w:r>
        <w:t xml:space="preserve">bankovní spojení: </w:t>
      </w:r>
      <w:r w:rsidR="00043BFF">
        <w:t>…………..</w:t>
      </w:r>
      <w:r>
        <w:t xml:space="preserve">, č. ú. </w:t>
      </w:r>
      <w:r w:rsidR="00043BFF">
        <w:t>………………….</w:t>
      </w:r>
    </w:p>
    <w:p w:rsidR="003353C0" w:rsidRDefault="00C540CF">
      <w:pPr>
        <w:pStyle w:val="Zkladntext20"/>
        <w:framePr w:w="9115" w:h="5826" w:hRule="exact" w:wrap="none" w:vAnchor="page" w:hAnchor="page" w:x="1333" w:y="1944"/>
        <w:shd w:val="clear" w:color="auto" w:fill="auto"/>
        <w:tabs>
          <w:tab w:val="left" w:pos="2099"/>
        </w:tabs>
        <w:ind w:firstLine="0"/>
      </w:pPr>
      <w:r>
        <w:rPr>
          <w:rStyle w:val="Zkladntext2Tun"/>
        </w:rPr>
        <w:t xml:space="preserve">fakturační adresa </w:t>
      </w:r>
      <w:r>
        <w:t>:</w:t>
      </w:r>
      <w:r>
        <w:tab/>
        <w:t>Národní galerie v Praze, účtárna</w:t>
      </w:r>
    </w:p>
    <w:p w:rsidR="003353C0" w:rsidRDefault="00C540CF" w:rsidP="00043BFF">
      <w:pPr>
        <w:pStyle w:val="Zkladntext20"/>
        <w:framePr w:w="9115" w:h="5826" w:hRule="exact" w:wrap="none" w:vAnchor="page" w:hAnchor="page" w:x="1333" w:y="1944"/>
        <w:shd w:val="clear" w:color="auto" w:fill="auto"/>
        <w:spacing w:line="240" w:lineRule="auto"/>
        <w:ind w:left="2160" w:firstLine="0"/>
        <w:jc w:val="left"/>
      </w:pPr>
      <w:r>
        <w:t>Dukelských hrdinů 47, 170 00 Praha 7</w:t>
      </w:r>
    </w:p>
    <w:p w:rsidR="00043BFF" w:rsidRDefault="00C540CF" w:rsidP="00043BFF">
      <w:pPr>
        <w:pStyle w:val="Zkladntext20"/>
        <w:framePr w:w="9115" w:h="5826" w:hRule="exact" w:wrap="none" w:vAnchor="page" w:hAnchor="page" w:x="1333" w:y="1944"/>
        <w:shd w:val="clear" w:color="auto" w:fill="auto"/>
        <w:spacing w:line="240" w:lineRule="auto"/>
        <w:ind w:right="7680" w:firstLine="0"/>
        <w:jc w:val="left"/>
      </w:pPr>
      <w:r>
        <w:t xml:space="preserve">(dále jen „NG“) </w:t>
      </w:r>
    </w:p>
    <w:p w:rsidR="00043BFF" w:rsidRDefault="00043BFF" w:rsidP="00043BFF">
      <w:pPr>
        <w:pStyle w:val="Zkladntext20"/>
        <w:framePr w:w="9115" w:h="5826" w:hRule="exact" w:wrap="none" w:vAnchor="page" w:hAnchor="page" w:x="1333" w:y="1944"/>
        <w:shd w:val="clear" w:color="auto" w:fill="auto"/>
        <w:spacing w:line="240" w:lineRule="auto"/>
        <w:ind w:right="7680" w:firstLine="0"/>
        <w:jc w:val="left"/>
      </w:pPr>
    </w:p>
    <w:p w:rsidR="003353C0" w:rsidRDefault="00043BFF" w:rsidP="00043BFF">
      <w:pPr>
        <w:pStyle w:val="Zkladntext20"/>
        <w:framePr w:w="9115" w:h="5826" w:hRule="exact" w:wrap="none" w:vAnchor="page" w:hAnchor="page" w:x="1333" w:y="1944"/>
        <w:shd w:val="clear" w:color="auto" w:fill="auto"/>
        <w:spacing w:line="240" w:lineRule="auto"/>
        <w:ind w:right="7680" w:firstLine="0"/>
        <w:jc w:val="left"/>
      </w:pPr>
      <w:r>
        <w:t>a</w:t>
      </w:r>
    </w:p>
    <w:p w:rsidR="00043BFF" w:rsidRDefault="00043BFF" w:rsidP="00043BFF">
      <w:pPr>
        <w:pStyle w:val="Zkladntext20"/>
        <w:framePr w:w="9115" w:h="5826" w:hRule="exact" w:wrap="none" w:vAnchor="page" w:hAnchor="page" w:x="1333" w:y="1944"/>
        <w:shd w:val="clear" w:color="auto" w:fill="auto"/>
        <w:spacing w:line="240" w:lineRule="auto"/>
        <w:ind w:right="7680" w:firstLine="0"/>
        <w:jc w:val="left"/>
      </w:pPr>
    </w:p>
    <w:p w:rsidR="003353C0" w:rsidRDefault="00C540CF">
      <w:pPr>
        <w:pStyle w:val="Nadpis30"/>
        <w:framePr w:w="9115" w:h="5826" w:hRule="exact" w:wrap="none" w:vAnchor="page" w:hAnchor="page" w:x="1333" w:y="1944"/>
        <w:shd w:val="clear" w:color="auto" w:fill="auto"/>
        <w:spacing w:after="0" w:line="248" w:lineRule="exact"/>
        <w:jc w:val="both"/>
      </w:pPr>
      <w:bookmarkStart w:id="3" w:name="bookmark3"/>
      <w:r>
        <w:t>WIC Prague, s.r.o., hotel InterContinental Prague</w:t>
      </w:r>
      <w:bookmarkEnd w:id="3"/>
    </w:p>
    <w:p w:rsidR="00043BFF" w:rsidRDefault="00C540CF">
      <w:pPr>
        <w:pStyle w:val="Zkladntext20"/>
        <w:framePr w:w="9115" w:h="5826" w:hRule="exact" w:wrap="none" w:vAnchor="page" w:hAnchor="page" w:x="1333" w:y="1944"/>
        <w:shd w:val="clear" w:color="auto" w:fill="auto"/>
        <w:spacing w:line="248" w:lineRule="exact"/>
        <w:ind w:right="700" w:firstLine="0"/>
        <w:jc w:val="left"/>
      </w:pPr>
      <w:r>
        <w:t xml:space="preserve">zapsaná v obchodním rejstříku vedeném Městským soudem v Praze, v </w:t>
      </w:r>
      <w:r>
        <w:t>oddílu C, vložce 163659 se sídlem Nám. Curieových 43/5, Praha 1, 110 00</w:t>
      </w:r>
    </w:p>
    <w:p w:rsidR="00043BFF" w:rsidRDefault="00C540CF">
      <w:pPr>
        <w:pStyle w:val="Zkladntext20"/>
        <w:framePr w:w="9115" w:h="5826" w:hRule="exact" w:wrap="none" w:vAnchor="page" w:hAnchor="page" w:x="1333" w:y="1944"/>
        <w:shd w:val="clear" w:color="auto" w:fill="auto"/>
        <w:spacing w:line="248" w:lineRule="exact"/>
        <w:ind w:right="700" w:firstLine="0"/>
        <w:jc w:val="left"/>
      </w:pPr>
      <w:r>
        <w:t xml:space="preserve">zastoupená panen Janem Sovadinou, obchodním ředitelem </w:t>
      </w:r>
    </w:p>
    <w:p w:rsidR="003353C0" w:rsidRDefault="00C540CF">
      <w:pPr>
        <w:pStyle w:val="Zkladntext20"/>
        <w:framePr w:w="9115" w:h="5826" w:hRule="exact" w:wrap="none" w:vAnchor="page" w:hAnchor="page" w:x="1333" w:y="1944"/>
        <w:shd w:val="clear" w:color="auto" w:fill="auto"/>
        <w:spacing w:line="248" w:lineRule="exact"/>
        <w:ind w:right="700" w:firstLine="0"/>
        <w:jc w:val="left"/>
      </w:pPr>
      <w:r>
        <w:t>1</w:t>
      </w:r>
      <w:r w:rsidR="00043BFF">
        <w:t xml:space="preserve">    </w:t>
      </w:r>
      <w:r>
        <w:t xml:space="preserve"> IČO: 29 05 95 77, DIČ: CZ29 05 95 77</w:t>
      </w:r>
    </w:p>
    <w:p w:rsidR="00043BFF" w:rsidRDefault="00C540CF" w:rsidP="00043BFF">
      <w:pPr>
        <w:pStyle w:val="Zkladntext20"/>
        <w:framePr w:w="9115" w:h="5826" w:hRule="exact" w:wrap="none" w:vAnchor="page" w:hAnchor="page" w:x="1333" w:y="1944"/>
        <w:shd w:val="clear" w:color="auto" w:fill="auto"/>
        <w:spacing w:line="240" w:lineRule="auto"/>
        <w:ind w:right="700" w:firstLine="0"/>
        <w:jc w:val="left"/>
      </w:pPr>
      <w:r>
        <w:t xml:space="preserve">bankovní spojení: </w:t>
      </w:r>
      <w:r w:rsidR="00043BFF">
        <w:t>……………….</w:t>
      </w:r>
      <w:r>
        <w:t xml:space="preserve">., </w:t>
      </w:r>
      <w:r>
        <w:t xml:space="preserve"> č. </w:t>
      </w:r>
      <w:r w:rsidR="00043BFF">
        <w:t>ú. ……………….</w:t>
      </w:r>
    </w:p>
    <w:p w:rsidR="003353C0" w:rsidRDefault="00C540CF" w:rsidP="00043BFF">
      <w:pPr>
        <w:pStyle w:val="Zkladntext20"/>
        <w:framePr w:w="9115" w:h="5826" w:hRule="exact" w:wrap="none" w:vAnchor="page" w:hAnchor="page" w:x="1333" w:y="1944"/>
        <w:shd w:val="clear" w:color="auto" w:fill="auto"/>
        <w:spacing w:line="240" w:lineRule="auto"/>
        <w:ind w:right="700" w:firstLine="0"/>
        <w:jc w:val="left"/>
      </w:pPr>
      <w:r>
        <w:t>(dá</w:t>
      </w:r>
      <w:r>
        <w:t xml:space="preserve">le jen </w:t>
      </w:r>
      <w:r>
        <w:rPr>
          <w:rStyle w:val="Zkladntext2Tun"/>
        </w:rPr>
        <w:t xml:space="preserve">„Nájemce“) </w:t>
      </w:r>
      <w:r>
        <w:t>na straně druhé</w:t>
      </w:r>
    </w:p>
    <w:p w:rsidR="00043BFF" w:rsidRDefault="00043BFF" w:rsidP="00043BFF">
      <w:pPr>
        <w:pStyle w:val="Zkladntext20"/>
        <w:framePr w:w="9115" w:h="5826" w:hRule="exact" w:wrap="none" w:vAnchor="page" w:hAnchor="page" w:x="1333" w:y="1944"/>
        <w:shd w:val="clear" w:color="auto" w:fill="auto"/>
        <w:spacing w:line="240" w:lineRule="auto"/>
        <w:ind w:right="700" w:firstLine="0"/>
        <w:jc w:val="left"/>
      </w:pPr>
    </w:p>
    <w:p w:rsidR="003353C0" w:rsidRDefault="00C540CF" w:rsidP="00043BFF">
      <w:pPr>
        <w:pStyle w:val="Zkladntext20"/>
        <w:framePr w:w="9115" w:h="5826" w:hRule="exact" w:wrap="none" w:vAnchor="page" w:hAnchor="page" w:x="1333" w:y="1944"/>
        <w:shd w:val="clear" w:color="auto" w:fill="auto"/>
        <w:spacing w:line="240" w:lineRule="auto"/>
        <w:ind w:firstLine="0"/>
      </w:pPr>
      <w:r>
        <w:t>uzavírají tento</w:t>
      </w:r>
    </w:p>
    <w:p w:rsidR="003353C0" w:rsidRDefault="00C540CF">
      <w:pPr>
        <w:pStyle w:val="Nadpis30"/>
        <w:framePr w:w="9115" w:h="1059" w:hRule="exact" w:wrap="none" w:vAnchor="page" w:hAnchor="page" w:x="1333" w:y="7977"/>
        <w:shd w:val="clear" w:color="auto" w:fill="auto"/>
        <w:spacing w:after="206" w:line="252" w:lineRule="exact"/>
        <w:ind w:left="20"/>
        <w:jc w:val="center"/>
      </w:pPr>
      <w:bookmarkStart w:id="4" w:name="bookmark4"/>
      <w:r>
        <w:t>Dodatek č. 1 ke Smlouvě o nájmu prostoru sloužícího k podnikání</w:t>
      </w:r>
      <w:r>
        <w:br/>
        <w:t>č.j. NG 2288/2016 ze dne 13.10.2016</w:t>
      </w:r>
      <w:bookmarkEnd w:id="4"/>
    </w:p>
    <w:p w:rsidR="003353C0" w:rsidRDefault="00C540CF">
      <w:pPr>
        <w:pStyle w:val="Zkladntext20"/>
        <w:framePr w:w="9115" w:h="1059" w:hRule="exact" w:wrap="none" w:vAnchor="page" w:hAnchor="page" w:x="1333" w:y="7977"/>
        <w:shd w:val="clear" w:color="auto" w:fill="auto"/>
        <w:spacing w:line="220" w:lineRule="exact"/>
        <w:ind w:firstLine="0"/>
      </w:pPr>
      <w:r>
        <w:t>Dne 13. 10. 2016 uzavřely smluvní strany smlouvu o nájmu prostoru</w:t>
      </w:r>
    </w:p>
    <w:p w:rsidR="003353C0" w:rsidRDefault="00C540CF">
      <w:pPr>
        <w:pStyle w:val="Nadpis20"/>
        <w:framePr w:w="9115" w:h="2070" w:hRule="exact" w:wrap="none" w:vAnchor="page" w:hAnchor="page" w:x="1333" w:y="9230"/>
        <w:shd w:val="clear" w:color="auto" w:fill="auto"/>
        <w:spacing w:before="0"/>
        <w:ind w:left="20"/>
      </w:pPr>
      <w:bookmarkStart w:id="5" w:name="bookmark5"/>
      <w:r>
        <w:t>I.</w:t>
      </w:r>
      <w:bookmarkEnd w:id="5"/>
    </w:p>
    <w:p w:rsidR="003353C0" w:rsidRDefault="00C540CF">
      <w:pPr>
        <w:pStyle w:val="Zkladntext20"/>
        <w:framePr w:w="9115" w:h="2070" w:hRule="exact" w:wrap="none" w:vAnchor="page" w:hAnchor="page" w:x="1333" w:y="9230"/>
        <w:numPr>
          <w:ilvl w:val="0"/>
          <w:numId w:val="1"/>
        </w:numPr>
        <w:shd w:val="clear" w:color="auto" w:fill="auto"/>
        <w:tabs>
          <w:tab w:val="left" w:pos="744"/>
        </w:tabs>
        <w:ind w:left="740"/>
      </w:pPr>
      <w:r>
        <w:t xml:space="preserve">Smluvní strany se dohodly na této </w:t>
      </w:r>
      <w:r>
        <w:t>změně:</w:t>
      </w:r>
    </w:p>
    <w:p w:rsidR="003353C0" w:rsidRDefault="00C540CF">
      <w:pPr>
        <w:pStyle w:val="Zkladntext20"/>
        <w:framePr w:w="9115" w:h="2070" w:hRule="exact" w:wrap="none" w:vAnchor="page" w:hAnchor="page" w:x="1333" w:y="9230"/>
        <w:shd w:val="clear" w:color="auto" w:fill="auto"/>
        <w:spacing w:after="206"/>
        <w:ind w:left="740" w:firstLine="0"/>
        <w:jc w:val="left"/>
      </w:pPr>
      <w:r>
        <w:t xml:space="preserve">Nájem prostoru dne 2.12.2016 bude navýšen o dvě hodiny příprav (tj. od 14.00h - 16-00h). Nájemce uhradí dvě hodiny trvání nájmu navíc (přípravy) v hodnotě 7.400,- Kč + DPH (tj. 21% a činí 1.554,-Kč) celková cena za dvě hodiny příprav činí </w:t>
      </w:r>
      <w:r>
        <w:rPr>
          <w:rStyle w:val="Zkladntext2Tun"/>
        </w:rPr>
        <w:t>8.954, -Kč</w:t>
      </w:r>
      <w:r>
        <w:rPr>
          <w:rStyle w:val="Zkladntext2Tun"/>
        </w:rPr>
        <w:t xml:space="preserve"> </w:t>
      </w:r>
      <w:r>
        <w:t>včetně DPH. Tato částka bude fakturována nájemci samostatnou fakturou vystavenou NG.</w:t>
      </w:r>
    </w:p>
    <w:p w:rsidR="003353C0" w:rsidRDefault="00C540CF">
      <w:pPr>
        <w:pStyle w:val="Zkladntext20"/>
        <w:framePr w:w="9115" w:h="2070" w:hRule="exact" w:wrap="none" w:vAnchor="page" w:hAnchor="page" w:x="1333" w:y="9230"/>
        <w:numPr>
          <w:ilvl w:val="0"/>
          <w:numId w:val="1"/>
        </w:numPr>
        <w:shd w:val="clear" w:color="auto" w:fill="auto"/>
        <w:tabs>
          <w:tab w:val="left" w:pos="748"/>
        </w:tabs>
        <w:spacing w:line="220" w:lineRule="exact"/>
        <w:ind w:left="740"/>
      </w:pPr>
      <w:r>
        <w:t>Ostatní ustanovení smlouvy se nemění.</w:t>
      </w:r>
    </w:p>
    <w:p w:rsidR="003353C0" w:rsidRDefault="00C540CF">
      <w:pPr>
        <w:pStyle w:val="Nadpis30"/>
        <w:framePr w:w="9115" w:h="814" w:hRule="exact" w:wrap="none" w:vAnchor="page" w:hAnchor="page" w:x="1333" w:y="11501"/>
        <w:shd w:val="clear" w:color="auto" w:fill="auto"/>
        <w:spacing w:after="0" w:line="252" w:lineRule="exact"/>
        <w:ind w:left="20"/>
        <w:jc w:val="center"/>
      </w:pPr>
      <w:bookmarkStart w:id="6" w:name="bookmark6"/>
      <w:r>
        <w:t>II.</w:t>
      </w:r>
      <w:bookmarkEnd w:id="6"/>
    </w:p>
    <w:p w:rsidR="003353C0" w:rsidRDefault="00C540CF">
      <w:pPr>
        <w:pStyle w:val="Zkladntext20"/>
        <w:framePr w:w="9115" w:h="814" w:hRule="exact" w:wrap="none" w:vAnchor="page" w:hAnchor="page" w:x="1333" w:y="11501"/>
        <w:shd w:val="clear" w:color="auto" w:fill="auto"/>
        <w:ind w:left="740"/>
      </w:pPr>
      <w:r>
        <w:t>1. Tento dodatek je vyhotoven ve dvou výtiscích, kdy každá ze smluvních stran obdrží po jednom vyhotovení.</w:t>
      </w:r>
    </w:p>
    <w:p w:rsidR="003353C0" w:rsidRDefault="00C540CF" w:rsidP="007F0FEE">
      <w:pPr>
        <w:pStyle w:val="Zkladntext20"/>
        <w:framePr w:w="9805" w:h="3601" w:hRule="exact" w:wrap="none" w:vAnchor="page" w:hAnchor="page" w:x="1333" w:y="12502"/>
        <w:shd w:val="clear" w:color="auto" w:fill="auto"/>
        <w:ind w:left="740"/>
      </w:pPr>
      <w:r>
        <w:t xml:space="preserve">2. Tento dodatek </w:t>
      </w:r>
      <w:r>
        <w:t>nabývá platnost i a účinnosti podpisem obou smluvních stran, které zároveň prohlašují, že si dodatek před jeho podpisem přečetly a že jej uzavírají po vzájemném projednání podle jejich pravé, vážné a svobodné vůle.</w:t>
      </w:r>
    </w:p>
    <w:p w:rsidR="00043BFF" w:rsidRDefault="00043BFF" w:rsidP="007F0FEE">
      <w:pPr>
        <w:pStyle w:val="Zkladntext20"/>
        <w:framePr w:w="9805" w:h="3601" w:hRule="exact" w:wrap="none" w:vAnchor="page" w:hAnchor="page" w:x="1333" w:y="12502"/>
        <w:shd w:val="clear" w:color="auto" w:fill="auto"/>
        <w:ind w:left="740"/>
      </w:pPr>
    </w:p>
    <w:p w:rsidR="00043BFF" w:rsidRDefault="00043BFF" w:rsidP="007F0FEE">
      <w:pPr>
        <w:pStyle w:val="Zkladntext20"/>
        <w:framePr w:w="9805" w:h="3601" w:hRule="exact" w:wrap="none" w:vAnchor="page" w:hAnchor="page" w:x="1333" w:y="12502"/>
        <w:shd w:val="clear" w:color="auto" w:fill="auto"/>
        <w:ind w:left="740"/>
      </w:pPr>
    </w:p>
    <w:p w:rsidR="00043BFF" w:rsidRDefault="00043BFF" w:rsidP="007F0FEE">
      <w:pPr>
        <w:pStyle w:val="Zkladntext20"/>
        <w:framePr w:w="9805" w:h="3601" w:hRule="exact" w:wrap="none" w:vAnchor="page" w:hAnchor="page" w:x="1333" w:y="12502"/>
        <w:shd w:val="clear" w:color="auto" w:fill="auto"/>
        <w:ind w:left="740"/>
      </w:pPr>
      <w:r>
        <w:t>V</w:t>
      </w:r>
      <w:r w:rsidR="007F0FEE">
        <w:t> </w:t>
      </w:r>
      <w:r>
        <w:t>P</w:t>
      </w:r>
      <w:r w:rsidR="007F0FEE">
        <w:t>raze dne  1. 12. 2016</w:t>
      </w:r>
    </w:p>
    <w:p w:rsidR="00043BFF" w:rsidRDefault="00043BFF" w:rsidP="007F0FEE">
      <w:pPr>
        <w:pStyle w:val="Zkladntext20"/>
        <w:framePr w:w="9805" w:h="3601" w:hRule="exact" w:wrap="none" w:vAnchor="page" w:hAnchor="page" w:x="1333" w:y="12502"/>
        <w:shd w:val="clear" w:color="auto" w:fill="auto"/>
        <w:ind w:left="740"/>
      </w:pPr>
    </w:p>
    <w:p w:rsidR="00043BFF" w:rsidRDefault="00043BFF" w:rsidP="007F0FEE">
      <w:pPr>
        <w:pStyle w:val="Zkladntext20"/>
        <w:framePr w:w="9805" w:h="3601" w:hRule="exact" w:wrap="none" w:vAnchor="page" w:hAnchor="page" w:x="1333" w:y="12502"/>
        <w:shd w:val="clear" w:color="auto" w:fill="auto"/>
        <w:ind w:left="740"/>
      </w:pPr>
    </w:p>
    <w:p w:rsidR="007F0FEE" w:rsidRDefault="007F0FEE" w:rsidP="007F0FEE">
      <w:pPr>
        <w:pStyle w:val="Zkladntext20"/>
        <w:framePr w:w="9805" w:h="3601" w:hRule="exact" w:wrap="none" w:vAnchor="page" w:hAnchor="page" w:x="1333" w:y="12502"/>
        <w:shd w:val="clear" w:color="auto" w:fill="auto"/>
        <w:ind w:left="740"/>
      </w:pPr>
    </w:p>
    <w:p w:rsidR="00043BFF" w:rsidRPr="007F0FEE" w:rsidRDefault="007F0FEE" w:rsidP="007F0FEE">
      <w:pPr>
        <w:pStyle w:val="Zkladntext20"/>
        <w:framePr w:w="9805" w:h="3601" w:hRule="exact" w:wrap="none" w:vAnchor="page" w:hAnchor="page" w:x="1333" w:y="12502"/>
        <w:shd w:val="clear" w:color="auto" w:fill="auto"/>
        <w:ind w:left="740"/>
      </w:pPr>
      <w:r w:rsidRPr="007F0FEE">
        <w:t>……………………………………</w:t>
      </w:r>
      <w:r w:rsidRPr="007F0FEE">
        <w:tab/>
      </w:r>
      <w:r w:rsidRPr="007F0FEE">
        <w:tab/>
      </w:r>
      <w:r>
        <w:tab/>
      </w:r>
      <w:bookmarkStart w:id="7" w:name="_GoBack"/>
      <w:bookmarkEnd w:id="7"/>
      <w:r w:rsidRPr="007F0FEE">
        <w:t>…………………………………….</w:t>
      </w:r>
    </w:p>
    <w:p w:rsidR="007F0FEE" w:rsidRPr="007F0FEE" w:rsidRDefault="007F0FEE" w:rsidP="007F0FEE">
      <w:pPr>
        <w:pStyle w:val="Zkladntext20"/>
        <w:framePr w:w="9805" w:h="3601" w:hRule="exact" w:wrap="none" w:vAnchor="page" w:hAnchor="page" w:x="1333" w:y="12502"/>
        <w:shd w:val="clear" w:color="auto" w:fill="auto"/>
        <w:ind w:left="740"/>
      </w:pPr>
      <w:r w:rsidRPr="007F0FEE">
        <w:t>Národní galerie v Praze</w:t>
      </w:r>
      <w:r w:rsidRPr="007F0FEE">
        <w:tab/>
      </w:r>
      <w:r w:rsidRPr="007F0FEE">
        <w:tab/>
      </w:r>
      <w:r w:rsidRPr="007F0FEE">
        <w:tab/>
      </w:r>
      <w:r w:rsidRPr="007F0FEE">
        <w:tab/>
        <w:t>WIC Prague, s.r.o.</w:t>
      </w:r>
    </w:p>
    <w:sectPr w:rsidR="007F0FEE" w:rsidRPr="007F0FE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0CF" w:rsidRDefault="00C540CF">
      <w:r>
        <w:separator/>
      </w:r>
    </w:p>
  </w:endnote>
  <w:endnote w:type="continuationSeparator" w:id="0">
    <w:p w:rsidR="00C540CF" w:rsidRDefault="00C5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0CF" w:rsidRDefault="00C540CF"/>
  </w:footnote>
  <w:footnote w:type="continuationSeparator" w:id="0">
    <w:p w:rsidR="00C540CF" w:rsidRDefault="00C540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B4594"/>
    <w:multiLevelType w:val="multilevel"/>
    <w:tmpl w:val="DDAE0D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353C0"/>
    <w:rsid w:val="00043BFF"/>
    <w:rsid w:val="001C3289"/>
    <w:rsid w:val="003353C0"/>
    <w:rsid w:val="007F0FEE"/>
    <w:rsid w:val="00C5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20C83"/>
  <w15:docId w15:val="{F56FCB13-97A2-44F7-B5DF-E7E57E62D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80"/>
      <w:u w:val="singl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pacing w:val="-10"/>
      <w:w w:val="60"/>
      <w:sz w:val="38"/>
      <w:szCs w:val="38"/>
      <w:u w:val="none"/>
    </w:rPr>
  </w:style>
  <w:style w:type="character" w:customStyle="1" w:styleId="Nadpis19ptdkovn0ptMtko100">
    <w:name w:val="Nadpis #1 + 9 pt;Řádkování 0 pt;Měřítko 100%"/>
    <w:basedOn w:val="Nadpis1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Candara" w:eastAsia="Candara" w:hAnsi="Candara" w:cs="Candara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TitulekobrzkuNekurzva">
    <w:name w:val="Titulek obrázku + Ne kurzíva"/>
    <w:basedOn w:val="Titulekobrzku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00" w:line="0" w:lineRule="atLeast"/>
      <w:jc w:val="right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2" w:lineRule="exact"/>
      <w:ind w:hanging="3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00" w:line="252" w:lineRule="exact"/>
      <w:jc w:val="center"/>
      <w:outlineLvl w:val="1"/>
    </w:pPr>
    <w:rPr>
      <w:rFonts w:ascii="FrankRuehl" w:eastAsia="FrankRuehl" w:hAnsi="FrankRuehl" w:cs="FrankRuehl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70" w:lineRule="exact"/>
      <w:jc w:val="both"/>
      <w:outlineLvl w:val="0"/>
    </w:pPr>
    <w:rPr>
      <w:rFonts w:ascii="FrankRuehl" w:eastAsia="FrankRuehl" w:hAnsi="FrankRuehl" w:cs="FrankRuehl"/>
      <w:spacing w:val="-10"/>
      <w:w w:val="60"/>
      <w:sz w:val="38"/>
      <w:szCs w:val="3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98" w:lineRule="exact"/>
      <w:jc w:val="both"/>
    </w:pPr>
    <w:rPr>
      <w:rFonts w:ascii="Candara" w:eastAsia="Candara" w:hAnsi="Candara" w:cs="Candara"/>
      <w:i/>
      <w:iCs/>
      <w:sz w:val="15"/>
      <w:szCs w:val="15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  <w:jc w:val="both"/>
    </w:pPr>
    <w:rPr>
      <w:rFonts w:ascii="Candara" w:eastAsia="Candara" w:hAnsi="Candara" w:cs="Candar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c224.pk.gr-20161206163341</vt:lpstr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c224.pk.gr-20161206163341</dc:title>
  <dc:subject/>
  <dc:creator/>
  <cp:keywords/>
  <cp:lastModifiedBy>Zdenka Šímová</cp:lastModifiedBy>
  <cp:revision>3</cp:revision>
  <dcterms:created xsi:type="dcterms:W3CDTF">2016-12-06T14:47:00Z</dcterms:created>
  <dcterms:modified xsi:type="dcterms:W3CDTF">2016-12-06T15:45:00Z</dcterms:modified>
</cp:coreProperties>
</file>