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77777777" w:rsidR="0024468F" w:rsidRDefault="0024468F" w:rsidP="000A014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22039A6A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3200B9">
        <w:rPr>
          <w:rFonts w:asciiTheme="minorHAnsi" w:hAnsiTheme="minorHAnsi"/>
          <w:b/>
          <w:sz w:val="28"/>
          <w:szCs w:val="28"/>
        </w:rPr>
        <w:t xml:space="preserve">            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44908CE3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B8318E" w14:textId="3AB7E91A" w:rsidR="004E0CDF" w:rsidRPr="00336A59" w:rsidRDefault="00207BF9" w:rsidP="00336A59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Oblastní charita Pardubice</w:t>
      </w:r>
    </w:p>
    <w:p w14:paraId="44C1712D" w14:textId="57282713" w:rsidR="00040451" w:rsidRPr="00040451" w:rsidRDefault="00210C46" w:rsidP="00040451">
      <w:pPr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r w:rsidR="00207BF9">
        <w:rPr>
          <w:rFonts w:asciiTheme="minorHAnsi" w:hAnsiTheme="minorHAnsi" w:cstheme="minorHAnsi"/>
          <w:sz w:val="22"/>
          <w:szCs w:val="22"/>
        </w:rPr>
        <w:t>V Ráji 732, 530 02 Pardubice</w:t>
      </w:r>
    </w:p>
    <w:p w14:paraId="30B65B9F" w14:textId="78EFEE19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>IČ:</w:t>
      </w:r>
      <w:r w:rsidR="00207BF9">
        <w:rPr>
          <w:rFonts w:ascii="Calibri" w:hAnsi="Calibri"/>
          <w:sz w:val="22"/>
          <w:szCs w:val="22"/>
        </w:rPr>
        <w:t xml:space="preserve"> 46492160</w:t>
      </w:r>
      <w:r w:rsidRPr="004405E5">
        <w:rPr>
          <w:rFonts w:ascii="Calibri" w:hAnsi="Calibri"/>
          <w:sz w:val="22"/>
          <w:szCs w:val="22"/>
        </w:rPr>
        <w:t xml:space="preserve"> </w:t>
      </w:r>
    </w:p>
    <w:p w14:paraId="5EE5B99A" w14:textId="1BD367CE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207BF9">
        <w:rPr>
          <w:rFonts w:ascii="Calibri" w:hAnsi="Calibri"/>
          <w:sz w:val="22"/>
          <w:szCs w:val="22"/>
        </w:rPr>
        <w:t>1201207379/0800</w:t>
      </w:r>
    </w:p>
    <w:p w14:paraId="2E0E36CB" w14:textId="163F5BAB" w:rsidR="00AC4ECF" w:rsidRDefault="00207BF9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zastoupená: Mgr. Bc. Ilonou Fricovou, </w:t>
      </w:r>
      <w:r w:rsidR="00AC4ECF" w:rsidRPr="004405E5">
        <w:rPr>
          <w:rFonts w:ascii="Calibri" w:hAnsi="Calibri"/>
          <w:sz w:val="22"/>
          <w:szCs w:val="22"/>
        </w:rPr>
        <w:t>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124F0B9A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 xml:space="preserve">na období 2019 - </w:t>
      </w:r>
      <w:r w:rsidR="00DB3504">
        <w:rPr>
          <w:rFonts w:asciiTheme="minorHAnsi" w:hAnsiTheme="minorHAnsi"/>
          <w:sz w:val="22"/>
          <w:szCs w:val="22"/>
        </w:rPr>
        <w:t xml:space="preserve">2020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Z/161/2018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517F9C5B" w:rsidR="000A0147" w:rsidRPr="00207BF9" w:rsidRDefault="000A0147" w:rsidP="00207BF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66565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966565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966565">
        <w:rPr>
          <w:rFonts w:asciiTheme="minorHAnsi" w:hAnsiTheme="minorHAnsi"/>
          <w:sz w:val="22"/>
          <w:szCs w:val="22"/>
        </w:rPr>
        <w:t xml:space="preserve"> pro </w:t>
      </w:r>
      <w:proofErr w:type="gramStart"/>
      <w:r w:rsidRPr="00966565">
        <w:rPr>
          <w:rFonts w:asciiTheme="minorHAnsi" w:hAnsiTheme="minorHAnsi"/>
          <w:sz w:val="22"/>
          <w:szCs w:val="22"/>
        </w:rPr>
        <w:t>rok</w:t>
      </w:r>
      <w:r w:rsidR="00126949" w:rsidRPr="00966565">
        <w:rPr>
          <w:rFonts w:asciiTheme="minorHAnsi" w:hAnsiTheme="minorHAnsi"/>
          <w:sz w:val="22"/>
          <w:szCs w:val="22"/>
        </w:rPr>
        <w:t xml:space="preserve"> </w:t>
      </w:r>
      <w:r w:rsidRPr="00966565">
        <w:rPr>
          <w:rFonts w:asciiTheme="minorHAnsi" w:hAnsiTheme="minorHAnsi"/>
          <w:sz w:val="22"/>
          <w:szCs w:val="22"/>
        </w:rPr>
        <w:t xml:space="preserve"> 201</w:t>
      </w:r>
      <w:r w:rsidR="00DB3504" w:rsidRPr="00966565">
        <w:rPr>
          <w:rFonts w:asciiTheme="minorHAnsi" w:hAnsiTheme="minorHAnsi"/>
          <w:sz w:val="22"/>
          <w:szCs w:val="22"/>
        </w:rPr>
        <w:t>9</w:t>
      </w:r>
      <w:proofErr w:type="gramEnd"/>
      <w:r w:rsidRPr="00966565">
        <w:rPr>
          <w:rFonts w:asciiTheme="minorHAnsi" w:hAnsiTheme="minorHAnsi"/>
          <w:sz w:val="22"/>
          <w:szCs w:val="22"/>
        </w:rPr>
        <w:t xml:space="preserve"> ve </w:t>
      </w:r>
      <w:r w:rsidR="00772A39" w:rsidRPr="00966565">
        <w:rPr>
          <w:rFonts w:asciiTheme="minorHAnsi" w:hAnsiTheme="minorHAnsi"/>
          <w:sz w:val="22"/>
          <w:szCs w:val="22"/>
        </w:rPr>
        <w:t>výši</w:t>
      </w:r>
      <w:r w:rsidR="00772A39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207BF9">
        <w:rPr>
          <w:rFonts w:asciiTheme="minorHAnsi" w:hAnsiTheme="minorHAnsi"/>
          <w:b/>
          <w:sz w:val="22"/>
          <w:szCs w:val="22"/>
        </w:rPr>
        <w:t>1.031.400</w:t>
      </w:r>
      <w:r w:rsidR="0096354A" w:rsidRPr="00207BF9">
        <w:rPr>
          <w:rFonts w:asciiTheme="minorHAnsi" w:hAnsiTheme="minorHAnsi"/>
          <w:b/>
          <w:sz w:val="22"/>
          <w:szCs w:val="22"/>
        </w:rPr>
        <w:t>,-</w:t>
      </w:r>
      <w:r w:rsidR="00063D17" w:rsidRPr="00207BF9">
        <w:rPr>
          <w:rFonts w:asciiTheme="minorHAnsi" w:hAnsiTheme="minorHAnsi"/>
          <w:b/>
          <w:sz w:val="22"/>
          <w:szCs w:val="22"/>
        </w:rPr>
        <w:t xml:space="preserve"> </w:t>
      </w:r>
      <w:r w:rsidRPr="00207BF9">
        <w:rPr>
          <w:rFonts w:asciiTheme="minorHAnsi" w:hAnsiTheme="minorHAnsi"/>
          <w:b/>
          <w:sz w:val="22"/>
          <w:szCs w:val="22"/>
        </w:rPr>
        <w:t>Kč (slovy:</w:t>
      </w:r>
      <w:r w:rsidR="00FA2CBA" w:rsidRPr="00207BF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207BF9">
        <w:rPr>
          <w:rFonts w:asciiTheme="minorHAnsi" w:hAnsiTheme="minorHAnsi"/>
          <w:b/>
          <w:sz w:val="22"/>
          <w:szCs w:val="22"/>
        </w:rPr>
        <w:t>jedenmiliontřicetjedentisícčtyřistakorun</w:t>
      </w:r>
      <w:proofErr w:type="spellEnd"/>
      <w:r w:rsidRPr="00207BF9">
        <w:rPr>
          <w:rFonts w:asciiTheme="minorHAnsi" w:hAnsiTheme="minorHAnsi"/>
          <w:b/>
          <w:sz w:val="22"/>
          <w:szCs w:val="22"/>
        </w:rPr>
        <w:t>)</w:t>
      </w:r>
      <w:r w:rsidR="00693953" w:rsidRPr="00207BF9">
        <w:rPr>
          <w:rFonts w:asciiTheme="minorHAnsi" w:hAnsiTheme="minorHAnsi"/>
          <w:b/>
          <w:sz w:val="22"/>
          <w:szCs w:val="22"/>
        </w:rPr>
        <w:t xml:space="preserve"> na realizaci projektu „</w:t>
      </w:r>
      <w:r w:rsidR="00207BF9">
        <w:rPr>
          <w:rFonts w:asciiTheme="minorHAnsi" w:hAnsiTheme="minorHAnsi"/>
          <w:b/>
          <w:sz w:val="22"/>
          <w:szCs w:val="22"/>
        </w:rPr>
        <w:t>Charitní odlehčovací služby Červánky</w:t>
      </w:r>
      <w:r w:rsidR="00693953" w:rsidRPr="00207BF9">
        <w:rPr>
          <w:rFonts w:asciiTheme="minorHAnsi" w:hAnsiTheme="minorHAnsi"/>
          <w:b/>
          <w:sz w:val="22"/>
          <w:szCs w:val="22"/>
        </w:rPr>
        <w:t>“ (dále jen projekt)</w:t>
      </w:r>
      <w:r w:rsidR="00063D17" w:rsidRPr="00207BF9">
        <w:rPr>
          <w:rFonts w:asciiTheme="minorHAnsi" w:hAnsiTheme="minorHAnsi"/>
          <w:b/>
          <w:sz w:val="22"/>
          <w:szCs w:val="22"/>
        </w:rPr>
        <w:t xml:space="preserve">, </w:t>
      </w:r>
      <w:r w:rsidR="00693953" w:rsidRPr="00207BF9">
        <w:rPr>
          <w:rFonts w:asciiTheme="minorHAnsi" w:hAnsiTheme="minorHAnsi"/>
          <w:b/>
          <w:sz w:val="22"/>
          <w:szCs w:val="22"/>
        </w:rPr>
        <w:t xml:space="preserve">a pro rok 2020 ve stejné výši </w:t>
      </w:r>
      <w:r w:rsidR="0096354A" w:rsidRPr="00207BF9">
        <w:rPr>
          <w:rFonts w:asciiTheme="minorHAnsi" w:hAnsiTheme="minorHAnsi"/>
          <w:b/>
          <w:sz w:val="22"/>
          <w:szCs w:val="22"/>
        </w:rPr>
        <w:t xml:space="preserve">jako bude schválena finanční částka v roce 2019 </w:t>
      </w:r>
      <w:r w:rsidR="00693953" w:rsidRPr="00207BF9">
        <w:rPr>
          <w:rFonts w:asciiTheme="minorHAnsi" w:hAnsiTheme="minorHAnsi"/>
          <w:b/>
          <w:sz w:val="22"/>
          <w:szCs w:val="22"/>
        </w:rPr>
        <w:t>na stejný projekt</w:t>
      </w:r>
      <w:r w:rsidR="0096354A" w:rsidRPr="00207BF9">
        <w:rPr>
          <w:rFonts w:asciiTheme="minorHAnsi" w:hAnsiTheme="minorHAnsi"/>
          <w:b/>
          <w:sz w:val="22"/>
          <w:szCs w:val="22"/>
        </w:rPr>
        <w:t xml:space="preserve"> </w:t>
      </w:r>
      <w:r w:rsidR="0096354A" w:rsidRPr="00207BF9">
        <w:rPr>
          <w:rFonts w:asciiTheme="minorHAnsi" w:hAnsiTheme="minorHAnsi"/>
          <w:sz w:val="22"/>
          <w:szCs w:val="22"/>
        </w:rPr>
        <w:t>je vyplacení dotace podmíněno</w:t>
      </w:r>
      <w:r w:rsidR="00211ED8" w:rsidRPr="00207BF9">
        <w:rPr>
          <w:rFonts w:asciiTheme="minorHAnsi" w:hAnsiTheme="minorHAnsi"/>
          <w:sz w:val="22"/>
          <w:szCs w:val="22"/>
        </w:rPr>
        <w:t xml:space="preserve"> schválením rozpočtu města Pardubice na rok 2020</w:t>
      </w:r>
      <w:r w:rsidR="0096354A" w:rsidRPr="00207BF9">
        <w:rPr>
          <w:rFonts w:asciiTheme="minorHAnsi" w:hAnsiTheme="minorHAnsi"/>
          <w:sz w:val="22"/>
          <w:szCs w:val="22"/>
        </w:rPr>
        <w:t>, a zároveň splněním podmínek uvedených v odst. 2 písm. b) tohoto článku této smlouvy</w:t>
      </w:r>
      <w:r w:rsidR="00211ED8" w:rsidRPr="00207BF9">
        <w:rPr>
          <w:rFonts w:asciiTheme="minorHAnsi" w:hAnsiTheme="minorHAnsi"/>
          <w:sz w:val="22"/>
          <w:szCs w:val="22"/>
        </w:rPr>
        <w:t>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5DC728" w14:textId="6A6D15F5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>
        <w:rPr>
          <w:rFonts w:asciiTheme="minorHAnsi" w:hAnsiTheme="minorHAnsi"/>
          <w:sz w:val="22"/>
          <w:szCs w:val="22"/>
        </w:rPr>
        <w:t xml:space="preserve">, </w:t>
      </w:r>
      <w:r w:rsidR="00126949">
        <w:rPr>
          <w:rFonts w:asciiTheme="minorHAnsi" w:hAnsiTheme="minorHAnsi"/>
          <w:sz w:val="22"/>
          <w:szCs w:val="22"/>
        </w:rPr>
        <w:t xml:space="preserve">a to následovně: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1355D88A" w14:textId="127544BB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126949">
        <w:rPr>
          <w:rFonts w:asciiTheme="minorHAnsi" w:hAnsiTheme="minorHAnsi"/>
          <w:sz w:val="22"/>
          <w:szCs w:val="22"/>
        </w:rPr>
        <w:t xml:space="preserve">ástku </w:t>
      </w:r>
      <w:r w:rsidR="00207BF9" w:rsidRPr="00207BF9">
        <w:rPr>
          <w:rFonts w:asciiTheme="minorHAnsi" w:hAnsiTheme="minorHAnsi"/>
          <w:sz w:val="22"/>
          <w:szCs w:val="22"/>
        </w:rPr>
        <w:t xml:space="preserve">1.031.400,- Kč (slovy: </w:t>
      </w:r>
      <w:proofErr w:type="spellStart"/>
      <w:r w:rsidR="00207BF9" w:rsidRPr="00207BF9">
        <w:rPr>
          <w:rFonts w:asciiTheme="minorHAnsi" w:hAnsiTheme="minorHAnsi"/>
          <w:sz w:val="22"/>
          <w:szCs w:val="22"/>
        </w:rPr>
        <w:t>jedenmiliontřicetjedentisícčtyřistakorun</w:t>
      </w:r>
      <w:proofErr w:type="spellEnd"/>
      <w:r w:rsidR="00207BF9" w:rsidRPr="00207BF9">
        <w:rPr>
          <w:rFonts w:asciiTheme="minorHAnsi" w:hAnsiTheme="minorHAnsi"/>
          <w:sz w:val="22"/>
          <w:szCs w:val="22"/>
        </w:rPr>
        <w:t>)</w:t>
      </w:r>
      <w:r w:rsidR="00211ED8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>na realizaci projektu 2019</w:t>
      </w:r>
      <w:r>
        <w:rPr>
          <w:rFonts w:asciiTheme="minorHAnsi" w:hAnsiTheme="minorHAnsi"/>
          <w:sz w:val="22"/>
          <w:szCs w:val="22"/>
        </w:rPr>
        <w:t xml:space="preserve"> -</w:t>
      </w:r>
      <w:r w:rsidR="00126949">
        <w:rPr>
          <w:rFonts w:asciiTheme="minorHAnsi" w:hAnsiTheme="minorHAnsi"/>
          <w:sz w:val="22"/>
          <w:szCs w:val="22"/>
        </w:rPr>
        <w:t xml:space="preserve"> </w:t>
      </w:r>
      <w:r w:rsidR="000A0147" w:rsidRPr="00126949">
        <w:rPr>
          <w:rFonts w:asciiTheme="minorHAnsi" w:hAnsiTheme="minorHAnsi"/>
          <w:sz w:val="22"/>
          <w:szCs w:val="22"/>
        </w:rPr>
        <w:t xml:space="preserve">nejpozději do </w:t>
      </w:r>
      <w:r w:rsidR="00B17FC0" w:rsidRPr="00126949">
        <w:rPr>
          <w:rFonts w:asciiTheme="minorHAnsi" w:hAnsiTheme="minorHAnsi"/>
          <w:sz w:val="22"/>
          <w:szCs w:val="22"/>
        </w:rPr>
        <w:t>6</w:t>
      </w:r>
      <w:r w:rsidR="000A0147" w:rsidRPr="00126949">
        <w:rPr>
          <w:rFonts w:asciiTheme="minorHAnsi" w:hAnsiTheme="minorHAnsi"/>
          <w:sz w:val="22"/>
          <w:szCs w:val="22"/>
        </w:rPr>
        <w:t>0 dnů ode</w:t>
      </w:r>
      <w:r w:rsidR="00A025BF">
        <w:rPr>
          <w:rFonts w:asciiTheme="minorHAnsi" w:hAnsiTheme="minorHAnsi"/>
          <w:sz w:val="22"/>
          <w:szCs w:val="22"/>
        </w:rPr>
        <w:t xml:space="preserve"> </w:t>
      </w:r>
      <w:r w:rsidR="00E459DD">
        <w:rPr>
          <w:rFonts w:asciiTheme="minorHAnsi" w:hAnsiTheme="minorHAnsi"/>
          <w:sz w:val="22"/>
          <w:szCs w:val="22"/>
        </w:rPr>
        <w:t xml:space="preserve">dne </w:t>
      </w:r>
      <w:r w:rsidR="00A025BF">
        <w:rPr>
          <w:rFonts w:asciiTheme="minorHAnsi" w:hAnsiTheme="minorHAnsi"/>
          <w:sz w:val="22"/>
          <w:szCs w:val="22"/>
        </w:rPr>
        <w:t>nabytí účinnosti této smlouvy</w:t>
      </w:r>
      <w:r w:rsidR="00E459DD">
        <w:rPr>
          <w:rFonts w:asciiTheme="minorHAnsi" w:hAnsiTheme="minorHAnsi"/>
          <w:sz w:val="22"/>
          <w:szCs w:val="22"/>
        </w:rPr>
        <w:t>;</w:t>
      </w:r>
      <w:r w:rsidR="000A0147" w:rsidRPr="00126949">
        <w:rPr>
          <w:rFonts w:asciiTheme="minorHAnsi" w:hAnsiTheme="minorHAnsi"/>
          <w:sz w:val="22"/>
          <w:szCs w:val="22"/>
        </w:rPr>
        <w:t xml:space="preserve"> </w:t>
      </w:r>
    </w:p>
    <w:p w14:paraId="36C7C34D" w14:textId="511A2D06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225E41">
        <w:rPr>
          <w:rFonts w:asciiTheme="minorHAnsi" w:hAnsiTheme="minorHAnsi"/>
          <w:sz w:val="22"/>
          <w:szCs w:val="22"/>
        </w:rPr>
        <w:t xml:space="preserve">ástku </w:t>
      </w:r>
      <w:r w:rsidR="00207BF9" w:rsidRPr="00207BF9">
        <w:rPr>
          <w:rFonts w:asciiTheme="minorHAnsi" w:hAnsiTheme="minorHAnsi"/>
          <w:sz w:val="22"/>
          <w:szCs w:val="22"/>
        </w:rPr>
        <w:t xml:space="preserve">1.031.400,- Kč (slovy: </w:t>
      </w:r>
      <w:proofErr w:type="spellStart"/>
      <w:r w:rsidR="00207BF9" w:rsidRPr="00207BF9">
        <w:rPr>
          <w:rFonts w:asciiTheme="minorHAnsi" w:hAnsiTheme="minorHAnsi"/>
          <w:sz w:val="22"/>
          <w:szCs w:val="22"/>
        </w:rPr>
        <w:t>jedenmiliontřicetjedentisícčtyřistakorun</w:t>
      </w:r>
      <w:proofErr w:type="spellEnd"/>
      <w:r w:rsidR="00207BF9" w:rsidRPr="00207BF9">
        <w:rPr>
          <w:rFonts w:asciiTheme="minorHAnsi" w:hAnsiTheme="minorHAnsi"/>
          <w:sz w:val="22"/>
          <w:szCs w:val="22"/>
        </w:rPr>
        <w:t>)</w:t>
      </w:r>
      <w:r w:rsidR="00225E41" w:rsidRPr="00207BF9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 xml:space="preserve">na realizaci projektu 2020 – nejpozději do </w:t>
      </w:r>
      <w:proofErr w:type="gramStart"/>
      <w:r w:rsidR="00225E41">
        <w:rPr>
          <w:rFonts w:asciiTheme="minorHAnsi" w:hAnsiTheme="minorHAnsi"/>
          <w:sz w:val="22"/>
          <w:szCs w:val="22"/>
        </w:rPr>
        <w:t>29.2.2020</w:t>
      </w:r>
      <w:proofErr w:type="gramEnd"/>
      <w:r w:rsidR="00225E41">
        <w:rPr>
          <w:rFonts w:asciiTheme="minorHAnsi" w:hAnsiTheme="minorHAnsi"/>
          <w:sz w:val="22"/>
          <w:szCs w:val="22"/>
        </w:rPr>
        <w:t>, a to za podmínky, že ve vztahu k projektu 2019 příjemce splní podmínky použití dotace v s</w:t>
      </w:r>
      <w:r w:rsidR="002C75C5">
        <w:rPr>
          <w:rFonts w:asciiTheme="minorHAnsi" w:hAnsiTheme="minorHAnsi"/>
          <w:sz w:val="22"/>
          <w:szCs w:val="22"/>
        </w:rPr>
        <w:t>ouladu s čl. VI</w:t>
      </w:r>
      <w:r>
        <w:rPr>
          <w:rFonts w:asciiTheme="minorHAnsi" w:hAnsiTheme="minorHAnsi"/>
          <w:sz w:val="22"/>
          <w:szCs w:val="22"/>
        </w:rPr>
        <w:t>.</w:t>
      </w:r>
      <w:r w:rsidR="00225E41">
        <w:rPr>
          <w:rFonts w:asciiTheme="minorHAnsi" w:hAnsiTheme="minorHAnsi"/>
          <w:sz w:val="22"/>
          <w:szCs w:val="22"/>
        </w:rPr>
        <w:t xml:space="preserve"> odst. 1 této smlouvy, včetně předložení řádného vyúčtování s požadovanými přílohami ve sjednaném termínu, a za podmínky, že ani po provedení kontroly poskytovatelem dotace dle čl. VI. odst. 2 této smlouvy ohledně dodržení podmínek poskytnutí dotace nebudou shledány žádné nedostatky. V opačném případě nárok na poskytnutí dotace na projekt 2020 dle této smlouvy příjemci zaniká.</w:t>
      </w:r>
    </w:p>
    <w:p w14:paraId="7A57D761" w14:textId="16EE9203" w:rsidR="00063D17" w:rsidRDefault="00063D17" w:rsidP="00063D1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E" w14:textId="0497EAFE" w:rsidR="000A0147" w:rsidRPr="00126949" w:rsidRDefault="000A0147" w:rsidP="00225E41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531EBFD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="0077467B">
        <w:rPr>
          <w:rFonts w:asciiTheme="minorHAnsi" w:hAnsiTheme="minorHAnsi"/>
          <w:sz w:val="22"/>
          <w:szCs w:val="22"/>
        </w:rPr>
        <w:t xml:space="preserve">v případě projektu 2019 </w:t>
      </w:r>
      <w:r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proofErr w:type="gramEnd"/>
      <w:r w:rsidR="0077467B">
        <w:rPr>
          <w:rFonts w:asciiTheme="minorHAnsi" w:hAnsiTheme="minorHAnsi"/>
          <w:sz w:val="22"/>
          <w:szCs w:val="22"/>
        </w:rPr>
        <w:t>, v případě projektu 2020 nejpozději do 31.12.2020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404F55C9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207BF9">
        <w:rPr>
          <w:rFonts w:asciiTheme="minorHAnsi" w:hAnsiTheme="minorHAnsi"/>
          <w:sz w:val="22"/>
          <w:szCs w:val="22"/>
        </w:rPr>
        <w:t>28.1.2019</w:t>
      </w:r>
      <w:proofErr w:type="gramEnd"/>
      <w:r w:rsidR="0056735B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56735B">
        <w:rPr>
          <w:rFonts w:asciiTheme="minorHAnsi" w:hAnsiTheme="minorHAnsi"/>
          <w:sz w:val="22"/>
          <w:szCs w:val="22"/>
        </w:rPr>
        <w:t xml:space="preserve"> </w:t>
      </w:r>
      <w:r w:rsidR="00207BF9">
        <w:rPr>
          <w:rFonts w:asciiTheme="minorHAnsi" w:hAnsiTheme="minorHAnsi"/>
          <w:sz w:val="22"/>
          <w:szCs w:val="22"/>
        </w:rPr>
        <w:t>9793/2019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792CB88D" w14:textId="6CBE2478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77467B">
        <w:rPr>
          <w:rFonts w:asciiTheme="minorHAnsi" w:hAnsiTheme="minorHAnsi"/>
          <w:sz w:val="22"/>
          <w:szCs w:val="22"/>
        </w:rPr>
        <w:t xml:space="preserve"> projektu 2019</w:t>
      </w:r>
      <w:r w:rsidR="00B17FC0">
        <w:rPr>
          <w:rFonts w:asciiTheme="minorHAnsi" w:hAnsiTheme="minorHAnsi"/>
          <w:sz w:val="22"/>
          <w:szCs w:val="22"/>
        </w:rPr>
        <w:t>, který je nedílnou součástí této smlouvy</w:t>
      </w:r>
      <w:r w:rsidR="0077467B">
        <w:rPr>
          <w:rFonts w:asciiTheme="minorHAnsi" w:hAnsiTheme="minorHAnsi"/>
          <w:sz w:val="22"/>
          <w:szCs w:val="22"/>
        </w:rPr>
        <w:t xml:space="preserve"> jako Příloha č. 1</w:t>
      </w:r>
      <w:r w:rsidR="00B17FC0">
        <w:rPr>
          <w:rFonts w:asciiTheme="minorHAnsi" w:hAnsiTheme="minorHAnsi"/>
          <w:sz w:val="22"/>
          <w:szCs w:val="22"/>
        </w:rPr>
        <w:t>,</w:t>
      </w:r>
    </w:p>
    <w:p w14:paraId="792CB88E" w14:textId="15E019A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="0077467B">
        <w:rPr>
          <w:rFonts w:asciiTheme="minorHAnsi" w:hAnsiTheme="minorHAnsi"/>
          <w:sz w:val="22"/>
          <w:szCs w:val="22"/>
        </w:rPr>
        <w:t xml:space="preserve">2019 </w:t>
      </w:r>
      <w:r w:rsidRPr="0077759E">
        <w:rPr>
          <w:rFonts w:asciiTheme="minorHAnsi" w:hAnsiTheme="minorHAnsi"/>
          <w:sz w:val="22"/>
          <w:szCs w:val="22"/>
        </w:rPr>
        <w:t xml:space="preserve">odděleně a prokázat celkové skutečné vynaložené náklady na daný účel, </w:t>
      </w:r>
    </w:p>
    <w:p w14:paraId="792CB88F" w14:textId="1BC95234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DB3504">
        <w:rPr>
          <w:rFonts w:ascii="Calibri" w:hAnsi="Calibri"/>
          <w:b/>
          <w:sz w:val="22"/>
          <w:szCs w:val="22"/>
        </w:rPr>
        <w:t>8.1.2020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77467B">
        <w:rPr>
          <w:rFonts w:ascii="Calibri" w:hAnsi="Calibri"/>
          <w:sz w:val="22"/>
          <w:szCs w:val="22"/>
        </w:rPr>
        <w:t xml:space="preserve">na projekt 2019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3C547034" w14:textId="41033CFA" w:rsidR="0056735B" w:rsidRPr="00966565" w:rsidRDefault="0056735B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6735B">
        <w:rPr>
          <w:rFonts w:ascii="Calibri" w:hAnsi="Calibri"/>
          <w:sz w:val="22"/>
          <w:szCs w:val="22"/>
        </w:rPr>
        <w:t xml:space="preserve">předložit poskytovateli dotace rozpočet projektu 2020 nejpozději do </w:t>
      </w:r>
      <w:proofErr w:type="gramStart"/>
      <w:r w:rsidRPr="0056735B">
        <w:rPr>
          <w:rFonts w:ascii="Calibri" w:hAnsi="Calibri"/>
          <w:sz w:val="22"/>
          <w:szCs w:val="22"/>
        </w:rPr>
        <w:t>30.11.2019</w:t>
      </w:r>
      <w:proofErr w:type="gramEnd"/>
      <w:r w:rsidRPr="0056735B">
        <w:rPr>
          <w:rFonts w:ascii="Calibri" w:hAnsi="Calibri"/>
          <w:sz w:val="22"/>
          <w:szCs w:val="22"/>
        </w:rPr>
        <w:t xml:space="preserve">; tento rozpočet se stane Přílohou č. </w:t>
      </w:r>
      <w:r w:rsidR="002C75C5">
        <w:rPr>
          <w:rFonts w:ascii="Calibri" w:hAnsi="Calibri"/>
          <w:sz w:val="22"/>
          <w:szCs w:val="22"/>
        </w:rPr>
        <w:t>2</w:t>
      </w:r>
      <w:r w:rsidRPr="0056735B">
        <w:rPr>
          <w:rFonts w:ascii="Calibri" w:hAnsi="Calibri"/>
          <w:sz w:val="22"/>
          <w:szCs w:val="22"/>
        </w:rPr>
        <w:t xml:space="preserve"> této smlouvy a její nedílnou součástí</w:t>
      </w:r>
      <w:r w:rsidR="00693953">
        <w:rPr>
          <w:rFonts w:ascii="Calibri" w:hAnsi="Calibri"/>
          <w:sz w:val="22"/>
          <w:szCs w:val="22"/>
        </w:rPr>
        <w:t xml:space="preserve">. </w:t>
      </w:r>
      <w:r w:rsidR="00693953" w:rsidRPr="00966565">
        <w:rPr>
          <w:rFonts w:ascii="Calibri" w:hAnsi="Calibri"/>
          <w:sz w:val="22"/>
          <w:szCs w:val="22"/>
        </w:rPr>
        <w:t>Dále příjemce dotace doloží odbornou část žádosti na rok 2020 a výpis z registru poskytovatelů.</w:t>
      </w:r>
      <w:r w:rsidRPr="00966565">
        <w:rPr>
          <w:rFonts w:ascii="Calibri" w:hAnsi="Calibri"/>
          <w:sz w:val="22"/>
          <w:szCs w:val="22"/>
        </w:rPr>
        <w:t xml:space="preserve"> </w:t>
      </w:r>
    </w:p>
    <w:p w14:paraId="6DA30748" w14:textId="7F47A0C8" w:rsidR="0077467B" w:rsidRPr="0041115A" w:rsidRDefault="0041115A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řádně vyúčtovat dotaci na položky stanovené v rozpočtu projektu 2020, </w:t>
      </w:r>
      <w:r w:rsidR="0056735B" w:rsidRPr="0056735B">
        <w:rPr>
          <w:rFonts w:asciiTheme="minorHAnsi" w:hAnsiTheme="minorHAnsi"/>
          <w:sz w:val="22"/>
          <w:szCs w:val="22"/>
        </w:rPr>
        <w:t>dle předchozího ustanovení této smlouvy,</w:t>
      </w:r>
    </w:p>
    <w:p w14:paraId="31E8CFCF" w14:textId="6E9AA1FE" w:rsidR="0041115A" w:rsidRPr="0041115A" w:rsidRDefault="0041115A" w:rsidP="0041115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77759E">
        <w:rPr>
          <w:rFonts w:asciiTheme="minorHAnsi" w:hAnsiTheme="minorHAnsi"/>
          <w:sz w:val="22"/>
          <w:szCs w:val="22"/>
        </w:rPr>
        <w:t>odděleně a prokázat celkové skutečné vynaložené náklady na daný účel,</w:t>
      </w:r>
    </w:p>
    <w:p w14:paraId="3D458DB3" w14:textId="193F3499" w:rsidR="0041115A" w:rsidRPr="00B96273" w:rsidRDefault="0041115A" w:rsidP="00B9627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</w:t>
      </w:r>
      <w:r w:rsidR="0056735B">
        <w:rPr>
          <w:rFonts w:ascii="Calibri" w:hAnsi="Calibri"/>
          <w:b/>
          <w:sz w:val="22"/>
          <w:szCs w:val="22"/>
        </w:rPr>
        <w:t xml:space="preserve"> </w:t>
      </w:r>
      <w:r w:rsidRPr="00FA2CBA">
        <w:rPr>
          <w:rFonts w:ascii="Calibri" w:hAnsi="Calibri"/>
          <w:b/>
          <w:sz w:val="22"/>
          <w:szCs w:val="22"/>
        </w:rPr>
        <w:t>do </w:t>
      </w:r>
      <w:proofErr w:type="gramStart"/>
      <w:r>
        <w:rPr>
          <w:rFonts w:ascii="Calibri" w:hAnsi="Calibri"/>
          <w:b/>
          <w:sz w:val="22"/>
          <w:szCs w:val="22"/>
        </w:rPr>
        <w:t>8.1.2021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>
        <w:rPr>
          <w:rFonts w:ascii="Calibri" w:hAnsi="Calibri"/>
          <w:sz w:val="22"/>
          <w:szCs w:val="22"/>
        </w:rPr>
        <w:t xml:space="preserve">na projekt 2020 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 xml:space="preserve">včetně čestného prohlášení o účelovém použití prostředků dotace, 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1BE1397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2019 a projektu 2020</w:t>
      </w:r>
      <w:r w:rsidRPr="0077759E">
        <w:rPr>
          <w:rFonts w:asciiTheme="minorHAnsi" w:hAnsiTheme="minorHAnsi"/>
          <w:sz w:val="22"/>
          <w:szCs w:val="22"/>
        </w:rPr>
        <w:t xml:space="preserve">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46398341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</w:t>
      </w:r>
      <w:r w:rsidR="00C37E5C">
        <w:rPr>
          <w:rFonts w:asciiTheme="minorHAnsi" w:hAnsiTheme="minorHAnsi"/>
          <w:sz w:val="22"/>
          <w:szCs w:val="22"/>
        </w:rPr>
        <w:t xml:space="preserve">2019 a projektu 2020 </w:t>
      </w:r>
      <w:r w:rsidRPr="00796217">
        <w:rPr>
          <w:rFonts w:asciiTheme="minorHAnsi" w:hAnsiTheme="minorHAnsi"/>
          <w:sz w:val="22"/>
          <w:szCs w:val="22"/>
        </w:rPr>
        <w:t>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26FFFABB" w:rsidR="000A0147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45429932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C5D56">
        <w:rPr>
          <w:rFonts w:asciiTheme="minorHAnsi" w:hAnsiTheme="minorHAnsi"/>
          <w:sz w:val="22"/>
          <w:szCs w:val="22"/>
        </w:rPr>
        <w:t>p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D325695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3185256E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2326A89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>Příjemce je oprávněn čerpat dotaci k realizaci projektu</w:t>
      </w:r>
      <w:r w:rsidR="0096354A">
        <w:rPr>
          <w:rFonts w:asciiTheme="minorHAnsi" w:hAnsiTheme="minorHAnsi"/>
          <w:sz w:val="22"/>
          <w:szCs w:val="22"/>
        </w:rPr>
        <w:t xml:space="preserve"> 2019</w:t>
      </w:r>
      <w:r w:rsidRPr="00E52AC4"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>, k realizaci projektu 2020 nejpozději do 31.12.2020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AF3A33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31.12.2020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5FC8A1F5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32.12.2020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</w:t>
      </w:r>
      <w:proofErr w:type="gramStart"/>
      <w:r w:rsidRPr="00BC7033">
        <w:rPr>
          <w:rFonts w:asciiTheme="minorHAnsi" w:hAnsiTheme="minorHAnsi" w:cs="Tahoma"/>
          <w:sz w:val="22"/>
          <w:szCs w:val="22"/>
        </w:rPr>
        <w:t xml:space="preserve">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>členem</w:t>
      </w:r>
      <w:proofErr w:type="gramEnd"/>
      <w:r w:rsidRPr="00BC7033">
        <w:rPr>
          <w:rFonts w:asciiTheme="minorHAnsi" w:hAnsiTheme="minorHAnsi" w:cs="Tahoma"/>
          <w:sz w:val="22"/>
          <w:szCs w:val="22"/>
        </w:rPr>
        <w:t xml:space="preserve">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4C312151" w:rsidR="000A0147" w:rsidRPr="00FA2CBA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6157E9FF" w14:textId="77777777" w:rsidR="00137E4A" w:rsidRPr="00137E4A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137E4A">
        <w:rPr>
          <w:rFonts w:ascii="Calibri" w:hAnsi="Calibri"/>
          <w:sz w:val="22"/>
          <w:szCs w:val="22"/>
        </w:rPr>
        <w:t>,</w:t>
      </w:r>
      <w:r w:rsidR="00137E4A" w:rsidRPr="00137E4A">
        <w:t xml:space="preserve"> </w:t>
      </w:r>
    </w:p>
    <w:p w14:paraId="4B2835C0" w14:textId="4BDC6693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f) a písm. j) této smlouvy; v tomto případě činí odvod za porušení rozpočtové kázně 10 % z poskytnuté dotace,</w:t>
      </w:r>
    </w:p>
    <w:p w14:paraId="60A2E1DC" w14:textId="77777777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p)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1413A8C6" w14:textId="52B0A09B" w:rsidR="00953DF9" w:rsidRDefault="00953DF9" w:rsidP="00207BF9">
      <w:pPr>
        <w:rPr>
          <w:rFonts w:asciiTheme="minorHAnsi" w:hAnsiTheme="minorHAnsi"/>
          <w:b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D5" w14:textId="513E75F1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66BB71C" w14:textId="77777777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Pr="008764D9">
        <w:t xml:space="preserve"> </w:t>
      </w:r>
    </w:p>
    <w:p w14:paraId="2D5C8F1B" w14:textId="77777777" w:rsidR="0073669F" w:rsidRPr="008764D9" w:rsidRDefault="0073669F" w:rsidP="0073669F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2EAC1CB" w14:textId="03D8E39C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</w:t>
      </w:r>
      <w:proofErr w:type="gramStart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jejího </w:t>
      </w:r>
      <w:r w:rsidR="0063241F">
        <w:rPr>
          <w:rFonts w:ascii="Calibri" w:eastAsia="Calibri" w:hAnsi="Calibri" w:cs="Arial"/>
          <w:sz w:val="22"/>
          <w:szCs w:val="22"/>
          <w:lang w:eastAsia="en-US"/>
        </w:rPr>
        <w:t xml:space="preserve">    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uveřejnění</w:t>
      </w:r>
      <w:proofErr w:type="gramEnd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 v registru smluv. </w:t>
      </w:r>
    </w:p>
    <w:p w14:paraId="1319716D" w14:textId="77777777" w:rsidR="0073669F" w:rsidRPr="002F0776" w:rsidRDefault="0073669F" w:rsidP="0073669F">
      <w:pPr>
        <w:ind w:left="426"/>
        <w:jc w:val="both"/>
        <w:rPr>
          <w:rFonts w:ascii="Calibri" w:hAnsi="Calibri"/>
          <w:sz w:val="22"/>
          <w:szCs w:val="22"/>
        </w:rPr>
      </w:pPr>
    </w:p>
    <w:p w14:paraId="52210C8F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58EB98FF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2AD8BBD6" w14:textId="77777777" w:rsidR="002C75C5" w:rsidRPr="002C75C5" w:rsidRDefault="0073669F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C75C5">
        <w:rPr>
          <w:rFonts w:ascii="Calibri" w:hAnsi="Calibri"/>
          <w:sz w:val="22"/>
          <w:szCs w:val="22"/>
        </w:rPr>
        <w:t>č.</w:t>
      </w:r>
      <w:proofErr w:type="gramEnd"/>
      <w:r w:rsidRPr="002C75C5">
        <w:rPr>
          <w:rFonts w:ascii="Calibri" w:hAnsi="Calibri"/>
          <w:sz w:val="22"/>
          <w:szCs w:val="22"/>
        </w:rPr>
        <w:t xml:space="preserve"> 89/2012 Sb., občanský zákoník)</w:t>
      </w:r>
      <w:r w:rsidRPr="002C75C5">
        <w:rPr>
          <w:rFonts w:ascii="Calibri" w:hAnsi="Calibri" w:cs="Arial"/>
          <w:sz w:val="22"/>
          <w:szCs w:val="22"/>
        </w:rPr>
        <w:t>.</w:t>
      </w:r>
    </w:p>
    <w:p w14:paraId="57AACFDE" w14:textId="77777777" w:rsidR="002C75C5" w:rsidRDefault="002C75C5" w:rsidP="002C75C5">
      <w:pPr>
        <w:pStyle w:val="Odstavecseseznamem"/>
        <w:rPr>
          <w:rFonts w:ascii="Calibri" w:hAnsi="Calibri"/>
          <w:sz w:val="22"/>
          <w:szCs w:val="22"/>
        </w:rPr>
      </w:pPr>
    </w:p>
    <w:p w14:paraId="3339D807" w14:textId="42C56C4E" w:rsidR="00E459DD" w:rsidRPr="002C75C5" w:rsidRDefault="00E459DD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lastRenderedPageBreak/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1B62277B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1F914C7D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43010BB" w14:textId="77777777" w:rsidR="0073669F" w:rsidRPr="00C64B35" w:rsidRDefault="0073669F" w:rsidP="0073669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AE0C" w14:textId="77777777" w:rsid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5F67F393" w14:textId="77777777" w:rsidR="0073669F" w:rsidRDefault="0073669F" w:rsidP="0073669F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31F839DA" w14:textId="77777777" w:rsidR="0073669F" w:rsidRPr="003B2B91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1AD025CE" w14:textId="77777777" w:rsidR="0073669F" w:rsidRPr="005A5D6E" w:rsidRDefault="0073669F" w:rsidP="0073669F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7" w14:textId="33300680" w:rsidR="00AC05DE" w:rsidRP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E03DE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poskytovatel obdrží </w:t>
      </w:r>
      <w:r w:rsidR="00E03DE0">
        <w:rPr>
          <w:rFonts w:asciiTheme="minorHAnsi" w:hAnsiTheme="minorHAnsi"/>
          <w:sz w:val="22"/>
          <w:szCs w:val="22"/>
        </w:rPr>
        <w:t>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4113AA9C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</w:t>
      </w:r>
      <w:r w:rsidR="003570D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č. 1 – rozpočet uznatelných nákladů projektu</w:t>
      </w:r>
      <w:r w:rsidR="002C75C5">
        <w:rPr>
          <w:rFonts w:asciiTheme="minorHAnsi" w:hAnsiTheme="minorHAnsi"/>
          <w:sz w:val="22"/>
          <w:szCs w:val="22"/>
        </w:rPr>
        <w:t xml:space="preserve">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14BB5667" w14:textId="77777777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10399439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207BF9">
        <w:rPr>
          <w:rFonts w:asciiTheme="minorHAnsi" w:hAnsiTheme="minorHAnsi"/>
          <w:sz w:val="22"/>
          <w:szCs w:val="22"/>
        </w:rPr>
        <w:t>Mgr. Bc. Ilona Fricová</w:t>
      </w:r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09B1E42A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AC05DE">
        <w:rPr>
          <w:rFonts w:asciiTheme="minorHAnsi" w:hAnsiTheme="minorHAnsi"/>
          <w:sz w:val="20"/>
          <w:szCs w:val="20"/>
        </w:rPr>
        <w:t xml:space="preserve">/          </w:t>
      </w:r>
      <w:r w:rsidR="00177B9D">
        <w:rPr>
          <w:rFonts w:asciiTheme="minorHAnsi" w:hAnsiTheme="minorHAnsi"/>
          <w:sz w:val="20"/>
          <w:szCs w:val="20"/>
        </w:rPr>
        <w:t>/201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953DF9">
        <w:rPr>
          <w:rFonts w:asciiTheme="minorHAnsi" w:hAnsiTheme="minorHAnsi"/>
          <w:sz w:val="20"/>
          <w:szCs w:val="20"/>
        </w:rPr>
        <w:t>21.02.2019</w:t>
      </w:r>
      <w:proofErr w:type="gramEnd"/>
    </w:p>
    <w:p w14:paraId="127F7A08" w14:textId="1D44CB39" w:rsidR="00567AFD" w:rsidRDefault="00B45A7C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Jana Procházková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3FAFAE9F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51CAE639" w14:textId="6FEEF817" w:rsidR="00207BF9" w:rsidRDefault="00207BF9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3DB06CF6" w14:textId="2C5B366E" w:rsidR="00207BF9" w:rsidRDefault="00207BF9" w:rsidP="00207BF9">
      <w:pPr>
        <w:rPr>
          <w:rFonts w:asciiTheme="minorHAnsi" w:hAnsiTheme="minorHAnsi"/>
          <w:sz w:val="20"/>
          <w:szCs w:val="20"/>
        </w:rPr>
      </w:pPr>
      <w:r w:rsidRPr="00207BF9">
        <w:lastRenderedPageBreak/>
        <w:drawing>
          <wp:inline distT="0" distB="0" distL="0" distR="0" wp14:anchorId="07FAA478" wp14:editId="294A8EF6">
            <wp:extent cx="5248275" cy="104108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104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7BF9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1C" w14:textId="77777777" w:rsidR="007F7807" w:rsidRDefault="007F7807">
      <w:r>
        <w:separator/>
      </w:r>
    </w:p>
  </w:endnote>
  <w:endnote w:type="continuationSeparator" w:id="0">
    <w:p w14:paraId="52B544B1" w14:textId="77777777" w:rsidR="007F7807" w:rsidRDefault="007F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207BF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207BF9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3A5F" w14:textId="77777777" w:rsidR="007F7807" w:rsidRDefault="007F7807">
      <w:r>
        <w:separator/>
      </w:r>
    </w:p>
  </w:footnote>
  <w:footnote w:type="continuationSeparator" w:id="0">
    <w:p w14:paraId="0F83EE5B" w14:textId="77777777" w:rsidR="007F7807" w:rsidRDefault="007F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0451"/>
    <w:rsid w:val="00043842"/>
    <w:rsid w:val="00050899"/>
    <w:rsid w:val="00063D17"/>
    <w:rsid w:val="000651E9"/>
    <w:rsid w:val="00065F4A"/>
    <w:rsid w:val="0007546E"/>
    <w:rsid w:val="000A0147"/>
    <w:rsid w:val="000A607E"/>
    <w:rsid w:val="000A79C9"/>
    <w:rsid w:val="000C5054"/>
    <w:rsid w:val="000E391C"/>
    <w:rsid w:val="000F288A"/>
    <w:rsid w:val="000F7D85"/>
    <w:rsid w:val="00124A15"/>
    <w:rsid w:val="00126949"/>
    <w:rsid w:val="00135146"/>
    <w:rsid w:val="00137E4A"/>
    <w:rsid w:val="00156F3F"/>
    <w:rsid w:val="00177B9D"/>
    <w:rsid w:val="00196C43"/>
    <w:rsid w:val="001A7479"/>
    <w:rsid w:val="00207B7E"/>
    <w:rsid w:val="00207BF9"/>
    <w:rsid w:val="00210C46"/>
    <w:rsid w:val="002111BA"/>
    <w:rsid w:val="00211ED8"/>
    <w:rsid w:val="00225E41"/>
    <w:rsid w:val="00243D9C"/>
    <w:rsid w:val="0024468F"/>
    <w:rsid w:val="00271822"/>
    <w:rsid w:val="00274B67"/>
    <w:rsid w:val="0027527A"/>
    <w:rsid w:val="002B3740"/>
    <w:rsid w:val="002B7F0B"/>
    <w:rsid w:val="002C75C5"/>
    <w:rsid w:val="002E6D8D"/>
    <w:rsid w:val="002F00F9"/>
    <w:rsid w:val="00310AEF"/>
    <w:rsid w:val="003200B9"/>
    <w:rsid w:val="00336A59"/>
    <w:rsid w:val="00346869"/>
    <w:rsid w:val="003570DF"/>
    <w:rsid w:val="00380818"/>
    <w:rsid w:val="003B317D"/>
    <w:rsid w:val="003F37F8"/>
    <w:rsid w:val="00402340"/>
    <w:rsid w:val="0041115A"/>
    <w:rsid w:val="00414A12"/>
    <w:rsid w:val="00434488"/>
    <w:rsid w:val="00480044"/>
    <w:rsid w:val="004E0CDF"/>
    <w:rsid w:val="00537483"/>
    <w:rsid w:val="005629B3"/>
    <w:rsid w:val="0056735B"/>
    <w:rsid w:val="00567AFD"/>
    <w:rsid w:val="00571C32"/>
    <w:rsid w:val="005A31ED"/>
    <w:rsid w:val="005A4E82"/>
    <w:rsid w:val="00604157"/>
    <w:rsid w:val="006156B7"/>
    <w:rsid w:val="00621543"/>
    <w:rsid w:val="0063241F"/>
    <w:rsid w:val="00637AB8"/>
    <w:rsid w:val="006626B8"/>
    <w:rsid w:val="006749A0"/>
    <w:rsid w:val="00693953"/>
    <w:rsid w:val="00696A0E"/>
    <w:rsid w:val="00696E09"/>
    <w:rsid w:val="006B2DB5"/>
    <w:rsid w:val="00733480"/>
    <w:rsid w:val="0073669F"/>
    <w:rsid w:val="00771467"/>
    <w:rsid w:val="00772A39"/>
    <w:rsid w:val="0077467B"/>
    <w:rsid w:val="007933FA"/>
    <w:rsid w:val="007947B1"/>
    <w:rsid w:val="007973D9"/>
    <w:rsid w:val="007A01F4"/>
    <w:rsid w:val="007B3E90"/>
    <w:rsid w:val="007C648F"/>
    <w:rsid w:val="007D2629"/>
    <w:rsid w:val="007F765A"/>
    <w:rsid w:val="007F7807"/>
    <w:rsid w:val="00844BB2"/>
    <w:rsid w:val="00877910"/>
    <w:rsid w:val="008C22A2"/>
    <w:rsid w:val="008C35E4"/>
    <w:rsid w:val="008D53F1"/>
    <w:rsid w:val="008D7FF1"/>
    <w:rsid w:val="008E7E19"/>
    <w:rsid w:val="0091741F"/>
    <w:rsid w:val="00932B78"/>
    <w:rsid w:val="009363E3"/>
    <w:rsid w:val="00953DF9"/>
    <w:rsid w:val="0096354A"/>
    <w:rsid w:val="00966565"/>
    <w:rsid w:val="009810E7"/>
    <w:rsid w:val="0098171B"/>
    <w:rsid w:val="00990FF5"/>
    <w:rsid w:val="00994D3D"/>
    <w:rsid w:val="009B2210"/>
    <w:rsid w:val="009D60BC"/>
    <w:rsid w:val="009E6ED3"/>
    <w:rsid w:val="009F7935"/>
    <w:rsid w:val="00A025BF"/>
    <w:rsid w:val="00A16F26"/>
    <w:rsid w:val="00A21B0E"/>
    <w:rsid w:val="00A2236F"/>
    <w:rsid w:val="00A24FD7"/>
    <w:rsid w:val="00A505FC"/>
    <w:rsid w:val="00A60F23"/>
    <w:rsid w:val="00A61386"/>
    <w:rsid w:val="00AB4892"/>
    <w:rsid w:val="00AC05DE"/>
    <w:rsid w:val="00AC4ECF"/>
    <w:rsid w:val="00B05E96"/>
    <w:rsid w:val="00B17FC0"/>
    <w:rsid w:val="00B25A6A"/>
    <w:rsid w:val="00B45A7C"/>
    <w:rsid w:val="00B46E3A"/>
    <w:rsid w:val="00B9295E"/>
    <w:rsid w:val="00B96273"/>
    <w:rsid w:val="00BA457C"/>
    <w:rsid w:val="00BB297F"/>
    <w:rsid w:val="00BC41E3"/>
    <w:rsid w:val="00BC5983"/>
    <w:rsid w:val="00BC7033"/>
    <w:rsid w:val="00BE25FD"/>
    <w:rsid w:val="00C00D1C"/>
    <w:rsid w:val="00C0252D"/>
    <w:rsid w:val="00C37E5C"/>
    <w:rsid w:val="00C8265D"/>
    <w:rsid w:val="00C94C43"/>
    <w:rsid w:val="00CE4CAC"/>
    <w:rsid w:val="00CF2BB9"/>
    <w:rsid w:val="00D33593"/>
    <w:rsid w:val="00D527C2"/>
    <w:rsid w:val="00D8003A"/>
    <w:rsid w:val="00D8605E"/>
    <w:rsid w:val="00DA3B85"/>
    <w:rsid w:val="00DB040B"/>
    <w:rsid w:val="00DB16DF"/>
    <w:rsid w:val="00DB3504"/>
    <w:rsid w:val="00DE410E"/>
    <w:rsid w:val="00DE74F5"/>
    <w:rsid w:val="00E01234"/>
    <w:rsid w:val="00E03DE0"/>
    <w:rsid w:val="00E10816"/>
    <w:rsid w:val="00E205A8"/>
    <w:rsid w:val="00E21A6E"/>
    <w:rsid w:val="00E459DD"/>
    <w:rsid w:val="00E51775"/>
    <w:rsid w:val="00E61756"/>
    <w:rsid w:val="00E77A44"/>
    <w:rsid w:val="00E85EBF"/>
    <w:rsid w:val="00E919C9"/>
    <w:rsid w:val="00EA20A3"/>
    <w:rsid w:val="00EA616B"/>
    <w:rsid w:val="00EB381F"/>
    <w:rsid w:val="00EB5E74"/>
    <w:rsid w:val="00EC5D56"/>
    <w:rsid w:val="00ED2D4B"/>
    <w:rsid w:val="00F25372"/>
    <w:rsid w:val="00F36A11"/>
    <w:rsid w:val="00F40EF6"/>
    <w:rsid w:val="00F63730"/>
    <w:rsid w:val="00F866C9"/>
    <w:rsid w:val="00FA2CBA"/>
    <w:rsid w:val="00FC370E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7FB0505-F1FB-42CC-9597-0B42BF4B12A3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df30a891-99dc-44a0-9782-3a4c8c525d86"/>
    <ds:schemaRef ds:uri="http://purl.org/dc/elements/1.1/"/>
    <ds:schemaRef ds:uri="f94004b3-5c85-4b6f-b2cb-b6e165aced0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A03494-86A2-4477-8CD5-18C882A7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2539</Words>
  <Characters>14982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Procházková Jana</cp:lastModifiedBy>
  <cp:revision>2</cp:revision>
  <cp:lastPrinted>2018-01-17T12:28:00Z</cp:lastPrinted>
  <dcterms:created xsi:type="dcterms:W3CDTF">2019-02-10T00:04:00Z</dcterms:created>
  <dcterms:modified xsi:type="dcterms:W3CDTF">2019-02-10T00:04:00Z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