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773F7A" w:rsidRPr="00773F7A">
        <w:rPr>
          <w:rFonts w:cs="Arial"/>
          <w:b/>
          <w:sz w:val="28"/>
          <w:szCs w:val="28"/>
        </w:rPr>
        <w:t>BRA-BN-7/2019</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773F7A" w:rsidRPr="00773F7A">
        <w:rPr>
          <w:b/>
          <w:bCs/>
          <w:sz w:val="24"/>
        </w:rPr>
        <w:t>CZ.03.1.48/0.0/0.0/15_121/0000597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773F7A" w:rsidRPr="00773F7A">
        <w:t>Dobrovského 1278</w:t>
      </w:r>
      <w:r w:rsidR="00773F7A">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773F7A" w:rsidRPr="00773F7A">
        <w:t xml:space="preserve">Ing. </w:t>
      </w:r>
      <w:r w:rsidR="00773F7A">
        <w:rPr>
          <w:szCs w:val="20"/>
        </w:rPr>
        <w:t>Jiří Unverdorben</w:t>
      </w:r>
      <w:r w:rsidRPr="00237097">
        <w:rPr>
          <w:rFonts w:cs="Arial"/>
          <w:szCs w:val="20"/>
        </w:rPr>
        <w:t xml:space="preserve">, </w:t>
      </w:r>
      <w:r w:rsidR="00773F7A" w:rsidRPr="00773F7A">
        <w:t>ředitel kontaktního</w:t>
      </w:r>
      <w:r w:rsidR="00773F7A">
        <w:rPr>
          <w:szCs w:val="20"/>
        </w:rPr>
        <w:t xml:space="preserve"> pracoviště Bruntál</w:t>
      </w:r>
    </w:p>
    <w:p w:rsidR="00773F7A" w:rsidRDefault="00773F7A" w:rsidP="008557C9">
      <w:pPr>
        <w:tabs>
          <w:tab w:val="left" w:pos="2520"/>
        </w:tabs>
        <w:ind w:left="2520" w:hanging="2520"/>
        <w:rPr>
          <w:rFonts w:cs="Arial"/>
          <w:szCs w:val="20"/>
        </w:rPr>
      </w:pPr>
      <w:r>
        <w:rPr>
          <w:rFonts w:cs="Arial"/>
          <w:szCs w:val="20"/>
        </w:rPr>
        <w:t>kontaktní adresa:</w:t>
      </w:r>
      <w:r>
        <w:rPr>
          <w:rFonts w:cs="Arial"/>
          <w:szCs w:val="20"/>
        </w:rPr>
        <w:tab/>
      </w:r>
      <w:r w:rsidRPr="00907CA1">
        <w:t>Květná č.p. 1457/64, 792 01 Bruntál</w:t>
      </w:r>
      <w:r>
        <w:rPr>
          <w:rFonts w:cs="Arial"/>
          <w:szCs w:val="20"/>
        </w:rPr>
        <w:t xml:space="preserve"> </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773F7A" w:rsidRPr="00773F7A">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773F7A" w:rsidRPr="00773F7A">
        <w:t>37822761/0710</w:t>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773F7A"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773F7A" w:rsidRPr="00773F7A">
        <w:t>MAVO s</w:t>
      </w:r>
      <w:r w:rsidR="00773F7A">
        <w:rPr>
          <w:szCs w:val="20"/>
        </w:rPr>
        <w:t>.r.o.</w:t>
      </w:r>
    </w:p>
    <w:p w:rsidR="009D748C" w:rsidRPr="00237097" w:rsidRDefault="00773F7A"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773F7A">
        <w:rPr>
          <w:noProof/>
        </w:rPr>
        <w:t>Jana Mašková</w:t>
      </w:r>
    </w:p>
    <w:p w:rsidR="009D748C" w:rsidRPr="00237097" w:rsidRDefault="00773F7A"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773F7A">
        <w:t>Černošická č</w:t>
      </w:r>
      <w:r>
        <w:rPr>
          <w:szCs w:val="20"/>
        </w:rPr>
        <w:t>.p. 20, Vonoklasy, 252 28 Černošice</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773F7A" w:rsidRPr="00773F7A">
        <w:t>62579461</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253394">
        <w:t>XXXXXXXX</w:t>
      </w:r>
      <w:bookmarkStart w:id="0" w:name="_GoBack"/>
      <w:bookmarkEnd w:id="0"/>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773F7A" w:rsidRPr="00773F7A">
        <w:t>CZ.03</w:t>
      </w:r>
      <w:r w:rsidR="00773F7A">
        <w:rPr>
          <w:szCs w:val="20"/>
        </w:rPr>
        <w:t>.1.48/0.0/0.0/15_121/0000597</w:t>
      </w:r>
      <w:r w:rsidR="007C22D0">
        <w:t xml:space="preserve"> -</w:t>
      </w:r>
      <w:r w:rsidR="0064343F">
        <w:rPr>
          <w:i/>
          <w:iCs/>
        </w:rPr>
        <w:t xml:space="preserve"> </w:t>
      </w:r>
      <w:r w:rsidR="00773F7A" w:rsidRPr="00773F7A">
        <w:t>Vzdělávání a</w:t>
      </w:r>
      <w:r w:rsidR="00773F7A">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773F7A" w:rsidRPr="00773F7A">
        <w:t>Kvalifikační kurz</w:t>
      </w:r>
      <w:r w:rsidR="00773F7A">
        <w:rPr>
          <w:szCs w:val="20"/>
        </w:rPr>
        <w:t xml:space="preserve"> pro pracovníky v sociálních službách</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773F7A" w:rsidRPr="00773F7A">
        <w:rPr>
          <w:b/>
        </w:rPr>
        <w:t>Kvalifikační kurz</w:t>
      </w:r>
      <w:r w:rsidR="00773F7A" w:rsidRPr="00773F7A">
        <w:rPr>
          <w:b/>
          <w:szCs w:val="20"/>
        </w:rPr>
        <w:t xml:space="preserve"> pro pracovníky v sociálních službách</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773F7A" w:rsidRPr="00773F7A">
        <w:t>Základní +</w:t>
      </w:r>
      <w:r w:rsidR="00773F7A">
        <w:rPr>
          <w:szCs w:val="20"/>
        </w:rPr>
        <w:t xml:space="preserve"> praktická škola</w:t>
      </w:r>
      <w:r w:rsidR="00773F7A" w:rsidRPr="00773F7A">
        <w:t>, zdravotní</w:t>
      </w:r>
      <w:r w:rsidR="00773F7A">
        <w:rPr>
          <w:szCs w:val="20"/>
        </w:rPr>
        <w:t xml:space="preserve"> způsobilost (vč. očkování proti žloutence typu B), trestní bezúhonnost, věk min. 18 let</w:t>
      </w:r>
    </w:p>
    <w:p w:rsidR="00577EED" w:rsidRDefault="00FE0A22" w:rsidP="00D07FEC">
      <w:pPr>
        <w:pStyle w:val="BoddohodyII"/>
        <w:tabs>
          <w:tab w:val="left" w:pos="1440"/>
          <w:tab w:val="right" w:pos="7740"/>
          <w:tab w:val="left" w:pos="7853"/>
        </w:tabs>
      </w:pPr>
      <w:r w:rsidRPr="00FE0A22">
        <w:t>Celkový rozsah rekvalifikace:</w:t>
      </w:r>
      <w:r>
        <w:tab/>
      </w:r>
      <w:r w:rsidR="00773F7A" w:rsidRPr="00773F7A">
        <w:rPr>
          <w:b/>
        </w:rPr>
        <w:t>154,00</w:t>
      </w:r>
      <w:r w:rsidRPr="00FE0A22">
        <w:rPr>
          <w:b/>
        </w:rPr>
        <w:t xml:space="preserve"> </w:t>
      </w:r>
      <w:r w:rsidRPr="00FE0A22">
        <w:rPr>
          <w:b/>
        </w:rPr>
        <w:tab/>
        <w:t>hodin</w:t>
      </w:r>
      <w:r w:rsidRPr="00FE0A22">
        <w:br/>
        <w:t>z toho:</w:t>
      </w:r>
      <w:r>
        <w:tab/>
        <w:t>- teoretická příprava:</w:t>
      </w:r>
      <w:r>
        <w:tab/>
      </w:r>
      <w:r w:rsidR="00773F7A" w:rsidRPr="00773F7A">
        <w:t>82,00</w:t>
      </w:r>
      <w:r>
        <w:tab/>
        <w:t>hodin</w:t>
      </w:r>
      <w:r>
        <w:br/>
      </w:r>
      <w:r>
        <w:tab/>
        <w:t>- praktická příprava:</w:t>
      </w:r>
      <w:r>
        <w:tab/>
      </w:r>
      <w:r w:rsidR="00773F7A" w:rsidRPr="00773F7A">
        <w:t>68,00</w:t>
      </w:r>
      <w:r>
        <w:tab/>
        <w:t>hodin</w:t>
      </w:r>
      <w:r>
        <w:br/>
      </w:r>
      <w:r>
        <w:tab/>
        <w:t xml:space="preserve">- </w:t>
      </w:r>
      <w:r w:rsidRPr="00FE0A22">
        <w:t>ověření získaných znalostí</w:t>
      </w:r>
      <w:r w:rsidR="00746CA4">
        <w:t xml:space="preserve"> a </w:t>
      </w:r>
      <w:r w:rsidRPr="00FE0A22">
        <w:t>dovedností:</w:t>
      </w:r>
      <w:r>
        <w:tab/>
      </w:r>
      <w:r w:rsidR="00773F7A" w:rsidRPr="00773F7A">
        <w:t>4,00</w:t>
      </w:r>
      <w:r>
        <w:tab/>
        <w:t>hodin</w:t>
      </w:r>
      <w:r>
        <w:br/>
      </w:r>
      <w:r w:rsidRPr="00FE0A22">
        <w:t>Forma konání přípravy:</w:t>
      </w:r>
      <w:r>
        <w:t xml:space="preserve"> </w:t>
      </w:r>
      <w:r w:rsidR="00773F7A" w:rsidRPr="00773F7A">
        <w:t>Denní výuka</w:t>
      </w:r>
      <w:r w:rsidR="00773F7A">
        <w:rPr>
          <w:szCs w:val="20"/>
        </w:rPr>
        <w:t xml:space="preserve"> dopoledne i odpoledne</w:t>
      </w:r>
    </w:p>
    <w:p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773F7A" w:rsidRPr="00773F7A">
        <w:t>MAVO s</w:t>
      </w:r>
      <w:r w:rsidR="00773F7A">
        <w:rPr>
          <w:szCs w:val="20"/>
        </w:rPr>
        <w:t>.r.o. - Centrum sociálních služeb pro seniory Pohoda, Okružní č.p. 1779/16, 792 01 Bruntál 1</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773F7A" w:rsidRPr="00773F7A">
        <w:rPr>
          <w:b/>
        </w:rPr>
        <w:t>4.3</w:t>
      </w:r>
      <w:r w:rsidR="00773F7A">
        <w:rPr>
          <w:szCs w:val="20"/>
        </w:rPr>
        <w:t>.2019</w:t>
      </w:r>
      <w:r w:rsidR="00812B7A" w:rsidRPr="00812B7A">
        <w:tab/>
      </w:r>
      <w:r w:rsidR="00773F7A" w:rsidRPr="00773F7A">
        <w:rPr>
          <w:noProof/>
        </w:rPr>
        <w:t>v 8</w:t>
      </w:r>
      <w:r w:rsidR="00773F7A">
        <w:rPr>
          <w:noProof/>
          <w:szCs w:val="20"/>
        </w:rPr>
        <w:t>:00 hod.</w:t>
      </w:r>
      <w:r w:rsidR="006B6EA5">
        <w:t xml:space="preserve"> </w:t>
      </w:r>
      <w:r>
        <w:br/>
      </w:r>
      <w:r>
        <w:tab/>
        <w:t>ukončení</w:t>
      </w:r>
      <w:r>
        <w:tab/>
      </w:r>
      <w:r w:rsidR="00773F7A" w:rsidRPr="00773F7A">
        <w:rPr>
          <w:b/>
        </w:rPr>
        <w:t>3.4</w:t>
      </w:r>
      <w:r w:rsidR="00773F7A">
        <w:rPr>
          <w:szCs w:val="20"/>
        </w:rPr>
        <w:t>.2019</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773F7A" w:rsidRPr="00773F7A">
        <w:t>Závěrečná zkouška</w:t>
      </w:r>
      <w:r w:rsidR="00BD514D">
        <w:tab/>
      </w:r>
      <w:r w:rsidR="00BD514D">
        <w:br/>
      </w:r>
      <w:r w:rsidR="009F5009">
        <w:t>Výstupní doklad:</w:t>
      </w:r>
      <w:r w:rsidR="009F5009">
        <w:tab/>
      </w:r>
      <w:r w:rsidR="009F5009">
        <w:br/>
      </w:r>
      <w:r w:rsidR="00773F7A" w:rsidRPr="00773F7A">
        <w:t>Osvědčení s celostátní</w:t>
      </w:r>
      <w:r w:rsidR="00773F7A">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773F7A" w:rsidRPr="00773F7A">
        <w:rPr>
          <w:b/>
        </w:rPr>
        <w:t>13</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773F7A" w:rsidRPr="00773F7A">
        <w:t>4 170</w:t>
      </w:r>
      <w:r w:rsidR="00F14D32">
        <w:tab/>
        <w:t>Kč</w:t>
      </w:r>
      <w:r w:rsidR="00F14D32">
        <w:tab/>
        <w:t xml:space="preserve">(slovy </w:t>
      </w:r>
      <w:proofErr w:type="spellStart"/>
      <w:r w:rsidR="00773F7A" w:rsidRPr="00773F7A">
        <w:t>Čtyřitisícestosedmdesát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773F7A" w:rsidRPr="00773F7A">
        <w:rPr>
          <w:b/>
        </w:rPr>
        <w:t>54 210</w:t>
      </w:r>
      <w:r w:rsidR="00607BE0">
        <w:tab/>
        <w:t>Kč</w:t>
      </w:r>
      <w:r w:rsidR="00607BE0">
        <w:tab/>
        <w:t xml:space="preserve">(slovy </w:t>
      </w:r>
      <w:proofErr w:type="spellStart"/>
      <w:r w:rsidR="00773F7A" w:rsidRPr="00773F7A">
        <w:t>Padesátčtyřitisícedvěstědeset</w:t>
      </w:r>
      <w:proofErr w:type="spellEnd"/>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773F7A" w:rsidRPr="00773F7A">
        <w:t>provést do 14 dnů</w:t>
      </w:r>
      <w:r w:rsidR="00773F7A">
        <w:rPr>
          <w:szCs w:val="20"/>
        </w:rPr>
        <w:t xml:space="preserve"> po ukončení rekvalifikace, v případě nedokončení rekvalifikace uchazečem bez vážných důvodů fakturovat náklady skutečně vynaložené na tohoto uchazeče do 14 dnů ode dne zjištění ukončení rekvalifikace tímto uchazečem.</w:t>
      </w:r>
      <w:r>
        <w:t xml:space="preserve"> </w:t>
      </w:r>
      <w:r>
        <w:tab/>
      </w:r>
      <w:r>
        <w:br/>
      </w:r>
      <w:r w:rsidRPr="00F27380">
        <w:t>Lhůta splatnosti fa</w:t>
      </w:r>
      <w:r w:rsidR="00986FE2">
        <w:t xml:space="preserve">ktur bude stanovena minimálně </w:t>
      </w:r>
      <w:r w:rsidR="00773F7A">
        <w:t>21</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lastRenderedPageBreak/>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C2986" w:rsidRPr="00AC2986" w:rsidRDefault="00AC2986" w:rsidP="00AC2986">
      <w:pPr>
        <w:pStyle w:val="lnek"/>
        <w:rPr>
          <w:szCs w:val="20"/>
        </w:rPr>
      </w:pPr>
      <w:r w:rsidRPr="00AC2986">
        <w:rPr>
          <w:szCs w:val="20"/>
        </w:rPr>
        <w:t>Článek V</w:t>
      </w:r>
      <w:r>
        <w:rPr>
          <w:szCs w:val="20"/>
        </w:rPr>
        <w:t>I</w:t>
      </w:r>
    </w:p>
    <w:p w:rsidR="00AC2986" w:rsidRPr="00AC2986" w:rsidRDefault="00AC2986" w:rsidP="00AC2986">
      <w:pPr>
        <w:pStyle w:val="Nadpislnku"/>
      </w:pPr>
      <w:r>
        <w:t>Další ujednání</w:t>
      </w:r>
    </w:p>
    <w:p w:rsidR="00AF66CE" w:rsidRPr="0042585F" w:rsidRDefault="0098501C" w:rsidP="00602438">
      <w:r w:rsidRPr="00607BE0">
        <w:rPr>
          <w:b/>
        </w:rPr>
        <w:tab/>
      </w:r>
    </w:p>
    <w:p w:rsidR="0042585F" w:rsidRDefault="0042585F" w:rsidP="00602438"/>
    <w:p w:rsidR="00A2101B" w:rsidRDefault="00773F7A" w:rsidP="00602438">
      <w:r w:rsidRPr="00773F7A">
        <w:t>Úřad práce</w:t>
      </w:r>
      <w:r>
        <w:rPr>
          <w:szCs w:val="20"/>
        </w:rPr>
        <w:t xml:space="preserve"> České republiky - kontaktní pracoviště Bruntál</w:t>
      </w:r>
      <w:r w:rsidR="00A60BC9">
        <w:t xml:space="preserve"> dne </w:t>
      </w:r>
      <w:r w:rsidRPr="00773F7A">
        <w:t>1.3</w:t>
      </w:r>
      <w:r>
        <w:rPr>
          <w:szCs w:val="20"/>
        </w:rPr>
        <w:t>.2019</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773F7A" w:rsidP="00F35093">
      <w:pPr>
        <w:keepNext/>
        <w:keepLines/>
        <w:jc w:val="center"/>
        <w:rPr>
          <w:rFonts w:cs="Arial"/>
          <w:szCs w:val="20"/>
        </w:rPr>
      </w:pPr>
      <w:r w:rsidRPr="00773F7A">
        <w:t>Jana Mašková</w:t>
      </w:r>
      <w:r>
        <w:rPr>
          <w:szCs w:val="20"/>
        </w:rPr>
        <w:tab/>
      </w:r>
      <w:r>
        <w:rPr>
          <w:szCs w:val="20"/>
        </w:rPr>
        <w:br/>
        <w:t>MAVO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773F7A" w:rsidP="00135D74">
      <w:pPr>
        <w:tabs>
          <w:tab w:val="center" w:pos="1800"/>
          <w:tab w:val="center" w:pos="7200"/>
        </w:tabs>
        <w:jc w:val="center"/>
      </w:pPr>
      <w:r w:rsidRPr="00773F7A">
        <w:t xml:space="preserve">Ing. </w:t>
      </w:r>
      <w:r>
        <w:rPr>
          <w:szCs w:val="20"/>
        </w:rPr>
        <w:t>Jiří Unverdorben</w:t>
      </w:r>
    </w:p>
    <w:p w:rsidR="002E41FC" w:rsidRDefault="00773F7A" w:rsidP="002E41FC">
      <w:pPr>
        <w:tabs>
          <w:tab w:val="center" w:pos="1800"/>
          <w:tab w:val="center" w:pos="7200"/>
        </w:tabs>
        <w:jc w:val="center"/>
      </w:pPr>
      <w:r w:rsidRPr="00773F7A">
        <w:t>ředitel kontaktního</w:t>
      </w:r>
      <w:r>
        <w:rPr>
          <w:szCs w:val="20"/>
        </w:rPr>
        <w:t xml:space="preserve"> pracoviště Bruntál</w:t>
      </w:r>
    </w:p>
    <w:p w:rsidR="00135D74" w:rsidRDefault="00773F7A" w:rsidP="002E41FC">
      <w:pPr>
        <w:tabs>
          <w:tab w:val="center" w:pos="1800"/>
          <w:tab w:val="center" w:pos="7200"/>
        </w:tabs>
        <w:jc w:val="center"/>
      </w:pPr>
      <w:r w:rsidRPr="00773F7A">
        <w:t>Úřad práce</w:t>
      </w:r>
      <w:r>
        <w:rPr>
          <w:szCs w:val="20"/>
        </w:rPr>
        <w:t xml:space="preserve"> České republiky</w:t>
      </w: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773F7A" w:rsidRPr="00773F7A">
        <w:t xml:space="preserve">Bc. </w:t>
      </w:r>
      <w:r w:rsidR="00773F7A">
        <w:rPr>
          <w:szCs w:val="20"/>
        </w:rPr>
        <w:t>Petra Dolanská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773F7A" w:rsidRPr="00773F7A">
        <w:t>950 106</w:t>
      </w:r>
      <w:r w:rsidR="00773F7A">
        <w:rPr>
          <w:szCs w:val="20"/>
        </w:rPr>
        <w:t xml:space="preserve"> 323</w:t>
      </w:r>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EF" w:rsidRDefault="002E18EF">
      <w:r>
        <w:separator/>
      </w:r>
    </w:p>
  </w:endnote>
  <w:endnote w:type="continuationSeparator" w:id="0">
    <w:p w:rsidR="002E18EF" w:rsidRDefault="002E18EF">
      <w:r>
        <w:continuationSeparator/>
      </w:r>
    </w:p>
  </w:endnote>
  <w:endnote w:type="continuationNotice" w:id="1">
    <w:p w:rsidR="002E18EF" w:rsidRDefault="002E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773F7A" w:rsidRPr="00773F7A">
      <w:rPr>
        <w:i/>
      </w:rPr>
      <w:t>BRA-BN-7/2019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253394">
      <w:rPr>
        <w:rStyle w:val="slostrnky"/>
        <w:noProof/>
      </w:rPr>
      <w:t>4</w:t>
    </w:r>
    <w:r w:rsidR="00FB2EC3">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773F7A" w:rsidRPr="00773F7A">
      <w:rPr>
        <w:i/>
      </w:rPr>
      <w:t>BRA-BN-7/2019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253394">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EF" w:rsidRDefault="002E18EF">
      <w:r>
        <w:separator/>
      </w:r>
    </w:p>
  </w:footnote>
  <w:footnote w:type="continuationSeparator" w:id="0">
    <w:p w:rsidR="002E18EF" w:rsidRDefault="002E18EF">
      <w:r>
        <w:continuationSeparator/>
      </w:r>
    </w:p>
  </w:footnote>
  <w:footnote w:type="continuationNotice" w:id="1">
    <w:p w:rsidR="002E18EF" w:rsidRDefault="002E18EF"/>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773F7A" w:rsidP="003521AD">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7A"/>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3394"/>
    <w:rsid w:val="00257EE0"/>
    <w:rsid w:val="0026483D"/>
    <w:rsid w:val="0028107D"/>
    <w:rsid w:val="00281FE9"/>
    <w:rsid w:val="00283727"/>
    <w:rsid w:val="00292ACC"/>
    <w:rsid w:val="002A12C0"/>
    <w:rsid w:val="002A6A52"/>
    <w:rsid w:val="002B6E2B"/>
    <w:rsid w:val="002C2FC5"/>
    <w:rsid w:val="002C546C"/>
    <w:rsid w:val="002D1FE2"/>
    <w:rsid w:val="002E04E4"/>
    <w:rsid w:val="002E18EF"/>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73F7A"/>
    <w:rsid w:val="00797DE2"/>
    <w:rsid w:val="007A0CAA"/>
    <w:rsid w:val="007A17CC"/>
    <w:rsid w:val="007A3AA4"/>
    <w:rsid w:val="007B0030"/>
    <w:rsid w:val="007B2666"/>
    <w:rsid w:val="007C0757"/>
    <w:rsid w:val="007C22D0"/>
    <w:rsid w:val="007D6A00"/>
    <w:rsid w:val="007E14A1"/>
    <w:rsid w:val="0080061E"/>
    <w:rsid w:val="00803C30"/>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E3A5-2332-4C12-B43C-C333B5E4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TotalTime>
  <Pages>4</Pages>
  <Words>1593</Words>
  <Characters>9399</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10971</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Petra Bc. (UPT-BRA)</dc:creator>
  <cp:lastModifiedBy>Dolanská Petra Bc. (UPT-BRA)</cp:lastModifiedBy>
  <cp:revision>2</cp:revision>
  <dcterms:created xsi:type="dcterms:W3CDTF">2019-03-01T10:20:00Z</dcterms:created>
  <dcterms:modified xsi:type="dcterms:W3CDTF">2019-03-01T10:20:00Z</dcterms:modified>
</cp:coreProperties>
</file>