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FC43BA" w:rsidRPr="00FC43BA" w:rsidRDefault="0096034B" w:rsidP="00FC43BA">
      <w:pPr>
        <w:jc w:val="center"/>
        <w:rPr>
          <w:rFonts w:ascii="Verdana" w:hAnsi="Verdana"/>
          <w:b/>
          <w:sz w:val="36"/>
        </w:rPr>
      </w:pPr>
      <w:r w:rsidRPr="00AF5484">
        <w:rPr>
          <w:rFonts w:ascii="Verdana" w:hAnsi="Verdana"/>
          <w:b/>
          <w:sz w:val="22"/>
        </w:rPr>
        <w:t xml:space="preserve">na zhotovení stavby: </w:t>
      </w:r>
      <w:r w:rsidR="00243010">
        <w:rPr>
          <w:rFonts w:ascii="Verdana" w:hAnsi="Verdana"/>
          <w:b/>
          <w:sz w:val="22"/>
        </w:rPr>
        <w:t>Výměna o</w:t>
      </w:r>
      <w:r w:rsidR="0016616B">
        <w:rPr>
          <w:rFonts w:ascii="Verdana" w:hAnsi="Verdana"/>
          <w:b/>
          <w:sz w:val="22"/>
        </w:rPr>
        <w:t xml:space="preserve">bložení a </w:t>
      </w:r>
      <w:r w:rsidR="00243010">
        <w:rPr>
          <w:rFonts w:ascii="Verdana" w:hAnsi="Verdana"/>
          <w:b/>
          <w:sz w:val="22"/>
        </w:rPr>
        <w:t>dlažby</w:t>
      </w:r>
      <w:r w:rsidR="0016616B">
        <w:rPr>
          <w:rFonts w:ascii="Verdana" w:hAnsi="Verdana"/>
          <w:b/>
          <w:sz w:val="22"/>
        </w:rPr>
        <w:t xml:space="preserve"> pánského WC </w:t>
      </w:r>
      <w:r w:rsidR="00243010">
        <w:rPr>
          <w:rFonts w:ascii="Verdana" w:hAnsi="Verdana"/>
          <w:b/>
          <w:sz w:val="22"/>
        </w:rPr>
        <w:t>kulturního domu N</w:t>
      </w:r>
      <w:r w:rsidR="00644BB9">
        <w:rPr>
          <w:rFonts w:ascii="Verdana" w:hAnsi="Verdana"/>
          <w:b/>
          <w:sz w:val="22"/>
        </w:rPr>
        <w:t>uzice</w:t>
      </w:r>
      <w:r w:rsidR="00243010">
        <w:rPr>
          <w:rFonts w:ascii="Verdana" w:hAnsi="Verdana"/>
          <w:b/>
          <w:sz w:val="22"/>
        </w:rPr>
        <w:t xml:space="preserve"> č. p. </w:t>
      </w:r>
      <w:r w:rsidR="00644BB9">
        <w:rPr>
          <w:rFonts w:ascii="Verdana" w:hAnsi="Verdana"/>
          <w:b/>
          <w:sz w:val="22"/>
        </w:rPr>
        <w:t>42</w:t>
      </w:r>
      <w:r w:rsidR="00243010">
        <w:rPr>
          <w:rFonts w:ascii="Verdana" w:hAnsi="Verdana"/>
          <w:b/>
          <w:sz w:val="22"/>
        </w:rPr>
        <w:t xml:space="preserve">, </w:t>
      </w:r>
      <w:r w:rsidR="0009280B">
        <w:rPr>
          <w:rFonts w:ascii="Verdana" w:hAnsi="Verdana"/>
          <w:b/>
          <w:sz w:val="22"/>
        </w:rPr>
        <w:t xml:space="preserve">375 01 </w:t>
      </w:r>
      <w:r w:rsidR="007910BB">
        <w:rPr>
          <w:rFonts w:ascii="Verdana" w:hAnsi="Verdana"/>
          <w:b/>
          <w:sz w:val="22"/>
        </w:rPr>
        <w:t>Týn nad Vltavou</w:t>
      </w:r>
    </w:p>
    <w:p w:rsidR="0096034B" w:rsidRPr="00FC43BA" w:rsidRDefault="0096034B" w:rsidP="00FC43BA">
      <w:pPr>
        <w:pStyle w:val="Zkladntext2-smlouva"/>
        <w:ind w:left="1"/>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a</w:t>
      </w:r>
    </w:p>
    <w:p w:rsidR="0096034B" w:rsidRPr="00AF5484" w:rsidRDefault="0096034B" w:rsidP="00FB6902">
      <w:pPr>
        <w:rPr>
          <w:rFonts w:ascii="Verdana" w:hAnsi="Verdana"/>
          <w:b/>
          <w:sz w:val="20"/>
          <w:highlight w:val="yellow"/>
        </w:rPr>
      </w:pPr>
    </w:p>
    <w:p w:rsidR="00373446" w:rsidRDefault="00F5636A" w:rsidP="00373446">
      <w:pPr>
        <w:rPr>
          <w:rFonts w:ascii="Verdana" w:hAnsi="Verdana"/>
          <w:b/>
          <w:sz w:val="20"/>
        </w:rPr>
      </w:pPr>
      <w:r>
        <w:rPr>
          <w:rFonts w:ascii="Verdana" w:hAnsi="Verdana"/>
          <w:b/>
          <w:sz w:val="20"/>
        </w:rPr>
        <w:t>Jiří Pavlovský</w:t>
      </w:r>
      <w:r w:rsidR="00373446">
        <w:rPr>
          <w:rFonts w:ascii="Verdana" w:hAnsi="Verdana"/>
          <w:b/>
          <w:sz w:val="20"/>
        </w:rPr>
        <w:t xml:space="preserve">, </w:t>
      </w:r>
    </w:p>
    <w:p w:rsidR="0096034B" w:rsidRPr="00373446" w:rsidRDefault="00373446" w:rsidP="00373446">
      <w:pPr>
        <w:rPr>
          <w:rFonts w:ascii="Verdana" w:hAnsi="Verdana"/>
          <w:sz w:val="20"/>
        </w:rPr>
      </w:pPr>
      <w:r w:rsidRPr="00373446">
        <w:rPr>
          <w:rFonts w:ascii="Verdana" w:hAnsi="Verdana"/>
          <w:sz w:val="20"/>
        </w:rPr>
        <w:t>zapsán v živnostenském 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5636A">
        <w:rPr>
          <w:rFonts w:ascii="Verdana" w:hAnsi="Verdana"/>
          <w:sz w:val="20"/>
          <w:szCs w:val="20"/>
        </w:rPr>
        <w:t>K Jihotvaru 433, 375 01 Týn nad Vltavou</w:t>
      </w:r>
      <w:r w:rsidRPr="00AF5484">
        <w:rPr>
          <w:rFonts w:ascii="Verdana" w:hAnsi="Verdana"/>
          <w:sz w:val="20"/>
          <w:szCs w:val="20"/>
        </w:rPr>
        <w:tab/>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472 16 115</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CZ520526396</w:t>
      </w:r>
      <w:r w:rsidRPr="00AF5484">
        <w:rPr>
          <w:rFonts w:ascii="Verdana" w:hAnsi="Verdana"/>
          <w:sz w:val="20"/>
        </w:rPr>
        <w:t xml:space="preserve"> </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F5636A">
        <w:rPr>
          <w:rFonts w:ascii="Verdana" w:hAnsi="Verdana"/>
          <w:sz w:val="20"/>
        </w:rPr>
        <w:t>Jiřím Pavlovským</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AF5484">
        <w:rPr>
          <w:rFonts w:ascii="Verdana" w:hAnsi="Verdana"/>
          <w:sz w:val="20"/>
        </w:rPr>
        <w:t xml:space="preserve">ČSOB, a.s., číslo účtu: </w:t>
      </w:r>
      <w:r w:rsidR="002065C4">
        <w:rPr>
          <w:rFonts w:ascii="Verdana" w:hAnsi="Verdana"/>
          <w:sz w:val="20"/>
        </w:rPr>
        <w:t>272095170</w:t>
      </w:r>
      <w:r w:rsidR="002065C4" w:rsidRPr="00BE24B0">
        <w:rPr>
          <w:rFonts w:ascii="Verdana" w:hAnsi="Verdana"/>
          <w:sz w:val="20"/>
        </w:rPr>
        <w:t>/0300</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F5636A">
        <w:rPr>
          <w:rFonts w:ascii="Verdana" w:hAnsi="Verdana"/>
          <w:sz w:val="20"/>
        </w:rPr>
        <w:t>723 884 463</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apamaj@seznam.cz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96034B" w:rsidRDefault="0096034B" w:rsidP="00421BB1">
      <w:pPr>
        <w:pStyle w:val="Zkladntext1-smlouva"/>
        <w:ind w:left="0" w:firstLine="0"/>
      </w:pPr>
      <w:bookmarkStart w:id="1" w:name="_Hlt458395984"/>
      <w:bookmarkStart w:id="2" w:name="_Ref498911665"/>
      <w:bookmarkStart w:id="3" w:name="_Ref74482388"/>
      <w:bookmarkStart w:id="4" w:name="_Toc108578394"/>
      <w:bookmarkEnd w:id="1"/>
    </w:p>
    <w:p w:rsidR="00287973" w:rsidRDefault="00287973" w:rsidP="00421BB1">
      <w:pPr>
        <w:pStyle w:val="Zkladntext1-smlouva"/>
        <w:ind w:left="0" w:firstLine="0"/>
      </w:pPr>
    </w:p>
    <w:p w:rsidR="0074044C" w:rsidRPr="00AF5484" w:rsidRDefault="0074044C" w:rsidP="00421BB1">
      <w:pPr>
        <w:pStyle w:val="Zkladntext1-smlouva"/>
        <w:ind w:left="0" w:firstLine="0"/>
      </w:pPr>
    </w:p>
    <w:p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rsidR="0096034B" w:rsidRPr="00AF5484" w:rsidRDefault="0096034B" w:rsidP="00FB6902">
      <w:pPr>
        <w:pStyle w:val="Zkladntext1-smlouva"/>
      </w:pPr>
      <w:r w:rsidRPr="00AF5484">
        <w:t xml:space="preserve">           </w:t>
      </w:r>
    </w:p>
    <w:p w:rsidR="0096034B" w:rsidRPr="00AF5484" w:rsidRDefault="0096034B" w:rsidP="00FB6902">
      <w:pPr>
        <w:pStyle w:val="Zkladntext2-smlouva"/>
        <w:spacing w:before="0"/>
        <w:rPr>
          <w:rFonts w:ascii="Verdana" w:hAnsi="Verdana"/>
          <w:sz w:val="20"/>
        </w:rPr>
      </w:pPr>
    </w:p>
    <w:p w:rsidR="0096034B" w:rsidRPr="0009280B" w:rsidRDefault="00BE1ACD" w:rsidP="0009280B">
      <w:pPr>
        <w:ind w:left="705" w:hanging="705"/>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243010">
        <w:rPr>
          <w:rFonts w:ascii="Verdana" w:hAnsi="Verdana"/>
          <w:b/>
          <w:sz w:val="22"/>
        </w:rPr>
        <w:t xml:space="preserve">Výměna obložení a dlažby pánského WC kulturního domu </w:t>
      </w:r>
      <w:proofErr w:type="gramStart"/>
      <w:r w:rsidR="00644BB9">
        <w:rPr>
          <w:rFonts w:ascii="Verdana" w:hAnsi="Verdana"/>
          <w:b/>
          <w:sz w:val="22"/>
        </w:rPr>
        <w:t xml:space="preserve">Nuzice </w:t>
      </w:r>
      <w:r w:rsidR="00243010">
        <w:rPr>
          <w:rFonts w:ascii="Verdana" w:hAnsi="Verdana"/>
          <w:b/>
          <w:sz w:val="22"/>
        </w:rPr>
        <w:t xml:space="preserve"> č.</w:t>
      </w:r>
      <w:proofErr w:type="gramEnd"/>
      <w:r w:rsidR="00243010">
        <w:rPr>
          <w:rFonts w:ascii="Verdana" w:hAnsi="Verdana"/>
          <w:b/>
          <w:sz w:val="22"/>
        </w:rPr>
        <w:t xml:space="preserve"> p. </w:t>
      </w:r>
      <w:r w:rsidR="00644BB9">
        <w:rPr>
          <w:rFonts w:ascii="Verdana" w:hAnsi="Verdana"/>
          <w:b/>
          <w:sz w:val="22"/>
        </w:rPr>
        <w:t>42</w:t>
      </w:r>
      <w:r w:rsidR="00243010">
        <w:rPr>
          <w:rFonts w:ascii="Verdana" w:hAnsi="Verdana"/>
          <w:b/>
          <w:sz w:val="22"/>
        </w:rPr>
        <w:t>, 375 01 Týn nad Vltavou</w:t>
      </w:r>
      <w:r w:rsidR="0009280B">
        <w:rPr>
          <w:rFonts w:ascii="Verdana" w:hAnsi="Verdana"/>
          <w:b/>
          <w:sz w:val="22"/>
        </w:rPr>
        <w:t>“</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4"/>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17509A" w:rsidRDefault="00243010" w:rsidP="004101A8">
      <w:pPr>
        <w:pStyle w:val="Odstavecseseznamem"/>
        <w:rPr>
          <w:rFonts w:ascii="Verdana" w:hAnsi="Verdana"/>
          <w:sz w:val="20"/>
        </w:rPr>
      </w:pPr>
      <w:r>
        <w:rPr>
          <w:rFonts w:ascii="Verdana" w:hAnsi="Verdana"/>
          <w:sz w:val="20"/>
        </w:rPr>
        <w:t xml:space="preserve">Kulturní dům </w:t>
      </w:r>
      <w:r w:rsidR="00644BB9">
        <w:rPr>
          <w:rFonts w:ascii="Verdana" w:hAnsi="Verdana"/>
          <w:sz w:val="20"/>
        </w:rPr>
        <w:t xml:space="preserve">Nuzice </w:t>
      </w:r>
      <w:proofErr w:type="gramStart"/>
      <w:r w:rsidR="00644BB9">
        <w:rPr>
          <w:rFonts w:ascii="Verdana" w:hAnsi="Verdana"/>
          <w:sz w:val="20"/>
        </w:rPr>
        <w:t>č.p.</w:t>
      </w:r>
      <w:proofErr w:type="gramEnd"/>
      <w:r w:rsidR="00644BB9">
        <w:rPr>
          <w:rFonts w:ascii="Verdana" w:hAnsi="Verdana"/>
          <w:sz w:val="20"/>
        </w:rPr>
        <w:t xml:space="preserve"> 42</w:t>
      </w:r>
    </w:p>
    <w:p w:rsidR="002350AD" w:rsidRPr="00EC3D54" w:rsidRDefault="002350AD" w:rsidP="002350AD">
      <w:pPr>
        <w:pStyle w:val="Odstavecseseznamem"/>
        <w:ind w:left="0"/>
        <w:rPr>
          <w:rFonts w:ascii="Verdana" w:hAnsi="Verdana"/>
          <w:color w:val="FF0000"/>
          <w:sz w:val="20"/>
        </w:rPr>
      </w:pPr>
    </w:p>
    <w:p w:rsidR="0096034B" w:rsidRPr="00AF5484"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w:t>
      </w:r>
      <w:r w:rsidR="0009280B">
        <w:rPr>
          <w:rFonts w:ascii="Verdana" w:hAnsi="Verdana"/>
          <w:sz w:val="20"/>
        </w:rPr>
        <w:t>opravy</w:t>
      </w:r>
      <w:r w:rsidRPr="00AF5484">
        <w:rPr>
          <w:rFonts w:ascii="Verdana" w:hAnsi="Verdana"/>
          <w:sz w:val="20"/>
        </w:rPr>
        <w:t xml:space="preserve"> po celou dobu </w:t>
      </w:r>
      <w:r w:rsidR="0009280B">
        <w:rPr>
          <w:rFonts w:ascii="Verdana" w:hAnsi="Verdana"/>
          <w:sz w:val="20"/>
        </w:rPr>
        <w:t>opravy</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i projednání zvláštního užívání ploch včetně úhrady poplatků </w:t>
      </w:r>
      <w:r w:rsidR="00F44C05">
        <w:rPr>
          <w:rFonts w:ascii="Verdana" w:hAnsi="Verdana"/>
          <w:sz w:val="20"/>
        </w:rPr>
        <w:t>s tím spojených, nebo nájemného, pokud budou potřeba</w:t>
      </w:r>
      <w:r w:rsidRPr="00185E1B">
        <w:rPr>
          <w:rFonts w:ascii="Verdana" w:hAnsi="Verdana"/>
          <w:sz w:val="20"/>
        </w:rPr>
        <w:t xml:space="preserve">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zajištění atestů a dokladů podle zákona č. 22/1997 Sb., o technických požadavcích na výrobky, v platném znění</w:t>
      </w:r>
    </w:p>
    <w:p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554AFA">
      <w:pPr>
        <w:pStyle w:val="Zkladntext1-smlouva"/>
        <w:ind w:left="0" w:firstLine="0"/>
      </w:pPr>
    </w:p>
    <w:p w:rsidR="00554AFA" w:rsidRPr="00AF5484" w:rsidRDefault="00554AFA" w:rsidP="00554AFA">
      <w:pPr>
        <w:pStyle w:val="Zkladntext1-smlouva"/>
        <w:ind w:left="0" w:firstLine="0"/>
      </w:pPr>
    </w:p>
    <w:p w:rsidR="0096034B" w:rsidRPr="00DC3B2F" w:rsidRDefault="0096034B" w:rsidP="00554AFA">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C3B2F" w:rsidRPr="00A711AC" w:rsidRDefault="00DC3B2F" w:rsidP="00AF5484">
      <w:pPr>
        <w:spacing w:before="120"/>
        <w:rPr>
          <w:rFonts w:ascii="Verdana" w:hAnsi="Verdana" w:cs="Arial"/>
          <w:b/>
          <w:i/>
          <w:color w:val="FF0000"/>
        </w:rPr>
      </w:pP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proofErr w:type="gramStart"/>
      <w:r w:rsidR="00644BB9">
        <w:rPr>
          <w:rFonts w:ascii="Verdana" w:hAnsi="Verdana" w:cs="Arial"/>
          <w:sz w:val="20"/>
        </w:rPr>
        <w:t>18.2.2019</w:t>
      </w:r>
      <w:proofErr w:type="gramEnd"/>
      <w:r w:rsidR="00644BB9">
        <w:rPr>
          <w:rFonts w:ascii="Verdana" w:hAnsi="Verdana" w:cs="Arial"/>
          <w:sz w:val="20"/>
        </w:rPr>
        <w:t xml:space="preserve"> do 15.3.2019</w:t>
      </w:r>
    </w:p>
    <w:bookmarkEnd w:id="5"/>
    <w:bookmarkEnd w:id="6"/>
    <w:bookmarkEnd w:id="7"/>
    <w:bookmarkEnd w:id="8"/>
    <w:bookmarkEnd w:id="9"/>
    <w:bookmarkEnd w:id="10"/>
    <w:bookmarkEnd w:id="11"/>
    <w:bookmarkEnd w:id="12"/>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243010">
        <w:rPr>
          <w:rFonts w:ascii="Verdana" w:hAnsi="Verdana" w:cs="Arial"/>
          <w:sz w:val="20"/>
        </w:rPr>
        <w:t>15</w:t>
      </w:r>
      <w:r w:rsidR="00117AFF" w:rsidRPr="006D4C5C">
        <w:rPr>
          <w:rFonts w:ascii="Verdana" w:hAnsi="Verdana" w:cs="Arial"/>
          <w:sz w:val="20"/>
        </w:rPr>
        <w:t>.</w:t>
      </w:r>
      <w:r w:rsidR="00DC667B">
        <w:rPr>
          <w:rFonts w:ascii="Verdana" w:hAnsi="Verdana" w:cs="Arial"/>
          <w:sz w:val="20"/>
        </w:rPr>
        <w:t xml:space="preserve"> </w:t>
      </w:r>
      <w:r w:rsidR="00DC667B" w:rsidRPr="006D4C5C">
        <w:rPr>
          <w:rFonts w:ascii="Verdana" w:hAnsi="Verdana" w:cs="Arial"/>
          <w:sz w:val="20"/>
        </w:rPr>
        <w:t>0</w:t>
      </w:r>
      <w:r w:rsidR="00644BB9">
        <w:rPr>
          <w:rFonts w:ascii="Verdana" w:hAnsi="Verdana" w:cs="Arial"/>
          <w:sz w:val="20"/>
        </w:rPr>
        <w:t>3</w:t>
      </w:r>
      <w:r w:rsidR="00DC667B">
        <w:rPr>
          <w:rFonts w:ascii="Verdana" w:hAnsi="Verdana" w:cs="Arial"/>
          <w:sz w:val="20"/>
        </w:rPr>
        <w:t xml:space="preserve">. </w:t>
      </w:r>
      <w:r w:rsidR="00644BB9">
        <w:rPr>
          <w:rFonts w:ascii="Verdana" w:hAnsi="Verdana" w:cs="Arial"/>
          <w:sz w:val="20"/>
        </w:rPr>
        <w:t>2019</w:t>
      </w:r>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8"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644BB9">
        <w:rPr>
          <w:rFonts w:ascii="Verdana" w:hAnsi="Verdana"/>
          <w:b/>
          <w:bCs/>
          <w:sz w:val="20"/>
        </w:rPr>
        <w:t>99 500</w:t>
      </w:r>
      <w:r w:rsidR="000070A0" w:rsidRPr="006D4C5C">
        <w:rPr>
          <w:rFonts w:ascii="Verdana" w:hAnsi="Verdana"/>
          <w:b/>
          <w:bCs/>
          <w:sz w:val="20"/>
        </w:rPr>
        <w:t>,00</w:t>
      </w:r>
      <w:r w:rsidRPr="006D4C5C">
        <w:rPr>
          <w:rFonts w:ascii="Verdana" w:hAnsi="Verdana"/>
          <w:b/>
          <w:bCs/>
          <w:sz w:val="20"/>
        </w:rPr>
        <w:t xml:space="preserve"> 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DC667B">
        <w:rPr>
          <w:rFonts w:ascii="Verdana" w:hAnsi="Verdana"/>
          <w:b/>
          <w:sz w:val="20"/>
        </w:rPr>
        <w:t>21</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644BB9">
        <w:rPr>
          <w:rFonts w:ascii="Verdana" w:hAnsi="Verdana"/>
          <w:b/>
          <w:sz w:val="20"/>
        </w:rPr>
        <w:t>20 895</w:t>
      </w:r>
      <w:r w:rsidR="000070A0" w:rsidRPr="006D4C5C">
        <w:rPr>
          <w:rFonts w:ascii="Verdana" w:hAnsi="Verdana"/>
          <w:b/>
          <w:bCs/>
          <w:sz w:val="20"/>
        </w:rPr>
        <w:t>,00</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DC667B">
        <w:rPr>
          <w:rFonts w:ascii="Verdana" w:hAnsi="Verdana"/>
          <w:b/>
          <w:bCs/>
          <w:sz w:val="20"/>
        </w:rPr>
        <w:t>21</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644BB9">
        <w:rPr>
          <w:rFonts w:ascii="Verdana" w:hAnsi="Verdana"/>
          <w:b/>
          <w:bCs/>
          <w:sz w:val="20"/>
        </w:rPr>
        <w:t>120 395</w:t>
      </w:r>
      <w:r w:rsidR="0097319E" w:rsidRPr="006D4C5C">
        <w:rPr>
          <w:rFonts w:ascii="Verdana" w:hAnsi="Verdana"/>
          <w:b/>
          <w:bCs/>
          <w:sz w:val="20"/>
        </w:rPr>
        <w:t>,</w:t>
      </w:r>
      <w:r w:rsidR="00F261AA" w:rsidRPr="006D4C5C">
        <w:rPr>
          <w:rFonts w:ascii="Verdana" w:hAnsi="Verdana"/>
          <w:b/>
          <w:bCs/>
          <w:sz w:val="20"/>
        </w:rPr>
        <w:t>00</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AF5484">
        <w:t xml:space="preserve">V. </w:t>
      </w:r>
      <w:r w:rsidRPr="00AF5484">
        <w:tab/>
        <w:t>Platební podmínky</w:t>
      </w:r>
      <w:bookmarkEnd w:id="19"/>
      <w:bookmarkEnd w:id="20"/>
      <w:bookmarkEnd w:id="21"/>
      <w:bookmarkEnd w:id="22"/>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3"/>
    <w:p w:rsidR="0096034B" w:rsidRDefault="0096034B" w:rsidP="00D31303">
      <w:pPr>
        <w:pStyle w:val="Zkladntext1-smlouva"/>
        <w:ind w:left="0" w:firstLine="0"/>
      </w:pPr>
    </w:p>
    <w:p w:rsidR="00554AFA" w:rsidRPr="00AF5484" w:rsidRDefault="00554AF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4"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w:t>
      </w:r>
      <w:r w:rsidRPr="00AF5484">
        <w:rPr>
          <w:rFonts w:ascii="Verdana" w:hAnsi="Verdana" w:cs="Arial"/>
          <w:sz w:val="20"/>
        </w:rPr>
        <w:lastRenderedPageBreak/>
        <w:t>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4"/>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lastRenderedPageBreak/>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34B" w:rsidRPr="00AF5484" w:rsidRDefault="0096034B" w:rsidP="00FB6902">
      <w:pPr>
        <w:pStyle w:val="Zkladntext1-smlouva"/>
      </w:pPr>
      <w:bookmarkStart w:id="25" w:name="_Toc101760709"/>
      <w:bookmarkStart w:id="26" w:name="_Toc108578402"/>
      <w:r w:rsidRPr="00AF5484">
        <w:lastRenderedPageBreak/>
        <w:t xml:space="preserve">IX. </w:t>
      </w:r>
      <w:r w:rsidRPr="00AF5484">
        <w:tab/>
        <w:t>Závěrečné ujednání</w:t>
      </w:r>
      <w:bookmarkEnd w:id="25"/>
      <w:bookmarkEnd w:id="26"/>
    </w:p>
    <w:p w:rsidR="0096034B" w:rsidRPr="00AF5484" w:rsidRDefault="0096034B" w:rsidP="00FB6902">
      <w:pPr>
        <w:pStyle w:val="Zkladntext1-smlouva"/>
      </w:pPr>
    </w:p>
    <w:p w:rsidR="0096034B" w:rsidRPr="00287973" w:rsidRDefault="0096034B" w:rsidP="006C1A9A">
      <w:pPr>
        <w:pStyle w:val="Odstavecseseznamem"/>
        <w:numPr>
          <w:ilvl w:val="0"/>
          <w:numId w:val="7"/>
        </w:numPr>
        <w:ind w:hanging="720"/>
        <w:rPr>
          <w:rFonts w:ascii="Verdana" w:hAnsi="Verdana"/>
          <w:sz w:val="20"/>
        </w:rPr>
      </w:pPr>
      <w:bookmarkStart w:id="27"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rsidR="0096034B" w:rsidRPr="00AF5484" w:rsidRDefault="0096034B" w:rsidP="0018482D">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r w:rsidR="00CC6F38">
        <w:rPr>
          <w:rFonts w:ascii="Verdana" w:hAnsi="Verdana"/>
          <w:sz w:val="20"/>
        </w:rPr>
        <w:t>15. 2. 2019</w:t>
      </w:r>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8" w:name="_Hlt453487629"/>
      <w:bookmarkStart w:id="29" w:name="_Hlt453413715"/>
      <w:bookmarkEnd w:id="28"/>
      <w:bookmarkEnd w:id="29"/>
      <w:r w:rsidRPr="00AF5484">
        <w:rPr>
          <w:rFonts w:ascii="Verdana" w:hAnsi="Verdana"/>
          <w:sz w:val="20"/>
        </w:rPr>
        <w:t xml:space="preserve"> </w:t>
      </w:r>
      <w:r w:rsidR="00CC6F38">
        <w:rPr>
          <w:rFonts w:ascii="Verdana" w:hAnsi="Verdana"/>
          <w:sz w:val="20"/>
        </w:rPr>
        <w:t>15. 2. 2019</w:t>
      </w:r>
      <w:bookmarkStart w:id="30" w:name="_GoBack"/>
      <w:bookmarkEnd w:id="30"/>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8531FA">
      <w:footerReference w:type="default" r:id="rId10"/>
      <w:pgSz w:w="11906" w:h="16838" w:code="9"/>
      <w:pgMar w:top="851" w:right="1418" w:bottom="851"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75067D"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CC6F38">
      <w:rPr>
        <w:rStyle w:val="slostrnky"/>
        <w:rFonts w:ascii="Verdana" w:hAnsi="Verdana"/>
        <w:noProof/>
        <w:sz w:val="14"/>
      </w:rPr>
      <w:t>7</w:t>
    </w:r>
    <w:r w:rsidR="0075067D"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70A0"/>
    <w:rsid w:val="0001766C"/>
    <w:rsid w:val="00066655"/>
    <w:rsid w:val="00076502"/>
    <w:rsid w:val="00090B23"/>
    <w:rsid w:val="0009280B"/>
    <w:rsid w:val="000A1337"/>
    <w:rsid w:val="000B5D81"/>
    <w:rsid w:val="000F7D3F"/>
    <w:rsid w:val="00117AFF"/>
    <w:rsid w:val="001336CE"/>
    <w:rsid w:val="00143DE7"/>
    <w:rsid w:val="00157526"/>
    <w:rsid w:val="0016616B"/>
    <w:rsid w:val="0017509A"/>
    <w:rsid w:val="00177117"/>
    <w:rsid w:val="0018482D"/>
    <w:rsid w:val="00185E1B"/>
    <w:rsid w:val="001A0380"/>
    <w:rsid w:val="001A1197"/>
    <w:rsid w:val="001B0D61"/>
    <w:rsid w:val="001C7F2D"/>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F0481"/>
    <w:rsid w:val="00307E47"/>
    <w:rsid w:val="003127A3"/>
    <w:rsid w:val="00313590"/>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426CA"/>
    <w:rsid w:val="00544B4F"/>
    <w:rsid w:val="00554AFA"/>
    <w:rsid w:val="00577E28"/>
    <w:rsid w:val="005A511A"/>
    <w:rsid w:val="005B50EC"/>
    <w:rsid w:val="005C4DBF"/>
    <w:rsid w:val="005C51D7"/>
    <w:rsid w:val="005E47FA"/>
    <w:rsid w:val="005F1226"/>
    <w:rsid w:val="005F3B4F"/>
    <w:rsid w:val="0060199F"/>
    <w:rsid w:val="00620085"/>
    <w:rsid w:val="00644BB9"/>
    <w:rsid w:val="00650458"/>
    <w:rsid w:val="00651818"/>
    <w:rsid w:val="00652B27"/>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861F4"/>
    <w:rsid w:val="00886F3F"/>
    <w:rsid w:val="008C1A9B"/>
    <w:rsid w:val="008D726B"/>
    <w:rsid w:val="008E52BC"/>
    <w:rsid w:val="008E5314"/>
    <w:rsid w:val="008F5D24"/>
    <w:rsid w:val="009218EF"/>
    <w:rsid w:val="00923F61"/>
    <w:rsid w:val="0096034B"/>
    <w:rsid w:val="00960911"/>
    <w:rsid w:val="0097319E"/>
    <w:rsid w:val="00973B24"/>
    <w:rsid w:val="00984653"/>
    <w:rsid w:val="009A5E47"/>
    <w:rsid w:val="009D2767"/>
    <w:rsid w:val="009E2B58"/>
    <w:rsid w:val="00A07952"/>
    <w:rsid w:val="00A202D8"/>
    <w:rsid w:val="00A52CE1"/>
    <w:rsid w:val="00A64402"/>
    <w:rsid w:val="00A70686"/>
    <w:rsid w:val="00A711AC"/>
    <w:rsid w:val="00A72CED"/>
    <w:rsid w:val="00A9742E"/>
    <w:rsid w:val="00AD5D26"/>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42DFE"/>
    <w:rsid w:val="00E4374D"/>
    <w:rsid w:val="00E57613"/>
    <w:rsid w:val="00E74FA7"/>
    <w:rsid w:val="00E917C6"/>
    <w:rsid w:val="00E92776"/>
    <w:rsid w:val="00EC3D54"/>
    <w:rsid w:val="00EC4A40"/>
    <w:rsid w:val="00ED734D"/>
    <w:rsid w:val="00F0188C"/>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85D77-EAD6-4D09-A2EF-EC1EFC5A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3250</Words>
  <Characters>19136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17</cp:revision>
  <cp:lastPrinted>2018-01-05T06:52:00Z</cp:lastPrinted>
  <dcterms:created xsi:type="dcterms:W3CDTF">2017-01-24T09:02:00Z</dcterms:created>
  <dcterms:modified xsi:type="dcterms:W3CDTF">2019-02-27T14:46:00Z</dcterms:modified>
</cp:coreProperties>
</file>