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BCA" w:rsidRPr="00303226" w:rsidRDefault="00E87BB7" w:rsidP="00A025BD">
      <w:pPr>
        <w:pStyle w:val="Nadpis1"/>
        <w:ind w:left="0" w:firstLine="0"/>
        <w:rPr>
          <w:rFonts w:asciiTheme="majorHAnsi" w:eastAsia="Times New Roman" w:hAnsiTheme="majorHAnsi" w:cs="Times New Roman"/>
          <w:color w:val="auto"/>
          <w:sz w:val="32"/>
          <w:szCs w:val="32"/>
        </w:rPr>
      </w:pPr>
      <w:r w:rsidRPr="00303226">
        <w:rPr>
          <w:rFonts w:asciiTheme="majorHAnsi" w:hAnsiTheme="majorHAnsi"/>
          <w:color w:val="auto"/>
          <w:sz w:val="32"/>
          <w:szCs w:val="32"/>
        </w:rPr>
        <w:t>Zadání a design</w:t>
      </w:r>
      <w:r w:rsidR="00303226" w:rsidRPr="00303226">
        <w:rPr>
          <w:rFonts w:asciiTheme="majorHAnsi" w:hAnsiTheme="majorHAnsi"/>
          <w:color w:val="auto"/>
          <w:sz w:val="32"/>
          <w:szCs w:val="32"/>
        </w:rPr>
        <w:t xml:space="preserve"> </w:t>
      </w:r>
      <w:r w:rsidRPr="00303226">
        <w:rPr>
          <w:rFonts w:asciiTheme="majorHAnsi" w:hAnsiTheme="majorHAnsi"/>
          <w:color w:val="auto"/>
          <w:sz w:val="32"/>
          <w:szCs w:val="32"/>
        </w:rPr>
        <w:t>výzkumu</w:t>
      </w:r>
      <w:r w:rsidRPr="00303226">
        <w:rPr>
          <w:rFonts w:asciiTheme="majorHAnsi" w:eastAsia="Times New Roman" w:hAnsiTheme="majorHAnsi" w:cs="Times New Roman"/>
          <w:color w:val="auto"/>
          <w:sz w:val="32"/>
          <w:szCs w:val="32"/>
        </w:rPr>
        <w:t xml:space="preserve"> </w:t>
      </w:r>
      <w:r w:rsidR="00A025BD" w:rsidRPr="00303226">
        <w:rPr>
          <w:rFonts w:asciiTheme="majorHAnsi" w:eastAsia="Times New Roman" w:hAnsiTheme="majorHAnsi" w:cs="Times New Roman"/>
          <w:color w:val="auto"/>
          <w:sz w:val="32"/>
          <w:szCs w:val="32"/>
        </w:rPr>
        <w:t xml:space="preserve">pro </w:t>
      </w:r>
      <w:r>
        <w:rPr>
          <w:rFonts w:asciiTheme="majorHAnsi" w:eastAsia="Times New Roman" w:hAnsiTheme="majorHAnsi" w:cs="Times New Roman"/>
          <w:color w:val="auto"/>
          <w:sz w:val="32"/>
          <w:szCs w:val="32"/>
        </w:rPr>
        <w:t>Ú</w:t>
      </w:r>
      <w:r w:rsidR="00A025BD" w:rsidRPr="00303226">
        <w:rPr>
          <w:rFonts w:asciiTheme="majorHAnsi" w:eastAsia="Times New Roman" w:hAnsiTheme="majorHAnsi" w:cs="Times New Roman"/>
          <w:color w:val="auto"/>
          <w:sz w:val="32"/>
          <w:szCs w:val="32"/>
        </w:rPr>
        <w:t>zemní studii Libuš</w:t>
      </w:r>
    </w:p>
    <w:p w:rsidR="00A44BCA" w:rsidRPr="002B33CD" w:rsidRDefault="00E87BB7">
      <w:pPr>
        <w:pStyle w:val="Nadpis2"/>
        <w:numPr>
          <w:ilvl w:val="1"/>
          <w:numId w:val="2"/>
        </w:numPr>
        <w:rPr>
          <w:rFonts w:asciiTheme="majorHAnsi" w:hAnsiTheme="majorHAnsi"/>
        </w:rPr>
      </w:pPr>
      <w:bookmarkStart w:id="0" w:name="_30j0zll" w:colFirst="0" w:colLast="0"/>
      <w:bookmarkEnd w:id="0"/>
      <w:r w:rsidRPr="002B33CD">
        <w:rPr>
          <w:rFonts w:asciiTheme="majorHAnsi" w:hAnsiTheme="majorHAnsi"/>
        </w:rPr>
        <w:t xml:space="preserve">Cíl výzkumu </w:t>
      </w:r>
    </w:p>
    <w:p w:rsidR="00A44BCA" w:rsidRPr="002B33CD" w:rsidRDefault="00E87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hAnsiTheme="majorHAnsi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>získat informace o postojích a názorech obyvatel pro zpracování územní studie ve třech o</w:t>
      </w:r>
      <w:r w:rsidR="002F45C9">
        <w:rPr>
          <w:rFonts w:asciiTheme="majorHAnsi" w:eastAsia="Tahoma" w:hAnsiTheme="majorHAnsi" w:cs="Tahoma"/>
          <w:sz w:val="18"/>
          <w:szCs w:val="18"/>
        </w:rPr>
        <w:t>b</w:t>
      </w:r>
      <w:r w:rsidRPr="002B33CD">
        <w:rPr>
          <w:rFonts w:asciiTheme="majorHAnsi" w:eastAsia="Tahoma" w:hAnsiTheme="majorHAnsi" w:cs="Tahoma"/>
          <w:sz w:val="18"/>
          <w:szCs w:val="18"/>
        </w:rPr>
        <w:t>lastech zájmového území.</w:t>
      </w:r>
      <w:bookmarkStart w:id="1" w:name="_GoBack"/>
      <w:bookmarkEnd w:id="1"/>
    </w:p>
    <w:p w:rsidR="00A44BCA" w:rsidRPr="002B33CD" w:rsidRDefault="00E87BB7">
      <w:pPr>
        <w:pStyle w:val="Nadpis2"/>
        <w:numPr>
          <w:ilvl w:val="1"/>
          <w:numId w:val="2"/>
        </w:numPr>
        <w:rPr>
          <w:rFonts w:asciiTheme="majorHAnsi" w:hAnsiTheme="majorHAnsi"/>
        </w:rPr>
      </w:pPr>
      <w:bookmarkStart w:id="2" w:name="_1fob9te" w:colFirst="0" w:colLast="0"/>
      <w:bookmarkEnd w:id="2"/>
      <w:r w:rsidRPr="002B33CD">
        <w:rPr>
          <w:rFonts w:asciiTheme="majorHAnsi" w:hAnsiTheme="majorHAnsi"/>
        </w:rPr>
        <w:t>K čemu mají sloužit zjištění výzkumu</w:t>
      </w:r>
    </w:p>
    <w:p w:rsidR="00A44BCA" w:rsidRPr="002B33CD" w:rsidRDefault="00E87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hAnsiTheme="majorHAnsi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>pro ověření témat a cílů územní studie</w:t>
      </w:r>
    </w:p>
    <w:p w:rsidR="00A44BCA" w:rsidRPr="002B33CD" w:rsidRDefault="00E87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hAnsiTheme="majorHAnsi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>pro využití při zpracování územní studie</w:t>
      </w:r>
    </w:p>
    <w:p w:rsidR="00A44BCA" w:rsidRPr="002B33CD" w:rsidRDefault="00E87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eastAsia="Tahoma" w:hAnsiTheme="majorHAnsi" w:cs="Tahoma"/>
          <w:sz w:val="18"/>
          <w:szCs w:val="18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>pro zjištění rozdílů v potřebách a názorech obyvatel třech dílčích oblastí v zájmovém území</w:t>
      </w:r>
    </w:p>
    <w:p w:rsidR="00A44BCA" w:rsidRPr="002B33CD" w:rsidRDefault="00E87BB7">
      <w:pPr>
        <w:pStyle w:val="Nadpis2"/>
        <w:numPr>
          <w:ilvl w:val="1"/>
          <w:numId w:val="2"/>
        </w:numPr>
        <w:rPr>
          <w:rFonts w:asciiTheme="majorHAnsi" w:hAnsiTheme="majorHAnsi"/>
        </w:rPr>
      </w:pPr>
      <w:bookmarkStart w:id="3" w:name="_3znysh7" w:colFirst="0" w:colLast="0"/>
      <w:bookmarkEnd w:id="3"/>
      <w:r w:rsidRPr="002B33CD">
        <w:rPr>
          <w:rFonts w:asciiTheme="majorHAnsi" w:hAnsiTheme="majorHAnsi"/>
        </w:rPr>
        <w:t>Kdo bude s výsledky především pracovat</w:t>
      </w:r>
    </w:p>
    <w:p w:rsidR="00A44BCA" w:rsidRPr="002B33CD" w:rsidRDefault="00E87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hAnsiTheme="majorHAnsi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>budoucí zpracovatel územní studie</w:t>
      </w:r>
    </w:p>
    <w:p w:rsidR="00A44BCA" w:rsidRPr="002B33CD" w:rsidRDefault="00E87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hAnsiTheme="majorHAnsi"/>
        </w:rPr>
      </w:pPr>
      <w:bookmarkStart w:id="4" w:name="_2et92p0" w:colFirst="0" w:colLast="0"/>
      <w:bookmarkEnd w:id="4"/>
      <w:r w:rsidRPr="002B33CD">
        <w:rPr>
          <w:rFonts w:asciiTheme="majorHAnsi" w:eastAsia="Tahoma" w:hAnsiTheme="majorHAnsi" w:cs="Tahoma"/>
          <w:sz w:val="18"/>
          <w:szCs w:val="18"/>
        </w:rPr>
        <w:t>Odbor územního rozvoje MHMP</w:t>
      </w:r>
    </w:p>
    <w:p w:rsidR="004E2BA6" w:rsidRPr="002B33CD" w:rsidRDefault="004E2BA6" w:rsidP="004E2BA6">
      <w:pPr>
        <w:pStyle w:val="Nadpis2"/>
        <w:numPr>
          <w:ilvl w:val="1"/>
          <w:numId w:val="2"/>
        </w:numPr>
        <w:rPr>
          <w:rFonts w:asciiTheme="majorHAnsi" w:hAnsiTheme="majorHAnsi"/>
        </w:rPr>
      </w:pPr>
      <w:bookmarkStart w:id="5" w:name="_tyjcwt" w:colFirst="0" w:colLast="0"/>
      <w:bookmarkEnd w:id="5"/>
      <w:r w:rsidRPr="002B33CD">
        <w:rPr>
          <w:rFonts w:asciiTheme="majorHAnsi" w:hAnsiTheme="majorHAnsi"/>
        </w:rPr>
        <w:t>charakter průzkumu</w:t>
      </w:r>
    </w:p>
    <w:p w:rsidR="004E2BA6" w:rsidRPr="002B33CD" w:rsidRDefault="004E2BA6" w:rsidP="004E2B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hAnsiTheme="majorHAnsi"/>
          <w:sz w:val="18"/>
          <w:szCs w:val="18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 xml:space="preserve">kvantitativní </w:t>
      </w:r>
    </w:p>
    <w:p w:rsidR="004E2BA6" w:rsidRPr="002B33CD" w:rsidRDefault="004E2BA6" w:rsidP="004E2B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hAnsiTheme="majorHAnsi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 xml:space="preserve">reprezentativní šetření - kvótní výběr </w:t>
      </w:r>
    </w:p>
    <w:p w:rsidR="00A44BCA" w:rsidRPr="002B33CD" w:rsidRDefault="00E87BB7">
      <w:pPr>
        <w:pStyle w:val="Nadpis2"/>
        <w:numPr>
          <w:ilvl w:val="1"/>
          <w:numId w:val="2"/>
        </w:numPr>
        <w:rPr>
          <w:rFonts w:asciiTheme="majorHAnsi" w:hAnsiTheme="majorHAnsi"/>
        </w:rPr>
      </w:pPr>
      <w:r w:rsidRPr="002B33CD">
        <w:rPr>
          <w:rFonts w:asciiTheme="majorHAnsi" w:hAnsiTheme="majorHAnsi"/>
        </w:rPr>
        <w:t>Cílová skupina, základní soubor</w:t>
      </w:r>
    </w:p>
    <w:p w:rsidR="00A44BCA" w:rsidRPr="002B33CD" w:rsidRDefault="00E87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hAnsiTheme="majorHAnsi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>obyvatelé „spádového“ území viz mapa - samostatný soubor</w:t>
      </w:r>
    </w:p>
    <w:p w:rsidR="00A44BCA" w:rsidRPr="002B33CD" w:rsidRDefault="00E87BB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hAnsiTheme="majorHAnsi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 xml:space="preserve">CS 1 “sídliště” </w:t>
      </w:r>
      <w:r w:rsidR="004E2BA6">
        <w:rPr>
          <w:rFonts w:asciiTheme="majorHAnsi" w:eastAsia="Tahoma" w:hAnsiTheme="majorHAnsi" w:cs="Tahoma"/>
          <w:sz w:val="18"/>
          <w:szCs w:val="18"/>
        </w:rPr>
        <w:t xml:space="preserve">- </w:t>
      </w:r>
      <w:r w:rsidRPr="002B33CD">
        <w:rPr>
          <w:rFonts w:asciiTheme="majorHAnsi" w:eastAsia="Tahoma" w:hAnsiTheme="majorHAnsi" w:cs="Tahoma"/>
          <w:sz w:val="18"/>
          <w:szCs w:val="18"/>
        </w:rPr>
        <w:t>vymezeno od jihu „Generála Šišky“, od východu „Novodv</w:t>
      </w:r>
      <w:r w:rsidR="004E2BA6">
        <w:rPr>
          <w:rFonts w:asciiTheme="majorHAnsi" w:eastAsia="Tahoma" w:hAnsiTheme="majorHAnsi" w:cs="Tahoma"/>
          <w:sz w:val="18"/>
          <w:szCs w:val="18"/>
        </w:rPr>
        <w:t>orská“, na severu „Smotlachova“</w:t>
      </w:r>
    </w:p>
    <w:p w:rsidR="00A44BCA" w:rsidRPr="002B33CD" w:rsidRDefault="00E87BB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hAnsiTheme="majorHAnsi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 xml:space="preserve">CS 2 oblast “východně od sídliště”  </w:t>
      </w:r>
      <w:r w:rsidR="004E2BA6">
        <w:rPr>
          <w:rFonts w:asciiTheme="majorHAnsi" w:eastAsia="Tahoma" w:hAnsiTheme="majorHAnsi" w:cs="Tahoma"/>
          <w:sz w:val="18"/>
          <w:szCs w:val="18"/>
        </w:rPr>
        <w:t xml:space="preserve">- </w:t>
      </w:r>
      <w:r w:rsidRPr="002B33CD">
        <w:rPr>
          <w:rFonts w:asciiTheme="majorHAnsi" w:eastAsia="Tahoma" w:hAnsiTheme="majorHAnsi" w:cs="Tahoma"/>
          <w:sz w:val="18"/>
          <w:szCs w:val="18"/>
        </w:rPr>
        <w:t>vymezeno: od jihu „Meteorologickou, od východu „Libušskou“, od západu „Novodvo</w:t>
      </w:r>
      <w:r w:rsidR="004E2BA6">
        <w:rPr>
          <w:rFonts w:asciiTheme="majorHAnsi" w:eastAsia="Tahoma" w:hAnsiTheme="majorHAnsi" w:cs="Tahoma"/>
          <w:sz w:val="18"/>
          <w:szCs w:val="18"/>
        </w:rPr>
        <w:t>rskou“ a na severu „Mirotickou“</w:t>
      </w:r>
    </w:p>
    <w:p w:rsidR="00A44BCA" w:rsidRPr="002B33CD" w:rsidRDefault="00E87BB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hAnsiTheme="majorHAnsi"/>
        </w:rPr>
      </w:pPr>
      <w:proofErr w:type="gramStart"/>
      <w:r w:rsidRPr="002B33CD">
        <w:rPr>
          <w:rFonts w:asciiTheme="majorHAnsi" w:eastAsia="Tahoma" w:hAnsiTheme="majorHAnsi" w:cs="Tahoma"/>
          <w:sz w:val="18"/>
          <w:szCs w:val="18"/>
        </w:rPr>
        <w:t>CS 3  oblast</w:t>
      </w:r>
      <w:proofErr w:type="gramEnd"/>
      <w:r w:rsidRPr="002B33CD">
        <w:rPr>
          <w:rFonts w:asciiTheme="majorHAnsi" w:eastAsia="Tahoma" w:hAnsiTheme="majorHAnsi" w:cs="Tahoma"/>
          <w:sz w:val="18"/>
          <w:szCs w:val="18"/>
        </w:rPr>
        <w:t xml:space="preserve"> “</w:t>
      </w:r>
      <w:proofErr w:type="spellStart"/>
      <w:r w:rsidRPr="002B33CD">
        <w:rPr>
          <w:rFonts w:asciiTheme="majorHAnsi" w:eastAsia="Tahoma" w:hAnsiTheme="majorHAnsi" w:cs="Tahoma"/>
          <w:sz w:val="18"/>
          <w:szCs w:val="18"/>
        </w:rPr>
        <w:t>severo</w:t>
      </w:r>
      <w:proofErr w:type="spellEnd"/>
      <w:r w:rsidRPr="002B33CD">
        <w:rPr>
          <w:rFonts w:asciiTheme="majorHAnsi" w:eastAsia="Tahoma" w:hAnsiTheme="majorHAnsi" w:cs="Tahoma"/>
          <w:sz w:val="18"/>
          <w:szCs w:val="18"/>
        </w:rPr>
        <w:t>-západ od sídliště” – vymezeno: od jihu „Smotlachovou“, od východu „Novodvorskou“ a od Severu/</w:t>
      </w:r>
      <w:r w:rsidR="004E2BA6">
        <w:rPr>
          <w:rFonts w:asciiTheme="majorHAnsi" w:eastAsia="Tahoma" w:hAnsiTheme="majorHAnsi" w:cs="Tahoma"/>
          <w:sz w:val="18"/>
          <w:szCs w:val="18"/>
        </w:rPr>
        <w:t>západu „Šatrova“ a „U Vodojemu“</w:t>
      </w:r>
    </w:p>
    <w:p w:rsidR="002B33CD" w:rsidRDefault="002B33CD" w:rsidP="002B33CD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eastAsia="Tahoma" w:hAnsiTheme="majorHAnsi" w:cs="Tahoma"/>
          <w:sz w:val="18"/>
          <w:szCs w:val="18"/>
        </w:rPr>
      </w:pPr>
    </w:p>
    <w:p w:rsidR="002B33CD" w:rsidRPr="002B33CD" w:rsidRDefault="002B33CD" w:rsidP="004E2BA6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440"/>
        <w:rPr>
          <w:rFonts w:asciiTheme="majorHAnsi" w:hAnsiTheme="majorHAnsi"/>
        </w:rPr>
      </w:pPr>
      <w:r>
        <w:rPr>
          <w:rFonts w:asciiTheme="majorHAnsi" w:eastAsia="Tahoma" w:hAnsiTheme="majorHAnsi" w:cs="Tahoma"/>
          <w:noProof/>
          <w:sz w:val="18"/>
          <w:szCs w:val="18"/>
        </w:rPr>
        <w:drawing>
          <wp:inline distT="0" distB="0" distL="0" distR="0" wp14:anchorId="134927B2" wp14:editId="78849062">
            <wp:extent cx="4069682" cy="2880000"/>
            <wp:effectExtent l="0" t="0" r="7620" b="0"/>
            <wp:docPr id="2" name="Obrázek 2" descr="C:\Users\Pavel\Disk Google\Klienti\IPR-Sociores\IPR_Sociores_Libus\kamyk_cilovk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vel\Disk Google\Klienti\IPR-Sociores\IPR_Sociores_Libus\kamyk_cilovky.pn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682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BCA" w:rsidRPr="002B33CD" w:rsidRDefault="00E87BB7" w:rsidP="00682F3D">
      <w:pPr>
        <w:pStyle w:val="Nadpis2"/>
        <w:numPr>
          <w:ilvl w:val="1"/>
          <w:numId w:val="2"/>
        </w:numPr>
        <w:rPr>
          <w:rFonts w:asciiTheme="majorHAnsi" w:hAnsiTheme="majorHAnsi"/>
        </w:rPr>
      </w:pPr>
      <w:bookmarkStart w:id="6" w:name="_3dy6vkm" w:colFirst="0" w:colLast="0"/>
      <w:bookmarkStart w:id="7" w:name="_dcn9o6l10m0l" w:colFirst="0" w:colLast="0"/>
      <w:bookmarkEnd w:id="6"/>
      <w:bookmarkEnd w:id="7"/>
      <w:r w:rsidRPr="002B33CD">
        <w:rPr>
          <w:rFonts w:asciiTheme="majorHAnsi" w:hAnsiTheme="majorHAnsi"/>
        </w:rPr>
        <w:t>Velikost výběrového vzorku</w:t>
      </w:r>
    </w:p>
    <w:p w:rsidR="00A44BCA" w:rsidRPr="002B33CD" w:rsidRDefault="00E87BB7" w:rsidP="00DC7A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eastAsia="Tahoma" w:hAnsiTheme="majorHAnsi" w:cs="Tahoma"/>
          <w:sz w:val="18"/>
          <w:szCs w:val="18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>Pilotní šetření: 1</w:t>
      </w:r>
      <w:r w:rsidR="004A1000">
        <w:rPr>
          <w:rFonts w:asciiTheme="majorHAnsi" w:eastAsia="Tahoma" w:hAnsiTheme="majorHAnsi" w:cs="Tahoma"/>
          <w:sz w:val="18"/>
          <w:szCs w:val="18"/>
        </w:rPr>
        <w:t>0</w:t>
      </w:r>
      <w:r w:rsidRPr="002B33CD">
        <w:rPr>
          <w:rFonts w:asciiTheme="majorHAnsi" w:eastAsia="Tahoma" w:hAnsiTheme="majorHAnsi" w:cs="Tahoma"/>
          <w:sz w:val="18"/>
          <w:szCs w:val="18"/>
        </w:rPr>
        <w:t>-50 respondentů</w:t>
      </w:r>
    </w:p>
    <w:p w:rsidR="00A44BCA" w:rsidRPr="002B33CD" w:rsidRDefault="00E87BB7" w:rsidP="00DC7A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eastAsia="Tahoma" w:hAnsiTheme="majorHAnsi" w:cs="Tahoma"/>
          <w:sz w:val="18"/>
          <w:szCs w:val="18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>Hlavní šetření:</w:t>
      </w:r>
    </w:p>
    <w:tbl>
      <w:tblPr>
        <w:tblW w:w="9142" w:type="dxa"/>
        <w:tblInd w:w="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1"/>
        <w:gridCol w:w="1352"/>
        <w:gridCol w:w="1983"/>
        <w:gridCol w:w="1983"/>
        <w:gridCol w:w="1983"/>
      </w:tblGrid>
      <w:tr w:rsidR="00A13320" w:rsidRPr="005866A3" w:rsidTr="00CA0998">
        <w:trPr>
          <w:trHeight w:val="282"/>
        </w:trPr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20" w:rsidRPr="005866A3" w:rsidRDefault="00A13320" w:rsidP="005866A3">
            <w:pPr>
              <w:spacing w:before="0"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5866A3">
              <w:rPr>
                <w:rFonts w:asciiTheme="majorHAnsi" w:eastAsia="Times New Roman" w:hAnsiTheme="majorHAnsi" w:cs="Times New Roman"/>
                <w:sz w:val="18"/>
                <w:szCs w:val="18"/>
              </w:rPr>
              <w:t> </w:t>
            </w:r>
          </w:p>
        </w:tc>
        <w:tc>
          <w:tcPr>
            <w:tcW w:w="531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13320" w:rsidRPr="005866A3" w:rsidRDefault="00A13320" w:rsidP="005866A3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  <w:t>Velikost výběrového vzorku</w:t>
            </w:r>
          </w:p>
        </w:tc>
        <w:tc>
          <w:tcPr>
            <w:tcW w:w="19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320" w:rsidRPr="005018BF" w:rsidRDefault="00A13320" w:rsidP="005866A3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i/>
                <w:sz w:val="18"/>
                <w:szCs w:val="18"/>
              </w:rPr>
            </w:pPr>
            <w:r w:rsidRPr="005018BF">
              <w:rPr>
                <w:rFonts w:asciiTheme="majorHAnsi" w:eastAsia="Times New Roman" w:hAnsiTheme="majorHAnsi" w:cs="Times New Roman"/>
                <w:b/>
                <w:bCs/>
                <w:i/>
                <w:sz w:val="18"/>
                <w:szCs w:val="18"/>
              </w:rPr>
              <w:t>Počet obyvatel ve věku 15+ v cílové skupině</w:t>
            </w:r>
          </w:p>
        </w:tc>
      </w:tr>
      <w:tr w:rsidR="00A13320" w:rsidRPr="005866A3" w:rsidTr="00CA0998">
        <w:trPr>
          <w:trHeight w:val="282"/>
        </w:trPr>
        <w:tc>
          <w:tcPr>
            <w:tcW w:w="1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320" w:rsidRPr="005866A3" w:rsidRDefault="00A13320" w:rsidP="005866A3">
            <w:pPr>
              <w:spacing w:before="0"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320" w:rsidRPr="005866A3" w:rsidRDefault="00A13320" w:rsidP="008B1B6B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</w:pPr>
            <w:r w:rsidRPr="002B33C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  <w:t xml:space="preserve">Var. </w:t>
            </w:r>
            <w:r w:rsidRPr="005866A3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320" w:rsidRPr="005866A3" w:rsidRDefault="00A13320" w:rsidP="008B1B6B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</w:pPr>
            <w:r w:rsidRPr="002B33C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  <w:t xml:space="preserve">Var. </w:t>
            </w:r>
            <w:r w:rsidRPr="005866A3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13320" w:rsidRPr="005866A3" w:rsidRDefault="00A13320" w:rsidP="008B1B6B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</w:pPr>
            <w:r w:rsidRPr="002B33C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  <w:t xml:space="preserve">Var. </w:t>
            </w:r>
            <w:r w:rsidRPr="005866A3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98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320" w:rsidRPr="005018BF" w:rsidRDefault="00A13320" w:rsidP="005866A3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i/>
                <w:sz w:val="18"/>
                <w:szCs w:val="18"/>
              </w:rPr>
            </w:pPr>
          </w:p>
        </w:tc>
      </w:tr>
      <w:tr w:rsidR="00A13320" w:rsidRPr="005866A3" w:rsidTr="00CA0998">
        <w:trPr>
          <w:trHeight w:val="282"/>
        </w:trPr>
        <w:tc>
          <w:tcPr>
            <w:tcW w:w="1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20" w:rsidRPr="005866A3" w:rsidRDefault="00A13320" w:rsidP="005866A3">
            <w:pPr>
              <w:spacing w:before="0"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</w:pPr>
            <w:r w:rsidRPr="005866A3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  <w:t>CS 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20" w:rsidRPr="005866A3" w:rsidRDefault="00A13320" w:rsidP="005866A3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5866A3">
              <w:rPr>
                <w:rFonts w:asciiTheme="majorHAnsi" w:eastAsia="Times New Roman" w:hAnsiTheme="majorHAnsi" w:cs="Times New Roman"/>
                <w:sz w:val="18"/>
                <w:szCs w:val="18"/>
              </w:rPr>
              <w:t>220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20" w:rsidRPr="005866A3" w:rsidRDefault="00A13320" w:rsidP="005866A3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5866A3">
              <w:rPr>
                <w:rFonts w:asciiTheme="majorHAnsi" w:eastAsia="Times New Roman" w:hAnsiTheme="majorHAnsi" w:cs="Times New Roman"/>
                <w:sz w:val="18"/>
                <w:szCs w:val="18"/>
              </w:rPr>
              <w:t>260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13320" w:rsidRPr="005866A3" w:rsidRDefault="00A13320" w:rsidP="005866A3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5866A3">
              <w:rPr>
                <w:rFonts w:asciiTheme="majorHAnsi" w:eastAsia="Times New Roman" w:hAnsiTheme="majorHAnsi" w:cs="Times New Roman"/>
                <w:sz w:val="18"/>
                <w:szCs w:val="18"/>
              </w:rPr>
              <w:t>300</w:t>
            </w:r>
          </w:p>
        </w:tc>
        <w:tc>
          <w:tcPr>
            <w:tcW w:w="198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13320" w:rsidRPr="00A13320" w:rsidRDefault="00A13320" w:rsidP="00CA0998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i/>
                <w:sz w:val="18"/>
                <w:szCs w:val="18"/>
              </w:rPr>
            </w:pPr>
            <w:r w:rsidRPr="00A13320">
              <w:rPr>
                <w:rFonts w:asciiTheme="majorHAnsi" w:eastAsia="Times New Roman" w:hAnsiTheme="majorHAnsi" w:cs="Times New Roman"/>
                <w:i/>
                <w:sz w:val="18"/>
                <w:szCs w:val="18"/>
              </w:rPr>
              <w:t>4079</w:t>
            </w:r>
          </w:p>
        </w:tc>
      </w:tr>
      <w:tr w:rsidR="00A13320" w:rsidRPr="005866A3" w:rsidTr="00CA0998">
        <w:trPr>
          <w:trHeight w:val="282"/>
        </w:trPr>
        <w:tc>
          <w:tcPr>
            <w:tcW w:w="1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20" w:rsidRPr="005866A3" w:rsidRDefault="00A13320" w:rsidP="005866A3">
            <w:pPr>
              <w:spacing w:before="0"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</w:pPr>
            <w:r w:rsidRPr="005866A3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  <w:t>CS 2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20" w:rsidRPr="005866A3" w:rsidRDefault="00A13320" w:rsidP="005866A3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5866A3">
              <w:rPr>
                <w:rFonts w:asciiTheme="majorHAnsi" w:eastAsia="Times New Roman" w:hAnsiTheme="majorHAnsi" w:cs="Times New Roman"/>
                <w:sz w:val="18"/>
                <w:szCs w:val="18"/>
              </w:rPr>
              <w:t>110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20" w:rsidRPr="005866A3" w:rsidRDefault="00A13320" w:rsidP="005866A3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5866A3">
              <w:rPr>
                <w:rFonts w:asciiTheme="majorHAnsi" w:eastAsia="Times New Roman" w:hAnsiTheme="majorHAnsi" w:cs="Times New Roman"/>
                <w:sz w:val="18"/>
                <w:szCs w:val="18"/>
              </w:rPr>
              <w:t>150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13320" w:rsidRPr="005866A3" w:rsidRDefault="00A13320" w:rsidP="005866A3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5866A3">
              <w:rPr>
                <w:rFonts w:asciiTheme="majorHAnsi" w:eastAsia="Times New Roman" w:hAnsiTheme="majorHAnsi" w:cs="Times New Roman"/>
                <w:sz w:val="18"/>
                <w:szCs w:val="18"/>
              </w:rPr>
              <w:t>200</w:t>
            </w:r>
          </w:p>
        </w:tc>
        <w:tc>
          <w:tcPr>
            <w:tcW w:w="198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13320" w:rsidRPr="00A13320" w:rsidRDefault="00A13320" w:rsidP="00CA0998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i/>
                <w:sz w:val="18"/>
                <w:szCs w:val="18"/>
              </w:rPr>
            </w:pPr>
            <w:r w:rsidRPr="00A13320">
              <w:rPr>
                <w:rFonts w:asciiTheme="majorHAnsi" w:eastAsia="Times New Roman" w:hAnsiTheme="majorHAnsi" w:cs="Times New Roman"/>
                <w:i/>
                <w:sz w:val="18"/>
                <w:szCs w:val="18"/>
              </w:rPr>
              <w:t>1453</w:t>
            </w:r>
          </w:p>
        </w:tc>
      </w:tr>
      <w:tr w:rsidR="00A13320" w:rsidRPr="005866A3" w:rsidTr="00CA0998">
        <w:trPr>
          <w:trHeight w:val="282"/>
        </w:trPr>
        <w:tc>
          <w:tcPr>
            <w:tcW w:w="1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20" w:rsidRPr="005866A3" w:rsidRDefault="00A13320" w:rsidP="005866A3">
            <w:pPr>
              <w:spacing w:before="0"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</w:pPr>
            <w:r w:rsidRPr="005866A3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  <w:t>CS 3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20" w:rsidRPr="005866A3" w:rsidRDefault="00A13320" w:rsidP="005866A3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5866A3">
              <w:rPr>
                <w:rFonts w:asciiTheme="majorHAnsi" w:eastAsia="Times New Roman" w:hAnsiTheme="majorHAnsi" w:cs="Times New Roman"/>
                <w:sz w:val="18"/>
                <w:szCs w:val="18"/>
              </w:rPr>
              <w:t>110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20" w:rsidRPr="005866A3" w:rsidRDefault="00A13320" w:rsidP="005866A3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5866A3">
              <w:rPr>
                <w:rFonts w:asciiTheme="majorHAnsi" w:eastAsia="Times New Roman" w:hAnsiTheme="majorHAnsi" w:cs="Times New Roman"/>
                <w:sz w:val="18"/>
                <w:szCs w:val="18"/>
              </w:rPr>
              <w:t>140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13320" w:rsidRPr="005866A3" w:rsidRDefault="00A13320" w:rsidP="005866A3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5866A3">
              <w:rPr>
                <w:rFonts w:asciiTheme="majorHAnsi" w:eastAsia="Times New Roman" w:hAnsiTheme="majorHAnsi" w:cs="Times New Roman"/>
                <w:sz w:val="18"/>
                <w:szCs w:val="18"/>
              </w:rPr>
              <w:t>160</w:t>
            </w:r>
          </w:p>
        </w:tc>
        <w:tc>
          <w:tcPr>
            <w:tcW w:w="198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13320" w:rsidRPr="00A13320" w:rsidRDefault="00A13320" w:rsidP="00CA0998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i/>
                <w:sz w:val="18"/>
                <w:szCs w:val="18"/>
              </w:rPr>
            </w:pPr>
            <w:r w:rsidRPr="00A13320">
              <w:rPr>
                <w:rFonts w:asciiTheme="majorHAnsi" w:eastAsia="Times New Roman" w:hAnsiTheme="majorHAnsi" w:cs="Times New Roman"/>
                <w:i/>
                <w:sz w:val="18"/>
                <w:szCs w:val="18"/>
              </w:rPr>
              <w:t>547</w:t>
            </w:r>
          </w:p>
        </w:tc>
      </w:tr>
      <w:tr w:rsidR="005018BF" w:rsidRPr="005866A3" w:rsidTr="00CA0998">
        <w:trPr>
          <w:trHeight w:val="282"/>
        </w:trPr>
        <w:tc>
          <w:tcPr>
            <w:tcW w:w="18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BF" w:rsidRPr="005866A3" w:rsidRDefault="005018BF" w:rsidP="005866A3">
            <w:pPr>
              <w:spacing w:before="0"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</w:pPr>
            <w:r w:rsidRPr="005866A3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  <w:t>Celkem</w:t>
            </w:r>
            <w:r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  <w:t xml:space="preserve"> nejméně: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BF" w:rsidRPr="005866A3" w:rsidRDefault="005018BF" w:rsidP="005866A3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</w:pPr>
            <w:r w:rsidRPr="005866A3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  <w:t>440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BF" w:rsidRPr="005866A3" w:rsidRDefault="005018BF" w:rsidP="005866A3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</w:pPr>
            <w:r w:rsidRPr="005866A3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  <w:t>550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018BF" w:rsidRPr="005866A3" w:rsidRDefault="005018BF" w:rsidP="005866A3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</w:pPr>
            <w:r w:rsidRPr="005866A3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198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18BF" w:rsidRPr="005018BF" w:rsidRDefault="005018BF" w:rsidP="005866A3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i/>
                <w:sz w:val="18"/>
                <w:szCs w:val="18"/>
              </w:rPr>
            </w:pPr>
          </w:p>
        </w:tc>
      </w:tr>
    </w:tbl>
    <w:p w:rsidR="00E23B8A" w:rsidRPr="002B33CD" w:rsidRDefault="00E23B8A" w:rsidP="00E23B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eastAsia="Tahoma" w:hAnsiTheme="majorHAnsi" w:cs="Tahoma"/>
          <w:sz w:val="18"/>
          <w:szCs w:val="18"/>
        </w:rPr>
      </w:pPr>
      <w:bookmarkStart w:id="8" w:name="_1t3h5sf" w:colFirst="0" w:colLast="0"/>
      <w:bookmarkEnd w:id="8"/>
      <w:r w:rsidRPr="002B33CD">
        <w:rPr>
          <w:rFonts w:asciiTheme="majorHAnsi" w:eastAsia="Tahoma" w:hAnsiTheme="majorHAnsi" w:cs="Tahoma"/>
          <w:sz w:val="18"/>
          <w:szCs w:val="18"/>
        </w:rPr>
        <w:t>Pozn. Struktura vzorků může být v případě vážných důvodů po domluvě se zadavatelem upravena.</w:t>
      </w:r>
      <w:r w:rsidR="00017EFF">
        <w:rPr>
          <w:rFonts w:asciiTheme="majorHAnsi" w:eastAsia="Tahoma" w:hAnsiTheme="majorHAnsi" w:cs="Tahoma"/>
          <w:sz w:val="18"/>
          <w:szCs w:val="18"/>
        </w:rPr>
        <w:t xml:space="preserve"> Celkový minimální počet respondentů musí zůstat shodný.</w:t>
      </w:r>
    </w:p>
    <w:p w:rsidR="00A44BCA" w:rsidRPr="002B33CD" w:rsidRDefault="00E87BB7">
      <w:pPr>
        <w:pStyle w:val="Nadpis2"/>
        <w:numPr>
          <w:ilvl w:val="1"/>
          <w:numId w:val="2"/>
        </w:numPr>
        <w:rPr>
          <w:rFonts w:asciiTheme="majorHAnsi" w:hAnsiTheme="majorHAnsi"/>
        </w:rPr>
      </w:pPr>
      <w:r w:rsidRPr="002B33CD">
        <w:rPr>
          <w:rFonts w:asciiTheme="majorHAnsi" w:hAnsiTheme="majorHAnsi"/>
        </w:rPr>
        <w:lastRenderedPageBreak/>
        <w:t>Metoda výběru</w:t>
      </w:r>
    </w:p>
    <w:p w:rsidR="00A44BCA" w:rsidRPr="002B33CD" w:rsidRDefault="00E87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hAnsiTheme="majorHAnsi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>Kvótní výběr</w:t>
      </w:r>
    </w:p>
    <w:p w:rsidR="00A44BCA" w:rsidRPr="002B33CD" w:rsidRDefault="00E87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hAnsiTheme="majorHAnsi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 xml:space="preserve">Maximální možná hodnota rozdílu mezi četností dílčí kategorie výběrového souboru od četnosti v základním souboru je 6 %. (Nejedná se o křížené kvóty, tj. jde o odchylku pro kategorie jednotlivých kvótních znaků.) </w:t>
      </w:r>
    </w:p>
    <w:p w:rsidR="00A44BCA" w:rsidRPr="002B33CD" w:rsidRDefault="00E87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hAnsiTheme="majorHAnsi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>Sledované znaky jsou:</w:t>
      </w:r>
    </w:p>
    <w:p w:rsidR="00A44BCA" w:rsidRPr="000628DE" w:rsidRDefault="002623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440"/>
        <w:rPr>
          <w:rFonts w:asciiTheme="majorHAnsi" w:eastAsia="Tahoma" w:hAnsiTheme="majorHAnsi" w:cs="Tahoma"/>
          <w:sz w:val="18"/>
          <w:szCs w:val="18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 xml:space="preserve">1) </w:t>
      </w:r>
      <w:r w:rsidR="008B31F7" w:rsidRPr="002B33CD">
        <w:rPr>
          <w:rFonts w:asciiTheme="majorHAnsi" w:eastAsia="Tahoma" w:hAnsiTheme="majorHAnsi" w:cs="Tahoma"/>
          <w:sz w:val="18"/>
          <w:szCs w:val="18"/>
        </w:rPr>
        <w:t>P</w:t>
      </w:r>
      <w:r w:rsidR="00E87BB7" w:rsidRPr="002B33CD">
        <w:rPr>
          <w:rFonts w:asciiTheme="majorHAnsi" w:eastAsia="Tahoma" w:hAnsiTheme="majorHAnsi" w:cs="Tahoma"/>
          <w:sz w:val="18"/>
          <w:szCs w:val="18"/>
        </w:rPr>
        <w:t>ohlaví</w:t>
      </w:r>
    </w:p>
    <w:p w:rsidR="00A44BCA" w:rsidRPr="000628DE" w:rsidRDefault="002623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440"/>
        <w:rPr>
          <w:rFonts w:asciiTheme="majorHAnsi" w:eastAsia="Tahoma" w:hAnsiTheme="majorHAnsi" w:cs="Tahoma"/>
          <w:sz w:val="18"/>
          <w:szCs w:val="18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 xml:space="preserve">2) </w:t>
      </w:r>
      <w:r w:rsidR="008B31F7" w:rsidRPr="002B33CD">
        <w:rPr>
          <w:rFonts w:asciiTheme="majorHAnsi" w:eastAsia="Tahoma" w:hAnsiTheme="majorHAnsi" w:cs="Tahoma"/>
          <w:sz w:val="18"/>
          <w:szCs w:val="18"/>
        </w:rPr>
        <w:t>V</w:t>
      </w:r>
      <w:r w:rsidR="00E87BB7" w:rsidRPr="002B33CD">
        <w:rPr>
          <w:rFonts w:asciiTheme="majorHAnsi" w:eastAsia="Tahoma" w:hAnsiTheme="majorHAnsi" w:cs="Tahoma"/>
          <w:sz w:val="18"/>
          <w:szCs w:val="18"/>
        </w:rPr>
        <w:t>ěk</w:t>
      </w:r>
    </w:p>
    <w:p w:rsidR="00A44BCA" w:rsidRPr="000628DE" w:rsidRDefault="002623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440"/>
        <w:rPr>
          <w:rFonts w:asciiTheme="majorHAnsi" w:eastAsia="Tahoma" w:hAnsiTheme="majorHAnsi" w:cs="Tahoma"/>
          <w:sz w:val="18"/>
          <w:szCs w:val="18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 xml:space="preserve">3) </w:t>
      </w:r>
      <w:r w:rsidR="008B31F7" w:rsidRPr="002B33CD">
        <w:rPr>
          <w:rFonts w:asciiTheme="majorHAnsi" w:eastAsia="Tahoma" w:hAnsiTheme="majorHAnsi" w:cs="Tahoma"/>
          <w:sz w:val="18"/>
          <w:szCs w:val="18"/>
        </w:rPr>
        <w:t>V</w:t>
      </w:r>
      <w:r w:rsidR="00E87BB7" w:rsidRPr="002B33CD">
        <w:rPr>
          <w:rFonts w:asciiTheme="majorHAnsi" w:eastAsia="Tahoma" w:hAnsiTheme="majorHAnsi" w:cs="Tahoma"/>
          <w:sz w:val="18"/>
          <w:szCs w:val="18"/>
        </w:rPr>
        <w:t>zdělání</w:t>
      </w:r>
    </w:p>
    <w:p w:rsidR="00A44BCA" w:rsidRPr="002B33CD" w:rsidRDefault="00E87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hAnsiTheme="majorHAnsi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>Hodnoty pro základní soubor dle posledních dostupných údajů ČSÚ pro:</w:t>
      </w:r>
    </w:p>
    <w:p w:rsidR="00B82916" w:rsidRPr="002B33CD" w:rsidRDefault="00E87BB7" w:rsidP="00B82916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080"/>
        <w:rPr>
          <w:rFonts w:asciiTheme="majorHAnsi" w:eastAsia="Tahoma" w:hAnsiTheme="majorHAnsi" w:cs="Tahoma"/>
          <w:b/>
          <w:sz w:val="18"/>
          <w:szCs w:val="18"/>
        </w:rPr>
      </w:pPr>
      <w:r w:rsidRPr="002B33CD">
        <w:rPr>
          <w:rFonts w:asciiTheme="majorHAnsi" w:eastAsia="Tahoma" w:hAnsiTheme="majorHAnsi" w:cs="Tahoma"/>
          <w:b/>
          <w:sz w:val="18"/>
          <w:szCs w:val="18"/>
        </w:rPr>
        <w:t>1) Pohlaví</w:t>
      </w:r>
      <w:r w:rsidR="00B82916" w:rsidRPr="002B33CD">
        <w:rPr>
          <w:rFonts w:asciiTheme="majorHAnsi" w:eastAsia="Tahoma" w:hAnsiTheme="majorHAnsi" w:cs="Tahoma"/>
          <w:b/>
          <w:sz w:val="18"/>
          <w:szCs w:val="18"/>
        </w:rPr>
        <w:t xml:space="preserve"> a </w:t>
      </w:r>
      <w:r w:rsidRPr="002B33CD">
        <w:rPr>
          <w:rFonts w:asciiTheme="majorHAnsi" w:eastAsia="Tahoma" w:hAnsiTheme="majorHAnsi" w:cs="Tahoma"/>
          <w:b/>
          <w:sz w:val="18"/>
          <w:szCs w:val="18"/>
        </w:rPr>
        <w:t>2) Věk</w:t>
      </w:r>
      <w:r w:rsidR="00B82916" w:rsidRPr="002B33CD">
        <w:rPr>
          <w:rFonts w:asciiTheme="majorHAnsi" w:eastAsia="Tahoma" w:hAnsiTheme="majorHAnsi" w:cs="Tahoma"/>
          <w:b/>
          <w:sz w:val="18"/>
          <w:szCs w:val="18"/>
        </w:rPr>
        <w:t>:</w:t>
      </w:r>
    </w:p>
    <w:p w:rsidR="00B82916" w:rsidRPr="002B33CD" w:rsidRDefault="0039664A" w:rsidP="00401D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440"/>
        <w:rPr>
          <w:rFonts w:asciiTheme="majorHAnsi" w:eastAsia="Tahoma" w:hAnsiTheme="majorHAnsi" w:cs="Tahoma"/>
          <w:sz w:val="18"/>
          <w:szCs w:val="18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 xml:space="preserve">jde </w:t>
      </w:r>
      <w:r w:rsidR="00B82916" w:rsidRPr="002B33CD">
        <w:rPr>
          <w:rFonts w:asciiTheme="majorHAnsi" w:eastAsia="Tahoma" w:hAnsiTheme="majorHAnsi" w:cs="Tahoma"/>
          <w:sz w:val="18"/>
          <w:szCs w:val="18"/>
        </w:rPr>
        <w:t xml:space="preserve">křížené kvóty, tj. jde o odchylku pro </w:t>
      </w:r>
      <w:r w:rsidRPr="002B33CD">
        <w:rPr>
          <w:rFonts w:asciiTheme="majorHAnsi" w:eastAsia="Tahoma" w:hAnsiTheme="majorHAnsi" w:cs="Tahoma"/>
          <w:sz w:val="18"/>
          <w:szCs w:val="18"/>
        </w:rPr>
        <w:t xml:space="preserve">křížené </w:t>
      </w:r>
      <w:r w:rsidR="00B82916" w:rsidRPr="002B33CD">
        <w:rPr>
          <w:rFonts w:asciiTheme="majorHAnsi" w:eastAsia="Tahoma" w:hAnsiTheme="majorHAnsi" w:cs="Tahoma"/>
          <w:sz w:val="18"/>
          <w:szCs w:val="18"/>
        </w:rPr>
        <w:t xml:space="preserve">kategorie </w:t>
      </w:r>
      <w:r w:rsidR="008B31F7" w:rsidRPr="002B33CD">
        <w:rPr>
          <w:rFonts w:asciiTheme="majorHAnsi" w:eastAsia="Tahoma" w:hAnsiTheme="majorHAnsi" w:cs="Tahoma"/>
          <w:sz w:val="18"/>
          <w:szCs w:val="18"/>
        </w:rPr>
        <w:t xml:space="preserve">věku a pohlaví </w:t>
      </w:r>
      <w:r w:rsidRPr="002B33CD">
        <w:rPr>
          <w:rFonts w:asciiTheme="majorHAnsi" w:eastAsia="Tahoma" w:hAnsiTheme="majorHAnsi" w:cs="Tahoma"/>
          <w:sz w:val="18"/>
          <w:szCs w:val="18"/>
        </w:rPr>
        <w:t>pro každou CS skupinu samostatně</w:t>
      </w:r>
      <w:r w:rsidR="008B31F7" w:rsidRPr="002B33CD">
        <w:rPr>
          <w:rFonts w:asciiTheme="majorHAnsi" w:eastAsia="Tahoma" w:hAnsiTheme="majorHAnsi" w:cs="Tahoma"/>
          <w:sz w:val="18"/>
          <w:szCs w:val="18"/>
        </w:rPr>
        <w:t xml:space="preserve"> viz tabulka níže</w:t>
      </w:r>
      <w:r w:rsidRPr="002B33CD">
        <w:rPr>
          <w:rFonts w:asciiTheme="majorHAnsi" w:eastAsia="Tahoma" w:hAnsiTheme="majorHAnsi" w:cs="Tahoma"/>
          <w:sz w:val="18"/>
          <w:szCs w:val="18"/>
        </w:rPr>
        <w:t>,</w:t>
      </w:r>
    </w:p>
    <w:p w:rsidR="00B82916" w:rsidRPr="002B33CD" w:rsidRDefault="0039664A" w:rsidP="00401D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440"/>
        <w:rPr>
          <w:rFonts w:asciiTheme="majorHAnsi" w:eastAsia="Tahoma" w:hAnsiTheme="majorHAnsi" w:cs="Tahoma"/>
          <w:sz w:val="18"/>
          <w:szCs w:val="18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 xml:space="preserve">maximální možná hodnota rozdílu mezi četností dílčí kategorie výběrového souboru od četnosti </w:t>
      </w:r>
      <w:r w:rsidR="007C7565" w:rsidRPr="002B33CD">
        <w:rPr>
          <w:rFonts w:asciiTheme="majorHAnsi" w:eastAsia="Tahoma" w:hAnsiTheme="majorHAnsi" w:cs="Tahoma"/>
          <w:sz w:val="18"/>
          <w:szCs w:val="18"/>
        </w:rPr>
        <w:t xml:space="preserve">níže uvedené pro základní soubor </w:t>
      </w:r>
      <w:r w:rsidRPr="002B33CD">
        <w:rPr>
          <w:rFonts w:asciiTheme="majorHAnsi" w:eastAsia="Tahoma" w:hAnsiTheme="majorHAnsi" w:cs="Tahoma"/>
          <w:sz w:val="18"/>
          <w:szCs w:val="18"/>
        </w:rPr>
        <w:t xml:space="preserve">je </w:t>
      </w:r>
      <w:r w:rsidR="00AC3480" w:rsidRPr="002B33CD">
        <w:rPr>
          <w:rFonts w:asciiTheme="majorHAnsi" w:eastAsia="Tahoma" w:hAnsiTheme="majorHAnsi" w:cs="Tahoma"/>
          <w:sz w:val="18"/>
          <w:szCs w:val="18"/>
        </w:rPr>
        <w:t>4</w:t>
      </w:r>
      <w:r w:rsidRPr="002B33CD">
        <w:rPr>
          <w:rFonts w:asciiTheme="majorHAnsi" w:eastAsia="Tahoma" w:hAnsiTheme="majorHAnsi" w:cs="Tahoma"/>
          <w:sz w:val="18"/>
          <w:szCs w:val="18"/>
        </w:rPr>
        <w:t xml:space="preserve"> %.</w:t>
      </w:r>
    </w:p>
    <w:tbl>
      <w:tblPr>
        <w:tblW w:w="7155" w:type="dxa"/>
        <w:tblInd w:w="2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"/>
        <w:gridCol w:w="1063"/>
        <w:gridCol w:w="881"/>
        <w:gridCol w:w="881"/>
        <w:gridCol w:w="881"/>
        <w:gridCol w:w="881"/>
        <w:gridCol w:w="941"/>
        <w:gridCol w:w="726"/>
      </w:tblGrid>
      <w:tr w:rsidR="002B33CD" w:rsidRPr="002B33CD" w:rsidTr="00C7067D">
        <w:trPr>
          <w:trHeight w:val="282"/>
        </w:trPr>
        <w:tc>
          <w:tcPr>
            <w:tcW w:w="9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664A" w:rsidRPr="002B33CD" w:rsidRDefault="0039664A" w:rsidP="00C7067D">
            <w:pPr>
              <w:spacing w:before="0" w:after="0" w:line="240" w:lineRule="auto"/>
              <w:ind w:left="720"/>
              <w:rPr>
                <w:rFonts w:asciiTheme="majorHAnsi" w:eastAsia="Times New Roman" w:hAnsiTheme="majorHAnsi" w:cs="Times New Roman"/>
                <w:iCs/>
                <w:sz w:val="18"/>
                <w:szCs w:val="18"/>
              </w:rPr>
            </w:pPr>
            <w:r w:rsidRPr="00B82916">
              <w:rPr>
                <w:rFonts w:asciiTheme="majorHAnsi" w:eastAsia="Times New Roman" w:hAnsiTheme="majorHAnsi" w:cs="Times New Roman"/>
                <w:iCs/>
                <w:sz w:val="18"/>
                <w:szCs w:val="18"/>
              </w:rPr>
              <w:t> </w:t>
            </w:r>
          </w:p>
          <w:p w:rsidR="0039664A" w:rsidRPr="00B82916" w:rsidRDefault="0039664A" w:rsidP="00B82916">
            <w:pPr>
              <w:spacing w:before="0" w:after="0" w:line="240" w:lineRule="auto"/>
              <w:rPr>
                <w:rFonts w:asciiTheme="majorHAnsi" w:eastAsia="Times New Roman" w:hAnsiTheme="majorHAnsi" w:cs="Times New Roman"/>
                <w:iCs/>
                <w:sz w:val="18"/>
                <w:szCs w:val="18"/>
              </w:rPr>
            </w:pPr>
            <w:r w:rsidRPr="00B82916">
              <w:rPr>
                <w:rFonts w:asciiTheme="majorHAnsi" w:eastAsia="Times New Roman" w:hAnsiTheme="majorHAnsi" w:cs="Times New Roman"/>
                <w:iCs/>
                <w:sz w:val="18"/>
                <w:szCs w:val="18"/>
              </w:rPr>
              <w:t> </w:t>
            </w:r>
          </w:p>
        </w:tc>
        <w:tc>
          <w:tcPr>
            <w:tcW w:w="6254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664A" w:rsidRPr="00B82916" w:rsidRDefault="0039664A" w:rsidP="008B19FC">
            <w:pPr>
              <w:spacing w:before="0"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B82916">
              <w:rPr>
                <w:rFonts w:asciiTheme="majorHAnsi" w:eastAsia="Times New Roman" w:hAnsiTheme="majorHAnsi" w:cs="Times New Roman"/>
                <w:iCs/>
                <w:sz w:val="18"/>
                <w:szCs w:val="18"/>
              </w:rPr>
              <w:t>Věková kategorie</w:t>
            </w:r>
            <w:r w:rsidRPr="00B82916">
              <w:rPr>
                <w:rFonts w:asciiTheme="majorHAnsi" w:eastAsia="Times New Roman" w:hAnsiTheme="majorHAnsi" w:cs="Times New Roman"/>
                <w:sz w:val="18"/>
                <w:szCs w:val="18"/>
              </w:rPr>
              <w:t> </w:t>
            </w:r>
          </w:p>
        </w:tc>
      </w:tr>
      <w:tr w:rsidR="002B33CD" w:rsidRPr="002B33CD" w:rsidTr="00C7067D">
        <w:trPr>
          <w:trHeight w:val="282"/>
        </w:trPr>
        <w:tc>
          <w:tcPr>
            <w:tcW w:w="9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664A" w:rsidRPr="00B82916" w:rsidRDefault="0039664A" w:rsidP="00B82916">
            <w:pPr>
              <w:spacing w:before="0" w:after="0" w:line="240" w:lineRule="auto"/>
              <w:rPr>
                <w:rFonts w:asciiTheme="majorHAnsi" w:eastAsia="Times New Roman" w:hAnsiTheme="majorHAnsi" w:cs="Times New Roman"/>
                <w:iCs/>
                <w:sz w:val="18"/>
                <w:szCs w:val="18"/>
              </w:rPr>
            </w:pPr>
          </w:p>
        </w:tc>
        <w:tc>
          <w:tcPr>
            <w:tcW w:w="19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664A" w:rsidRPr="00B82916" w:rsidRDefault="0039664A" w:rsidP="00F17722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iCs/>
                <w:sz w:val="18"/>
                <w:szCs w:val="18"/>
              </w:rPr>
            </w:pPr>
            <w:r w:rsidRPr="00B82916">
              <w:rPr>
                <w:rFonts w:asciiTheme="majorHAnsi" w:eastAsia="Times New Roman" w:hAnsiTheme="majorHAnsi" w:cs="Times New Roman"/>
                <w:iCs/>
                <w:sz w:val="18"/>
                <w:szCs w:val="18"/>
              </w:rPr>
              <w:t>15-18</w:t>
            </w:r>
          </w:p>
        </w:tc>
        <w:tc>
          <w:tcPr>
            <w:tcW w:w="17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664A" w:rsidRPr="00B82916" w:rsidRDefault="0039664A" w:rsidP="00F17722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iCs/>
                <w:sz w:val="18"/>
                <w:szCs w:val="18"/>
              </w:rPr>
            </w:pPr>
            <w:r w:rsidRPr="00B82916">
              <w:rPr>
                <w:rFonts w:asciiTheme="majorHAnsi" w:eastAsia="Times New Roman" w:hAnsiTheme="majorHAnsi" w:cs="Times New Roman"/>
                <w:iCs/>
                <w:sz w:val="18"/>
                <w:szCs w:val="18"/>
              </w:rPr>
              <w:t>19-64</w:t>
            </w:r>
          </w:p>
        </w:tc>
        <w:tc>
          <w:tcPr>
            <w:tcW w:w="18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664A" w:rsidRPr="00B82916" w:rsidRDefault="0039664A" w:rsidP="00F17722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iCs/>
                <w:sz w:val="18"/>
                <w:szCs w:val="18"/>
              </w:rPr>
            </w:pPr>
            <w:r w:rsidRPr="00B82916">
              <w:rPr>
                <w:rFonts w:asciiTheme="majorHAnsi" w:eastAsia="Times New Roman" w:hAnsiTheme="majorHAnsi" w:cs="Times New Roman"/>
                <w:iCs/>
                <w:sz w:val="18"/>
                <w:szCs w:val="18"/>
              </w:rPr>
              <w:t>65 a více</w:t>
            </w:r>
          </w:p>
        </w:tc>
        <w:tc>
          <w:tcPr>
            <w:tcW w:w="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664A" w:rsidRPr="00B82916" w:rsidRDefault="0039664A" w:rsidP="00F17722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iCs/>
                <w:sz w:val="18"/>
                <w:szCs w:val="18"/>
              </w:rPr>
            </w:pPr>
            <w:r w:rsidRPr="002B33CD">
              <w:rPr>
                <w:rFonts w:asciiTheme="majorHAnsi" w:eastAsia="Times New Roman" w:hAnsiTheme="majorHAnsi" w:cs="Times New Roman"/>
                <w:iCs/>
                <w:sz w:val="18"/>
                <w:szCs w:val="18"/>
              </w:rPr>
              <w:t>Celkem</w:t>
            </w:r>
          </w:p>
        </w:tc>
      </w:tr>
      <w:tr w:rsidR="002B33CD" w:rsidRPr="002B33CD" w:rsidTr="00C7067D">
        <w:trPr>
          <w:trHeight w:val="282"/>
        </w:trPr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82916" w:rsidRPr="00B82916" w:rsidRDefault="00B82916" w:rsidP="00B82916">
            <w:pPr>
              <w:spacing w:before="0" w:after="0" w:line="240" w:lineRule="auto"/>
              <w:rPr>
                <w:rFonts w:asciiTheme="majorHAnsi" w:eastAsia="Times New Roman" w:hAnsiTheme="majorHAnsi" w:cs="Times New Roman"/>
                <w:iCs/>
                <w:sz w:val="18"/>
                <w:szCs w:val="18"/>
              </w:rPr>
            </w:pPr>
            <w:r w:rsidRPr="00B82916">
              <w:rPr>
                <w:rFonts w:asciiTheme="majorHAnsi" w:eastAsia="Times New Roman" w:hAnsiTheme="majorHAnsi" w:cs="Times New Roman"/>
                <w:iCs/>
                <w:sz w:val="18"/>
                <w:szCs w:val="18"/>
              </w:rPr>
              <w:t>Oblast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16" w:rsidRPr="00B82916" w:rsidRDefault="00B82916" w:rsidP="00B82916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iCs/>
                <w:sz w:val="18"/>
                <w:szCs w:val="18"/>
              </w:rPr>
            </w:pPr>
            <w:r w:rsidRPr="00B82916">
              <w:rPr>
                <w:rFonts w:asciiTheme="majorHAnsi" w:eastAsia="Times New Roman" w:hAnsiTheme="majorHAnsi" w:cs="Times New Roman"/>
                <w:iCs/>
                <w:sz w:val="18"/>
                <w:szCs w:val="18"/>
              </w:rPr>
              <w:t>muži</w:t>
            </w:r>
          </w:p>
        </w:tc>
        <w:tc>
          <w:tcPr>
            <w:tcW w:w="88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82916" w:rsidRPr="00B82916" w:rsidRDefault="00B82916" w:rsidP="00F17722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iCs/>
                <w:sz w:val="18"/>
                <w:szCs w:val="18"/>
              </w:rPr>
            </w:pPr>
            <w:r w:rsidRPr="00B82916">
              <w:rPr>
                <w:rFonts w:asciiTheme="majorHAnsi" w:eastAsia="Times New Roman" w:hAnsiTheme="majorHAnsi" w:cs="Times New Roman"/>
                <w:iCs/>
                <w:sz w:val="18"/>
                <w:szCs w:val="18"/>
              </w:rPr>
              <w:t>ženy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916" w:rsidRPr="00B82916" w:rsidRDefault="00B82916" w:rsidP="00F17722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iCs/>
                <w:sz w:val="18"/>
                <w:szCs w:val="18"/>
              </w:rPr>
            </w:pPr>
            <w:r w:rsidRPr="00B82916">
              <w:rPr>
                <w:rFonts w:asciiTheme="majorHAnsi" w:eastAsia="Times New Roman" w:hAnsiTheme="majorHAnsi" w:cs="Times New Roman"/>
                <w:iCs/>
                <w:sz w:val="18"/>
                <w:szCs w:val="18"/>
              </w:rPr>
              <w:t>muži</w:t>
            </w:r>
          </w:p>
        </w:tc>
        <w:tc>
          <w:tcPr>
            <w:tcW w:w="88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82916" w:rsidRPr="00B82916" w:rsidRDefault="00B82916" w:rsidP="00F17722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iCs/>
                <w:sz w:val="18"/>
                <w:szCs w:val="18"/>
              </w:rPr>
            </w:pPr>
            <w:r w:rsidRPr="00B82916">
              <w:rPr>
                <w:rFonts w:asciiTheme="majorHAnsi" w:eastAsia="Times New Roman" w:hAnsiTheme="majorHAnsi" w:cs="Times New Roman"/>
                <w:iCs/>
                <w:sz w:val="18"/>
                <w:szCs w:val="18"/>
              </w:rPr>
              <w:t>ženy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916" w:rsidRPr="00B82916" w:rsidRDefault="00B82916" w:rsidP="00F17722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iCs/>
                <w:sz w:val="18"/>
                <w:szCs w:val="18"/>
              </w:rPr>
            </w:pPr>
            <w:r w:rsidRPr="00B82916">
              <w:rPr>
                <w:rFonts w:asciiTheme="majorHAnsi" w:eastAsia="Times New Roman" w:hAnsiTheme="majorHAnsi" w:cs="Times New Roman"/>
                <w:iCs/>
                <w:sz w:val="18"/>
                <w:szCs w:val="18"/>
              </w:rPr>
              <w:t>muži</w:t>
            </w:r>
          </w:p>
        </w:tc>
        <w:tc>
          <w:tcPr>
            <w:tcW w:w="94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82916" w:rsidRPr="00B82916" w:rsidRDefault="00B82916" w:rsidP="00F17722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iCs/>
                <w:sz w:val="18"/>
                <w:szCs w:val="18"/>
              </w:rPr>
            </w:pPr>
            <w:r w:rsidRPr="00B82916">
              <w:rPr>
                <w:rFonts w:asciiTheme="majorHAnsi" w:eastAsia="Times New Roman" w:hAnsiTheme="majorHAnsi" w:cs="Times New Roman"/>
                <w:iCs/>
                <w:sz w:val="18"/>
                <w:szCs w:val="18"/>
              </w:rPr>
              <w:t>ženy</w:t>
            </w:r>
          </w:p>
        </w:tc>
        <w:tc>
          <w:tcPr>
            <w:tcW w:w="7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82916" w:rsidRPr="00B82916" w:rsidRDefault="00B82916" w:rsidP="00F17722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iCs/>
                <w:sz w:val="18"/>
                <w:szCs w:val="18"/>
              </w:rPr>
            </w:pPr>
          </w:p>
        </w:tc>
      </w:tr>
      <w:tr w:rsidR="002B33CD" w:rsidRPr="002B33CD" w:rsidTr="0029371C">
        <w:trPr>
          <w:trHeight w:val="282"/>
        </w:trPr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82916" w:rsidRPr="00B82916" w:rsidRDefault="00B82916" w:rsidP="00B82916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</w:pPr>
            <w:r w:rsidRPr="00B82916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  <w:t>CS 1</w:t>
            </w:r>
          </w:p>
        </w:tc>
        <w:tc>
          <w:tcPr>
            <w:tcW w:w="106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16" w:rsidRPr="00B82916" w:rsidRDefault="00B82916" w:rsidP="0029371C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B82916">
              <w:rPr>
                <w:rFonts w:asciiTheme="majorHAnsi" w:eastAsia="Times New Roman" w:hAnsiTheme="majorHAnsi" w:cs="Times New Roman"/>
                <w:sz w:val="18"/>
                <w:szCs w:val="18"/>
              </w:rPr>
              <w:t>2%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82916" w:rsidRPr="00B82916" w:rsidRDefault="00B82916" w:rsidP="0029371C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B82916">
              <w:rPr>
                <w:rFonts w:asciiTheme="majorHAnsi" w:eastAsia="Times New Roman" w:hAnsiTheme="majorHAnsi" w:cs="Times New Roman"/>
                <w:sz w:val="18"/>
                <w:szCs w:val="18"/>
              </w:rPr>
              <w:t>1%</w:t>
            </w:r>
          </w:p>
        </w:tc>
        <w:tc>
          <w:tcPr>
            <w:tcW w:w="8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16" w:rsidRPr="00B82916" w:rsidRDefault="00B82916" w:rsidP="0029371C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B82916">
              <w:rPr>
                <w:rFonts w:asciiTheme="majorHAnsi" w:eastAsia="Times New Roman" w:hAnsiTheme="majorHAnsi" w:cs="Times New Roman"/>
                <w:sz w:val="18"/>
                <w:szCs w:val="18"/>
              </w:rPr>
              <w:t>34%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82916" w:rsidRPr="00B82916" w:rsidRDefault="00B82916" w:rsidP="0029371C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B82916">
              <w:rPr>
                <w:rFonts w:asciiTheme="majorHAnsi" w:eastAsia="Times New Roman" w:hAnsiTheme="majorHAnsi" w:cs="Times New Roman"/>
                <w:sz w:val="18"/>
                <w:szCs w:val="18"/>
              </w:rPr>
              <w:t>37%</w:t>
            </w:r>
          </w:p>
        </w:tc>
        <w:tc>
          <w:tcPr>
            <w:tcW w:w="8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16" w:rsidRPr="00B82916" w:rsidRDefault="00B82916" w:rsidP="0029371C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B82916">
              <w:rPr>
                <w:rFonts w:asciiTheme="majorHAnsi" w:eastAsia="Times New Roman" w:hAnsiTheme="majorHAnsi" w:cs="Times New Roman"/>
                <w:sz w:val="18"/>
                <w:szCs w:val="18"/>
              </w:rPr>
              <w:t>11%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82916" w:rsidRPr="00B82916" w:rsidRDefault="00B82916" w:rsidP="0029371C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B82916">
              <w:rPr>
                <w:rFonts w:asciiTheme="majorHAnsi" w:eastAsia="Times New Roman" w:hAnsiTheme="majorHAnsi" w:cs="Times New Roman"/>
                <w:sz w:val="18"/>
                <w:szCs w:val="18"/>
              </w:rPr>
              <w:t>15%</w:t>
            </w:r>
          </w:p>
        </w:tc>
        <w:tc>
          <w:tcPr>
            <w:tcW w:w="72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82916" w:rsidRPr="00B82916" w:rsidRDefault="00B82916" w:rsidP="0029371C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B82916">
              <w:rPr>
                <w:rFonts w:asciiTheme="majorHAnsi" w:eastAsia="Times New Roman" w:hAnsiTheme="majorHAnsi" w:cs="Times New Roman"/>
                <w:sz w:val="18"/>
                <w:szCs w:val="18"/>
              </w:rPr>
              <w:t>100%</w:t>
            </w:r>
          </w:p>
        </w:tc>
      </w:tr>
      <w:tr w:rsidR="002B33CD" w:rsidRPr="002B33CD" w:rsidTr="0029371C">
        <w:trPr>
          <w:trHeight w:val="282"/>
        </w:trPr>
        <w:tc>
          <w:tcPr>
            <w:tcW w:w="9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82916" w:rsidRPr="00B82916" w:rsidRDefault="00B82916" w:rsidP="00B82916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</w:pPr>
            <w:r w:rsidRPr="00B82916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  <w:t>CS 2</w:t>
            </w:r>
          </w:p>
        </w:tc>
        <w:tc>
          <w:tcPr>
            <w:tcW w:w="106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16" w:rsidRPr="00B82916" w:rsidRDefault="00B82916" w:rsidP="0029371C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B82916">
              <w:rPr>
                <w:rFonts w:asciiTheme="majorHAnsi" w:eastAsia="Times New Roman" w:hAnsiTheme="majorHAnsi" w:cs="Times New Roman"/>
                <w:sz w:val="18"/>
                <w:szCs w:val="18"/>
              </w:rPr>
              <w:t>2%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82916" w:rsidRPr="00B82916" w:rsidRDefault="00B82916" w:rsidP="0029371C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B82916">
              <w:rPr>
                <w:rFonts w:asciiTheme="majorHAnsi" w:eastAsia="Times New Roman" w:hAnsiTheme="majorHAnsi" w:cs="Times New Roman"/>
                <w:sz w:val="18"/>
                <w:szCs w:val="18"/>
              </w:rPr>
              <w:t>2%</w:t>
            </w:r>
          </w:p>
        </w:tc>
        <w:tc>
          <w:tcPr>
            <w:tcW w:w="8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16" w:rsidRPr="00B82916" w:rsidRDefault="00B82916" w:rsidP="0029371C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B82916">
              <w:rPr>
                <w:rFonts w:asciiTheme="majorHAnsi" w:eastAsia="Times New Roman" w:hAnsiTheme="majorHAnsi" w:cs="Times New Roman"/>
                <w:sz w:val="18"/>
                <w:szCs w:val="18"/>
              </w:rPr>
              <w:t>39%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82916" w:rsidRPr="00B82916" w:rsidRDefault="00B82916" w:rsidP="0029371C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B82916">
              <w:rPr>
                <w:rFonts w:asciiTheme="majorHAnsi" w:eastAsia="Times New Roman" w:hAnsiTheme="majorHAnsi" w:cs="Times New Roman"/>
                <w:sz w:val="18"/>
                <w:szCs w:val="18"/>
              </w:rPr>
              <w:t>43%</w:t>
            </w:r>
          </w:p>
        </w:tc>
        <w:tc>
          <w:tcPr>
            <w:tcW w:w="8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16" w:rsidRPr="00B82916" w:rsidRDefault="00B82916" w:rsidP="0029371C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B82916">
              <w:rPr>
                <w:rFonts w:asciiTheme="majorHAnsi" w:eastAsia="Times New Roman" w:hAnsiTheme="majorHAnsi" w:cs="Times New Roman"/>
                <w:sz w:val="18"/>
                <w:szCs w:val="18"/>
              </w:rPr>
              <w:t>6%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82916" w:rsidRPr="00B82916" w:rsidRDefault="00B82916" w:rsidP="0029371C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B82916">
              <w:rPr>
                <w:rFonts w:asciiTheme="majorHAnsi" w:eastAsia="Times New Roman" w:hAnsiTheme="majorHAnsi" w:cs="Times New Roman"/>
                <w:sz w:val="18"/>
                <w:szCs w:val="18"/>
              </w:rPr>
              <w:t>8%</w:t>
            </w:r>
          </w:p>
        </w:tc>
        <w:tc>
          <w:tcPr>
            <w:tcW w:w="72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82916" w:rsidRPr="00B82916" w:rsidRDefault="00B82916" w:rsidP="0029371C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B82916">
              <w:rPr>
                <w:rFonts w:asciiTheme="majorHAnsi" w:eastAsia="Times New Roman" w:hAnsiTheme="majorHAnsi" w:cs="Times New Roman"/>
                <w:sz w:val="18"/>
                <w:szCs w:val="18"/>
              </w:rPr>
              <w:t>100%</w:t>
            </w:r>
          </w:p>
        </w:tc>
      </w:tr>
      <w:tr w:rsidR="002B33CD" w:rsidRPr="002B33CD" w:rsidTr="0029371C">
        <w:trPr>
          <w:trHeight w:val="282"/>
        </w:trPr>
        <w:tc>
          <w:tcPr>
            <w:tcW w:w="9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82916" w:rsidRPr="00B82916" w:rsidRDefault="00B82916" w:rsidP="00B82916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</w:pPr>
            <w:r w:rsidRPr="00B82916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  <w:t>CS 3</w:t>
            </w:r>
          </w:p>
        </w:tc>
        <w:tc>
          <w:tcPr>
            <w:tcW w:w="106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16" w:rsidRPr="00B82916" w:rsidRDefault="00B82916" w:rsidP="0029371C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B82916">
              <w:rPr>
                <w:rFonts w:asciiTheme="majorHAnsi" w:eastAsia="Times New Roman" w:hAnsiTheme="majorHAnsi" w:cs="Times New Roman"/>
                <w:sz w:val="18"/>
                <w:szCs w:val="18"/>
              </w:rPr>
              <w:t>4%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82916" w:rsidRPr="00B82916" w:rsidRDefault="00B82916" w:rsidP="0029371C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B82916">
              <w:rPr>
                <w:rFonts w:asciiTheme="majorHAnsi" w:eastAsia="Times New Roman" w:hAnsiTheme="majorHAnsi" w:cs="Times New Roman"/>
                <w:sz w:val="18"/>
                <w:szCs w:val="18"/>
              </w:rPr>
              <w:t>3%</w:t>
            </w:r>
          </w:p>
        </w:tc>
        <w:tc>
          <w:tcPr>
            <w:tcW w:w="88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16" w:rsidRPr="00B82916" w:rsidRDefault="00B82916" w:rsidP="0029371C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B82916">
              <w:rPr>
                <w:rFonts w:asciiTheme="majorHAnsi" w:eastAsia="Times New Roman" w:hAnsiTheme="majorHAnsi" w:cs="Times New Roman"/>
                <w:sz w:val="18"/>
                <w:szCs w:val="18"/>
              </w:rPr>
              <w:t>33%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82916" w:rsidRPr="00B82916" w:rsidRDefault="00B82916" w:rsidP="0029371C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B82916">
              <w:rPr>
                <w:rFonts w:asciiTheme="majorHAnsi" w:eastAsia="Times New Roman" w:hAnsiTheme="majorHAnsi" w:cs="Times New Roman"/>
                <w:sz w:val="18"/>
                <w:szCs w:val="18"/>
              </w:rPr>
              <w:t>35%</w:t>
            </w:r>
          </w:p>
        </w:tc>
        <w:tc>
          <w:tcPr>
            <w:tcW w:w="88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16" w:rsidRPr="00B82916" w:rsidRDefault="00B82916" w:rsidP="0029371C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B82916">
              <w:rPr>
                <w:rFonts w:asciiTheme="majorHAnsi" w:eastAsia="Times New Roman" w:hAnsiTheme="majorHAnsi" w:cs="Times New Roman"/>
                <w:sz w:val="18"/>
                <w:szCs w:val="18"/>
              </w:rPr>
              <w:t>12%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82916" w:rsidRPr="00B82916" w:rsidRDefault="00B82916" w:rsidP="0029371C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B82916">
              <w:rPr>
                <w:rFonts w:asciiTheme="majorHAnsi" w:eastAsia="Times New Roman" w:hAnsiTheme="majorHAnsi" w:cs="Times New Roman"/>
                <w:sz w:val="18"/>
                <w:szCs w:val="18"/>
              </w:rPr>
              <w:t>12%</w:t>
            </w:r>
          </w:p>
        </w:tc>
        <w:tc>
          <w:tcPr>
            <w:tcW w:w="7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82916" w:rsidRPr="00B82916" w:rsidRDefault="00B82916" w:rsidP="0029371C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B82916">
              <w:rPr>
                <w:rFonts w:asciiTheme="majorHAnsi" w:eastAsia="Times New Roman" w:hAnsiTheme="majorHAnsi" w:cs="Times New Roman"/>
                <w:sz w:val="18"/>
                <w:szCs w:val="18"/>
              </w:rPr>
              <w:t>100%</w:t>
            </w:r>
          </w:p>
        </w:tc>
      </w:tr>
    </w:tbl>
    <w:p w:rsidR="00B82916" w:rsidRPr="002B33CD" w:rsidRDefault="00517AC5" w:rsidP="00B82916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080"/>
        <w:rPr>
          <w:rFonts w:asciiTheme="majorHAnsi" w:eastAsia="Tahoma" w:hAnsiTheme="majorHAnsi" w:cs="Tahoma"/>
          <w:i/>
          <w:sz w:val="18"/>
          <w:szCs w:val="18"/>
        </w:rPr>
      </w:pPr>
      <w:r w:rsidRPr="002B33CD">
        <w:rPr>
          <w:rFonts w:asciiTheme="majorHAnsi" w:eastAsia="Tahoma" w:hAnsiTheme="majorHAnsi" w:cs="Tahoma"/>
          <w:i/>
          <w:sz w:val="18"/>
          <w:szCs w:val="18"/>
        </w:rPr>
        <w:t>(</w:t>
      </w:r>
      <w:r w:rsidR="007C7565" w:rsidRPr="002B33CD">
        <w:rPr>
          <w:rFonts w:asciiTheme="majorHAnsi" w:eastAsia="Tahoma" w:hAnsiTheme="majorHAnsi" w:cs="Tahoma"/>
          <w:i/>
          <w:sz w:val="18"/>
          <w:szCs w:val="18"/>
        </w:rPr>
        <w:t xml:space="preserve">Pozn. Jedná se o přesná data pro </w:t>
      </w:r>
      <w:r w:rsidRPr="002B33CD">
        <w:rPr>
          <w:rFonts w:asciiTheme="majorHAnsi" w:eastAsia="Tahoma" w:hAnsiTheme="majorHAnsi" w:cs="Tahoma"/>
          <w:i/>
          <w:sz w:val="18"/>
          <w:szCs w:val="18"/>
        </w:rPr>
        <w:t xml:space="preserve">definovaná </w:t>
      </w:r>
      <w:r w:rsidR="007C7565" w:rsidRPr="002B33CD">
        <w:rPr>
          <w:rFonts w:asciiTheme="majorHAnsi" w:eastAsia="Tahoma" w:hAnsiTheme="majorHAnsi" w:cs="Tahoma"/>
          <w:i/>
          <w:sz w:val="18"/>
          <w:szCs w:val="18"/>
        </w:rPr>
        <w:t xml:space="preserve">území. Věkové kategorie </w:t>
      </w:r>
      <w:r w:rsidR="00657735" w:rsidRPr="002B33CD">
        <w:rPr>
          <w:rFonts w:asciiTheme="majorHAnsi" w:eastAsia="Tahoma" w:hAnsiTheme="majorHAnsi" w:cs="Tahoma"/>
          <w:i/>
          <w:sz w:val="18"/>
          <w:szCs w:val="18"/>
        </w:rPr>
        <w:t>nejde změnit, tj. podrobnější údaje nejsou k</w:t>
      </w:r>
      <w:r w:rsidRPr="002B33CD">
        <w:rPr>
          <w:rFonts w:asciiTheme="majorHAnsi" w:eastAsia="Tahoma" w:hAnsiTheme="majorHAnsi" w:cs="Tahoma"/>
          <w:i/>
          <w:sz w:val="18"/>
          <w:szCs w:val="18"/>
        </w:rPr>
        <w:t> </w:t>
      </w:r>
      <w:r w:rsidR="00657735" w:rsidRPr="002B33CD">
        <w:rPr>
          <w:rFonts w:asciiTheme="majorHAnsi" w:eastAsia="Tahoma" w:hAnsiTheme="majorHAnsi" w:cs="Tahoma"/>
          <w:i/>
          <w:sz w:val="18"/>
          <w:szCs w:val="18"/>
        </w:rPr>
        <w:t>dispozici</w:t>
      </w:r>
      <w:r w:rsidRPr="002B33CD">
        <w:rPr>
          <w:rFonts w:asciiTheme="majorHAnsi" w:eastAsia="Tahoma" w:hAnsiTheme="majorHAnsi" w:cs="Tahoma"/>
          <w:i/>
          <w:sz w:val="18"/>
          <w:szCs w:val="18"/>
        </w:rPr>
        <w:t xml:space="preserve">. </w:t>
      </w:r>
      <w:r w:rsidR="004B5939" w:rsidRPr="002B33CD">
        <w:rPr>
          <w:rFonts w:asciiTheme="majorHAnsi" w:eastAsia="Tahoma" w:hAnsiTheme="majorHAnsi" w:cs="Tahoma"/>
          <w:i/>
          <w:sz w:val="18"/>
          <w:szCs w:val="18"/>
        </w:rPr>
        <w:t>T</w:t>
      </w:r>
      <w:r w:rsidRPr="002B33CD">
        <w:rPr>
          <w:rFonts w:asciiTheme="majorHAnsi" w:eastAsia="Tahoma" w:hAnsiTheme="majorHAnsi" w:cs="Tahoma"/>
          <w:i/>
          <w:sz w:val="18"/>
          <w:szCs w:val="18"/>
        </w:rPr>
        <w:t>akto definované věkové kategorie slouží jen pro vytvoření výběru</w:t>
      </w:r>
      <w:r w:rsidR="004B5939" w:rsidRPr="002B33CD">
        <w:rPr>
          <w:rFonts w:asciiTheme="majorHAnsi" w:eastAsia="Tahoma" w:hAnsiTheme="majorHAnsi" w:cs="Tahoma"/>
          <w:i/>
          <w:sz w:val="18"/>
          <w:szCs w:val="18"/>
        </w:rPr>
        <w:t xml:space="preserve"> a ověření požadované struktury </w:t>
      </w:r>
      <w:r w:rsidR="00E658BF">
        <w:rPr>
          <w:rFonts w:asciiTheme="majorHAnsi" w:eastAsia="Tahoma" w:hAnsiTheme="majorHAnsi" w:cs="Tahoma"/>
          <w:i/>
          <w:sz w:val="18"/>
          <w:szCs w:val="18"/>
        </w:rPr>
        <w:t xml:space="preserve">výběrového </w:t>
      </w:r>
      <w:r w:rsidR="004B5939" w:rsidRPr="002B33CD">
        <w:rPr>
          <w:rFonts w:asciiTheme="majorHAnsi" w:eastAsia="Tahoma" w:hAnsiTheme="majorHAnsi" w:cs="Tahoma"/>
          <w:i/>
          <w:sz w:val="18"/>
          <w:szCs w:val="18"/>
        </w:rPr>
        <w:t>vzork</w:t>
      </w:r>
      <w:r w:rsidR="00E658BF">
        <w:rPr>
          <w:rFonts w:asciiTheme="majorHAnsi" w:eastAsia="Tahoma" w:hAnsiTheme="majorHAnsi" w:cs="Tahoma"/>
          <w:i/>
          <w:sz w:val="18"/>
          <w:szCs w:val="18"/>
        </w:rPr>
        <w:t>u</w:t>
      </w:r>
      <w:r w:rsidRPr="002B33CD">
        <w:rPr>
          <w:rFonts w:asciiTheme="majorHAnsi" w:eastAsia="Tahoma" w:hAnsiTheme="majorHAnsi" w:cs="Tahoma"/>
          <w:i/>
          <w:sz w:val="18"/>
          <w:szCs w:val="18"/>
        </w:rPr>
        <w:t xml:space="preserve">. Pro </w:t>
      </w:r>
      <w:r w:rsidR="00E658BF">
        <w:rPr>
          <w:rFonts w:asciiTheme="majorHAnsi" w:eastAsia="Tahoma" w:hAnsiTheme="majorHAnsi" w:cs="Tahoma"/>
          <w:i/>
          <w:sz w:val="18"/>
          <w:szCs w:val="18"/>
        </w:rPr>
        <w:t xml:space="preserve">analýzy a </w:t>
      </w:r>
      <w:r w:rsidRPr="002B33CD">
        <w:rPr>
          <w:rFonts w:asciiTheme="majorHAnsi" w:eastAsia="Tahoma" w:hAnsiTheme="majorHAnsi" w:cs="Tahoma"/>
          <w:i/>
          <w:sz w:val="18"/>
          <w:szCs w:val="18"/>
        </w:rPr>
        <w:t>zpracování Závěrečné zprávy předpokládáme použití jiných – obvyklejších – věkových kategorií.</w:t>
      </w:r>
      <w:r w:rsidR="0029371C">
        <w:rPr>
          <w:rFonts w:asciiTheme="majorHAnsi" w:eastAsia="Tahoma" w:hAnsiTheme="majorHAnsi" w:cs="Tahoma"/>
          <w:i/>
          <w:sz w:val="18"/>
          <w:szCs w:val="18"/>
        </w:rPr>
        <w:t xml:space="preserve"> Upozorňujeme na vysoký podíl seniorů v CS1  a CS3.</w:t>
      </w:r>
      <w:r w:rsidRPr="002B33CD">
        <w:rPr>
          <w:rFonts w:asciiTheme="majorHAnsi" w:eastAsia="Tahoma" w:hAnsiTheme="majorHAnsi" w:cs="Tahoma"/>
          <w:i/>
          <w:sz w:val="18"/>
          <w:szCs w:val="18"/>
        </w:rPr>
        <w:t>)</w:t>
      </w:r>
    </w:p>
    <w:p w:rsidR="0026239F" w:rsidRPr="002B33CD" w:rsidRDefault="00E87BB7" w:rsidP="00CB43BF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440"/>
        <w:rPr>
          <w:rFonts w:asciiTheme="majorHAnsi" w:hAnsiTheme="majorHAnsi"/>
          <w:b/>
        </w:rPr>
      </w:pPr>
      <w:r w:rsidRPr="002B33CD">
        <w:rPr>
          <w:rFonts w:asciiTheme="majorHAnsi" w:eastAsia="Tahoma" w:hAnsiTheme="majorHAnsi" w:cs="Tahoma"/>
          <w:b/>
          <w:sz w:val="18"/>
          <w:szCs w:val="18"/>
        </w:rPr>
        <w:t>3) Vzdělání</w:t>
      </w:r>
      <w:r w:rsidR="0026239F" w:rsidRPr="002B33CD">
        <w:rPr>
          <w:rFonts w:asciiTheme="majorHAnsi" w:eastAsia="Tahoma" w:hAnsiTheme="majorHAnsi" w:cs="Tahoma"/>
          <w:b/>
          <w:sz w:val="18"/>
          <w:szCs w:val="18"/>
        </w:rPr>
        <w:t>:</w:t>
      </w:r>
    </w:p>
    <w:p w:rsidR="00BF07BD" w:rsidRPr="002B33CD" w:rsidRDefault="008D32CB" w:rsidP="00BF07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440"/>
        <w:rPr>
          <w:rFonts w:asciiTheme="majorHAnsi" w:eastAsia="Tahoma" w:hAnsiTheme="majorHAnsi" w:cs="Tahoma"/>
          <w:sz w:val="18"/>
          <w:szCs w:val="18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>nekřížená - samostatná - kvóta,</w:t>
      </w:r>
      <w:r w:rsidR="00401D44" w:rsidRPr="002B33CD">
        <w:rPr>
          <w:rFonts w:asciiTheme="majorHAnsi" w:eastAsia="Tahoma" w:hAnsiTheme="majorHAnsi" w:cs="Tahoma"/>
          <w:sz w:val="18"/>
          <w:szCs w:val="18"/>
        </w:rPr>
        <w:t xml:space="preserve"> pro každou CS</w:t>
      </w:r>
      <w:r w:rsidR="00CB43BF" w:rsidRPr="002B33CD">
        <w:rPr>
          <w:rFonts w:asciiTheme="majorHAnsi" w:eastAsia="Tahoma" w:hAnsiTheme="majorHAnsi" w:cs="Tahoma"/>
          <w:sz w:val="18"/>
          <w:szCs w:val="18"/>
        </w:rPr>
        <w:t xml:space="preserve"> samostatně</w:t>
      </w:r>
      <w:r w:rsidR="00BF07BD" w:rsidRPr="002B33CD">
        <w:rPr>
          <w:rFonts w:asciiTheme="majorHAnsi" w:eastAsia="Tahoma" w:hAnsiTheme="majorHAnsi" w:cs="Tahoma"/>
          <w:sz w:val="18"/>
          <w:szCs w:val="18"/>
        </w:rPr>
        <w:t xml:space="preserve">. </w:t>
      </w:r>
    </w:p>
    <w:p w:rsidR="0026239F" w:rsidRPr="002B33CD" w:rsidRDefault="008D32CB" w:rsidP="008D32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440"/>
        <w:rPr>
          <w:rFonts w:asciiTheme="majorHAnsi" w:eastAsia="Tahoma" w:hAnsiTheme="majorHAnsi" w:cs="Tahoma"/>
          <w:sz w:val="18"/>
          <w:szCs w:val="18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 xml:space="preserve">podle posledních dostupných údajů </w:t>
      </w:r>
      <w:r w:rsidR="00401D44" w:rsidRPr="002B33CD">
        <w:rPr>
          <w:rFonts w:asciiTheme="majorHAnsi" w:eastAsia="Tahoma" w:hAnsiTheme="majorHAnsi" w:cs="Tahoma"/>
          <w:sz w:val="18"/>
          <w:szCs w:val="18"/>
        </w:rPr>
        <w:t xml:space="preserve">ČSÚ </w:t>
      </w:r>
      <w:r w:rsidRPr="002B33CD">
        <w:rPr>
          <w:rFonts w:asciiTheme="majorHAnsi" w:eastAsia="Tahoma" w:hAnsiTheme="majorHAnsi" w:cs="Tahoma"/>
          <w:sz w:val="18"/>
          <w:szCs w:val="18"/>
        </w:rPr>
        <w:t>pro „katastrální území Kamýk“</w:t>
      </w:r>
      <w:r w:rsidR="00AC3480" w:rsidRPr="002B33CD">
        <w:rPr>
          <w:rFonts w:asciiTheme="majorHAnsi" w:eastAsia="Tahoma" w:hAnsiTheme="majorHAnsi" w:cs="Tahoma"/>
          <w:sz w:val="18"/>
          <w:szCs w:val="18"/>
        </w:rPr>
        <w:t>.</w:t>
      </w:r>
    </w:p>
    <w:p w:rsidR="00AC3480" w:rsidRPr="002B33CD" w:rsidRDefault="00BF07BD" w:rsidP="00CB4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440"/>
        <w:rPr>
          <w:rFonts w:asciiTheme="majorHAnsi" w:eastAsia="Tahoma" w:hAnsiTheme="majorHAnsi" w:cs="Tahoma"/>
          <w:sz w:val="18"/>
          <w:szCs w:val="18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>m</w:t>
      </w:r>
      <w:r w:rsidR="00401D44" w:rsidRPr="002B33CD">
        <w:rPr>
          <w:rFonts w:asciiTheme="majorHAnsi" w:eastAsia="Tahoma" w:hAnsiTheme="majorHAnsi" w:cs="Tahoma"/>
          <w:sz w:val="18"/>
          <w:szCs w:val="18"/>
        </w:rPr>
        <w:t>aximální možná hodnota rozdílu mezi četností dílčí kategorie výběrového souboru od četnosti v základním souboru je 6 %</w:t>
      </w:r>
      <w:r w:rsidR="00DF1EC9">
        <w:rPr>
          <w:rFonts w:asciiTheme="majorHAnsi" w:eastAsia="Tahoma" w:hAnsiTheme="majorHAnsi" w:cs="Tahoma"/>
          <w:sz w:val="18"/>
          <w:szCs w:val="18"/>
        </w:rPr>
        <w:t xml:space="preserve">, </w:t>
      </w:r>
      <w:r w:rsidR="00F34C49" w:rsidRPr="002B33CD">
        <w:rPr>
          <w:rFonts w:asciiTheme="majorHAnsi" w:eastAsia="Tahoma" w:hAnsiTheme="majorHAnsi" w:cs="Tahoma"/>
          <w:sz w:val="18"/>
          <w:szCs w:val="18"/>
        </w:rPr>
        <w:t xml:space="preserve">samostatně pro každou </w:t>
      </w:r>
      <w:r w:rsidR="00DF1EC9">
        <w:rPr>
          <w:rFonts w:asciiTheme="majorHAnsi" w:eastAsia="Tahoma" w:hAnsiTheme="majorHAnsi" w:cs="Tahoma"/>
          <w:sz w:val="18"/>
          <w:szCs w:val="18"/>
        </w:rPr>
        <w:t xml:space="preserve">vzdělanostní </w:t>
      </w:r>
      <w:r w:rsidR="000F68E4" w:rsidRPr="002B33CD">
        <w:rPr>
          <w:rFonts w:asciiTheme="majorHAnsi" w:eastAsia="Tahoma" w:hAnsiTheme="majorHAnsi" w:cs="Tahoma"/>
          <w:sz w:val="18"/>
          <w:szCs w:val="18"/>
        </w:rPr>
        <w:t>kategorii v</w:t>
      </w:r>
      <w:r w:rsidR="00DF1EC9">
        <w:rPr>
          <w:rFonts w:asciiTheme="majorHAnsi" w:eastAsia="Tahoma" w:hAnsiTheme="majorHAnsi" w:cs="Tahoma"/>
          <w:sz w:val="18"/>
          <w:szCs w:val="18"/>
        </w:rPr>
        <w:t xml:space="preserve"> každé </w:t>
      </w:r>
      <w:r w:rsidR="00F34C49" w:rsidRPr="002B33CD">
        <w:rPr>
          <w:rFonts w:asciiTheme="majorHAnsi" w:eastAsia="Tahoma" w:hAnsiTheme="majorHAnsi" w:cs="Tahoma"/>
          <w:sz w:val="18"/>
          <w:szCs w:val="18"/>
        </w:rPr>
        <w:t>CS</w:t>
      </w:r>
      <w:r w:rsidR="00DF1EC9">
        <w:rPr>
          <w:rFonts w:asciiTheme="majorHAnsi" w:eastAsia="Tahoma" w:hAnsiTheme="majorHAnsi" w:cs="Tahoma"/>
          <w:sz w:val="18"/>
          <w:szCs w:val="18"/>
        </w:rPr>
        <w:t xml:space="preserve"> (</w:t>
      </w:r>
      <w:r w:rsidR="00F34C49" w:rsidRPr="002B33CD">
        <w:rPr>
          <w:rFonts w:asciiTheme="majorHAnsi" w:eastAsia="Tahoma" w:hAnsiTheme="majorHAnsi" w:cs="Tahoma"/>
          <w:sz w:val="18"/>
          <w:szCs w:val="18"/>
        </w:rPr>
        <w:t xml:space="preserve">nikoli pro </w:t>
      </w:r>
      <w:r w:rsidR="000F68E4" w:rsidRPr="002B33CD">
        <w:rPr>
          <w:rFonts w:asciiTheme="majorHAnsi" w:eastAsia="Tahoma" w:hAnsiTheme="majorHAnsi" w:cs="Tahoma"/>
          <w:sz w:val="18"/>
          <w:szCs w:val="18"/>
        </w:rPr>
        <w:t>všechny respondenty dohromady</w:t>
      </w:r>
      <w:r w:rsidR="00DF1EC9">
        <w:rPr>
          <w:rFonts w:asciiTheme="majorHAnsi" w:eastAsia="Tahoma" w:hAnsiTheme="majorHAnsi" w:cs="Tahoma"/>
          <w:sz w:val="18"/>
          <w:szCs w:val="18"/>
        </w:rPr>
        <w:t>)</w:t>
      </w:r>
      <w:r w:rsidR="00401D44" w:rsidRPr="002B33CD">
        <w:rPr>
          <w:rFonts w:asciiTheme="majorHAnsi" w:eastAsia="Tahoma" w:hAnsiTheme="majorHAnsi" w:cs="Tahoma"/>
          <w:sz w:val="18"/>
          <w:szCs w:val="18"/>
        </w:rPr>
        <w:t xml:space="preserve">. </w:t>
      </w:r>
    </w:p>
    <w:p w:rsidR="00CB43BF" w:rsidRPr="002B33CD" w:rsidRDefault="00CB43BF" w:rsidP="00CB4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440"/>
        <w:rPr>
          <w:rFonts w:asciiTheme="majorHAnsi" w:eastAsia="Tahoma" w:hAnsiTheme="majorHAnsi" w:cs="Tahoma"/>
          <w:sz w:val="18"/>
          <w:szCs w:val="18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 xml:space="preserve">pro stanovení rozdílu bude vzdělání kategorizováno s využitím kategorizace ČSÚ na </w:t>
      </w:r>
      <w:r w:rsidR="00BF07BD" w:rsidRPr="002B33CD">
        <w:rPr>
          <w:rFonts w:asciiTheme="majorHAnsi" w:eastAsia="Tahoma" w:hAnsiTheme="majorHAnsi" w:cs="Tahoma"/>
          <w:sz w:val="18"/>
          <w:szCs w:val="18"/>
        </w:rPr>
        <w:t xml:space="preserve">tyto </w:t>
      </w:r>
      <w:r w:rsidRPr="002B33CD">
        <w:rPr>
          <w:rFonts w:asciiTheme="majorHAnsi" w:eastAsia="Tahoma" w:hAnsiTheme="majorHAnsi" w:cs="Tahoma"/>
          <w:sz w:val="18"/>
          <w:szCs w:val="18"/>
        </w:rPr>
        <w:t xml:space="preserve">4 kategorie: </w:t>
      </w:r>
    </w:p>
    <w:p w:rsidR="00CB43BF" w:rsidRPr="002B33CD" w:rsidRDefault="00CB43BF" w:rsidP="00CB4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800"/>
        <w:rPr>
          <w:rFonts w:asciiTheme="majorHAnsi" w:eastAsia="Tahoma" w:hAnsiTheme="majorHAnsi" w:cs="Tahoma"/>
          <w:sz w:val="18"/>
          <w:szCs w:val="18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 xml:space="preserve">a) bez vzdělání, základní včetně neukončeného; </w:t>
      </w:r>
    </w:p>
    <w:p w:rsidR="00CB43BF" w:rsidRPr="002B33CD" w:rsidRDefault="00CB43BF" w:rsidP="00CB4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800"/>
        <w:rPr>
          <w:rFonts w:asciiTheme="majorHAnsi" w:eastAsia="Tahoma" w:hAnsiTheme="majorHAnsi" w:cs="Tahoma"/>
          <w:sz w:val="18"/>
          <w:szCs w:val="18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 xml:space="preserve">b) střední včetně vyučení bez maturity; </w:t>
      </w:r>
    </w:p>
    <w:p w:rsidR="00CB43BF" w:rsidRPr="002B33CD" w:rsidRDefault="00CB43BF" w:rsidP="00CB4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800"/>
        <w:rPr>
          <w:rFonts w:asciiTheme="majorHAnsi" w:eastAsia="Tahoma" w:hAnsiTheme="majorHAnsi" w:cs="Tahoma"/>
          <w:sz w:val="18"/>
          <w:szCs w:val="18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 xml:space="preserve">c) úplné střední vzdělání s maturitou, vyšší odborné vzdělání, nástavbové vzdělání; </w:t>
      </w:r>
    </w:p>
    <w:p w:rsidR="0026239F" w:rsidRPr="002B33CD" w:rsidRDefault="00CB43BF" w:rsidP="00BF07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800"/>
        <w:rPr>
          <w:rFonts w:asciiTheme="majorHAnsi" w:hAnsiTheme="majorHAnsi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>d) vysokoškolské včetně vědecké výchovy.</w:t>
      </w:r>
    </w:p>
    <w:p w:rsidR="00A44BCA" w:rsidRDefault="00E87BB7">
      <w:pPr>
        <w:pStyle w:val="Nadpis2"/>
        <w:numPr>
          <w:ilvl w:val="1"/>
          <w:numId w:val="2"/>
        </w:numPr>
        <w:rPr>
          <w:rFonts w:asciiTheme="majorHAnsi" w:hAnsiTheme="majorHAnsi"/>
        </w:rPr>
      </w:pPr>
      <w:r w:rsidRPr="002B33CD">
        <w:rPr>
          <w:rFonts w:asciiTheme="majorHAnsi" w:hAnsiTheme="majorHAnsi"/>
        </w:rPr>
        <w:t>TECHNIKA SBĚRU DAT</w:t>
      </w:r>
    </w:p>
    <w:p w:rsidR="00911F61" w:rsidRDefault="00911F61" w:rsidP="00911F61">
      <w:r w:rsidRPr="00911F61">
        <w:t>Výzkum proběhne metodou osobního dotazování s využitím papírového dotazníku (PAPI).</w:t>
      </w:r>
    </w:p>
    <w:p w:rsidR="00911F61" w:rsidRPr="00911F61" w:rsidRDefault="00911F61" w:rsidP="00911F61">
      <w:r w:rsidRPr="00911F61">
        <w:t xml:space="preserve">Jako metoda výběru je určen kvótní výběr s definovanými vázanými kvótami pohlaví a věk, nevázanou kvótou vzdělání, a to v každé ze tří cílových skupin. Věk bude rozdělen na tyto 3 kategorie: 15-18, 19-64, 65 a více let, dle dat pro základní soubor. Dle tohoto rozdělení budou nastaveny kvóty pro výběrový soubor. Tazatelé, kteří se </w:t>
      </w:r>
      <w:proofErr w:type="gramStart"/>
      <w:r w:rsidRPr="00911F61">
        <w:t>budou</w:t>
      </w:r>
      <w:proofErr w:type="gramEnd"/>
      <w:r w:rsidRPr="00911F61">
        <w:t xml:space="preserve"> na realizaci sběru dat podílet </w:t>
      </w:r>
      <w:proofErr w:type="gramStart"/>
      <w:r w:rsidRPr="00911F61">
        <w:t>dostanou</w:t>
      </w:r>
      <w:proofErr w:type="gramEnd"/>
      <w:r w:rsidRPr="00911F61">
        <w:t xml:space="preserve"> kvótní rozpis respondentů, které mají s prosbou o vyplnění dotazníku oslovit. Kvótní rozpis bude zohledňovat požadovanou strukturu vzorku a díky osobnímu dotazování můžeme zapojit do rozpisu i seznam ulic, v nichž budou tazatelé dotazovat. Tazatelé budou zároveň dotazovat max. 6 dotazníků v jednom vchodu (týká se zejména dílčího území CS1, kde jsou hlavně panelové domy)</w:t>
      </w:r>
      <w:r>
        <w:t>.</w:t>
      </w:r>
    </w:p>
    <w:p w:rsidR="00A44BCA" w:rsidRPr="002B33CD" w:rsidRDefault="00E87BB7">
      <w:pPr>
        <w:pStyle w:val="Nadpis2"/>
        <w:numPr>
          <w:ilvl w:val="1"/>
          <w:numId w:val="2"/>
        </w:numPr>
        <w:rPr>
          <w:rFonts w:asciiTheme="majorHAnsi" w:hAnsiTheme="majorHAnsi"/>
        </w:rPr>
      </w:pPr>
      <w:bookmarkStart w:id="9" w:name="_4d34og8" w:colFirst="0" w:colLast="0"/>
      <w:bookmarkEnd w:id="9"/>
      <w:r w:rsidRPr="002B33CD">
        <w:rPr>
          <w:rFonts w:asciiTheme="majorHAnsi" w:hAnsiTheme="majorHAnsi"/>
        </w:rPr>
        <w:t>Požadované výstupy z výzkumu</w:t>
      </w:r>
    </w:p>
    <w:p w:rsidR="00A44BCA" w:rsidRPr="002B33CD" w:rsidRDefault="00E87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hAnsiTheme="majorHAnsi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 xml:space="preserve">závěrečná zpráva (formát DOCX/PPTX), </w:t>
      </w:r>
    </w:p>
    <w:p w:rsidR="00A44BCA" w:rsidRPr="002B33CD" w:rsidRDefault="00E87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hAnsiTheme="majorHAnsi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>zdrojová data ve dvou formátech: (a) formát XLSX, (b) formát pro SPSS,</w:t>
      </w:r>
    </w:p>
    <w:p w:rsidR="00A44BCA" w:rsidRPr="002B33CD" w:rsidRDefault="00E87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hAnsiTheme="majorHAnsi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>konečné znění dotazníku.</w:t>
      </w:r>
    </w:p>
    <w:p w:rsidR="00A44BCA" w:rsidRPr="002B33CD" w:rsidRDefault="00E87BB7">
      <w:pPr>
        <w:pStyle w:val="Nadpis2"/>
        <w:numPr>
          <w:ilvl w:val="1"/>
          <w:numId w:val="2"/>
        </w:numPr>
        <w:rPr>
          <w:rFonts w:asciiTheme="majorHAnsi" w:hAnsiTheme="majorHAnsi"/>
        </w:rPr>
      </w:pPr>
      <w:r w:rsidRPr="002B33CD">
        <w:rPr>
          <w:rFonts w:asciiTheme="majorHAnsi" w:hAnsiTheme="majorHAnsi"/>
        </w:rPr>
        <w:t>Obsah závěrečné zprávy</w:t>
      </w:r>
    </w:p>
    <w:p w:rsidR="00A44BCA" w:rsidRPr="002B33CD" w:rsidRDefault="00E87BB7" w:rsidP="009A2D9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hAnsiTheme="majorHAnsi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>Závěrečná zpráva musí obsahovat zejména:</w:t>
      </w:r>
    </w:p>
    <w:p w:rsidR="00A44BCA" w:rsidRPr="002B33CD" w:rsidRDefault="00E87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hAnsiTheme="majorHAnsi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>1) Informace o průběh průzkumu, použité výběrové metodě, technice sběru dat. V případě vážení pak informace o provedeném vážení.</w:t>
      </w:r>
    </w:p>
    <w:p w:rsidR="00A44BCA" w:rsidRPr="002B33CD" w:rsidRDefault="00E87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hAnsiTheme="majorHAnsi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 xml:space="preserve">2) Doložení </w:t>
      </w:r>
      <w:proofErr w:type="spellStart"/>
      <w:r w:rsidRPr="002B33CD">
        <w:rPr>
          <w:rFonts w:asciiTheme="majorHAnsi" w:eastAsia="Tahoma" w:hAnsiTheme="majorHAnsi" w:cs="Tahoma"/>
          <w:sz w:val="18"/>
          <w:szCs w:val="18"/>
        </w:rPr>
        <w:t>reprezentativity</w:t>
      </w:r>
      <w:proofErr w:type="spellEnd"/>
      <w:r w:rsidRPr="002B33CD">
        <w:rPr>
          <w:rFonts w:asciiTheme="majorHAnsi" w:eastAsia="Tahoma" w:hAnsiTheme="majorHAnsi" w:cs="Tahoma"/>
          <w:sz w:val="18"/>
          <w:szCs w:val="18"/>
        </w:rPr>
        <w:t xml:space="preserve"> výběrového souboru: srovnání četností jednotlivých kategorií ve výběrovém vzorku a základním souboru pro všechny zadané proměnné</w:t>
      </w:r>
      <w:r w:rsidR="007A41CD" w:rsidRPr="002B33CD">
        <w:rPr>
          <w:rFonts w:asciiTheme="majorHAnsi" w:eastAsia="Tahoma" w:hAnsiTheme="majorHAnsi" w:cs="Tahoma"/>
          <w:sz w:val="18"/>
          <w:szCs w:val="18"/>
        </w:rPr>
        <w:t xml:space="preserve"> s uvedením rozdílu</w:t>
      </w:r>
      <w:r w:rsidRPr="002B33CD">
        <w:rPr>
          <w:rFonts w:asciiTheme="majorHAnsi" w:eastAsia="Tahoma" w:hAnsiTheme="majorHAnsi" w:cs="Tahoma"/>
          <w:sz w:val="18"/>
          <w:szCs w:val="18"/>
        </w:rPr>
        <w:t>.</w:t>
      </w:r>
    </w:p>
    <w:p w:rsidR="00A44BCA" w:rsidRPr="002B33CD" w:rsidRDefault="00E87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hAnsiTheme="majorHAnsi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>3) Shrnutí - hlavní závěry z výzkumu (v rozsahu max. 2 stran)</w:t>
      </w:r>
    </w:p>
    <w:p w:rsidR="00A44BCA" w:rsidRPr="002B33CD" w:rsidRDefault="00E87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hAnsiTheme="majorHAnsi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>4) Další závěry a zjištění z výzkumu</w:t>
      </w:r>
    </w:p>
    <w:p w:rsidR="00A44BCA" w:rsidRPr="002B33CD" w:rsidRDefault="00E87BB7">
      <w:pPr>
        <w:numPr>
          <w:ilvl w:val="1"/>
          <w:numId w:val="1"/>
        </w:numPr>
        <w:spacing w:before="0" w:after="0" w:line="240" w:lineRule="auto"/>
        <w:rPr>
          <w:rFonts w:asciiTheme="majorHAnsi" w:eastAsia="Tahoma" w:hAnsiTheme="majorHAnsi" w:cs="Tahoma"/>
          <w:sz w:val="18"/>
          <w:szCs w:val="18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lastRenderedPageBreak/>
        <w:t>a) celkové výsledky - relevantní grafy a tabulky prvního a druhého třídění, závěry a komentáře, relevantní tabulky statistických analýz. Cílem analýzy je odpovědět na otázky: odlišují se statisticky významně některé podskupiny (věkové, vzdělanostní, obyvatelé jednotlivých CS apod.) v jejich postojích/názorech? Pokud ano, které a jak se odlišují?</w:t>
      </w:r>
    </w:p>
    <w:p w:rsidR="00A44BCA" w:rsidRPr="002B33CD" w:rsidRDefault="00E87BB7">
      <w:pPr>
        <w:numPr>
          <w:ilvl w:val="1"/>
          <w:numId w:val="1"/>
        </w:numPr>
        <w:spacing w:before="0" w:after="0" w:line="240" w:lineRule="auto"/>
        <w:rPr>
          <w:rFonts w:asciiTheme="majorHAnsi" w:eastAsia="Tahoma" w:hAnsiTheme="majorHAnsi" w:cs="Tahoma"/>
          <w:sz w:val="18"/>
          <w:szCs w:val="18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>b) srovnání CS1, CS2 a CS3 - rozložení četností/rovnosti průměrů apod.:</w:t>
      </w:r>
    </w:p>
    <w:p w:rsidR="00A44BCA" w:rsidRPr="002B33CD" w:rsidRDefault="00E87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hAnsiTheme="majorHAnsi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>5) Relevantní grafy a tabulky prvního a druhého třídění, závěry a komentáře</w:t>
      </w:r>
    </w:p>
    <w:p w:rsidR="00A44BCA" w:rsidRPr="002B33CD" w:rsidRDefault="00E87BB7">
      <w:pPr>
        <w:numPr>
          <w:ilvl w:val="1"/>
          <w:numId w:val="1"/>
        </w:numPr>
        <w:spacing w:before="0" w:after="0" w:line="240" w:lineRule="auto"/>
        <w:rPr>
          <w:rFonts w:asciiTheme="majorHAnsi" w:eastAsia="Tahoma" w:hAnsiTheme="majorHAnsi" w:cs="Tahoma"/>
          <w:sz w:val="18"/>
          <w:szCs w:val="18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>a) celkové výsledky</w:t>
      </w:r>
    </w:p>
    <w:p w:rsidR="00A44BCA" w:rsidRPr="002B33CD" w:rsidRDefault="00E87BB7">
      <w:pPr>
        <w:numPr>
          <w:ilvl w:val="1"/>
          <w:numId w:val="1"/>
        </w:numPr>
        <w:spacing w:before="0" w:after="0" w:line="240" w:lineRule="auto"/>
        <w:rPr>
          <w:rFonts w:asciiTheme="majorHAnsi" w:eastAsia="Tahoma" w:hAnsiTheme="majorHAnsi" w:cs="Tahoma"/>
          <w:sz w:val="18"/>
          <w:szCs w:val="18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>b) výsledky samostatně pro CS1, CS2 a CS3</w:t>
      </w:r>
    </w:p>
    <w:p w:rsidR="00A44BCA" w:rsidRPr="002B33CD" w:rsidRDefault="00E87BB7">
      <w:pPr>
        <w:numPr>
          <w:ilvl w:val="1"/>
          <w:numId w:val="1"/>
        </w:numPr>
        <w:spacing w:before="0" w:after="0" w:line="240" w:lineRule="auto"/>
        <w:rPr>
          <w:rFonts w:asciiTheme="majorHAnsi" w:eastAsia="Tahoma" w:hAnsiTheme="majorHAnsi" w:cs="Tahoma"/>
          <w:sz w:val="18"/>
          <w:szCs w:val="18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>c) srovnání CS1, CS2 a CS3</w:t>
      </w:r>
    </w:p>
    <w:p w:rsidR="00A44BCA" w:rsidRPr="002B33CD" w:rsidRDefault="00E87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hAnsiTheme="majorHAnsi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 xml:space="preserve">6) Statistická analýza - Segmentační analýza (např. faktorová, </w:t>
      </w:r>
      <w:proofErr w:type="spellStart"/>
      <w:r w:rsidRPr="002B33CD">
        <w:rPr>
          <w:rFonts w:asciiTheme="majorHAnsi" w:eastAsia="Tahoma" w:hAnsiTheme="majorHAnsi" w:cs="Tahoma"/>
          <w:sz w:val="18"/>
          <w:szCs w:val="18"/>
        </w:rPr>
        <w:t>seskupovací</w:t>
      </w:r>
      <w:proofErr w:type="spellEnd"/>
      <w:r w:rsidRPr="002B33CD">
        <w:rPr>
          <w:rFonts w:asciiTheme="majorHAnsi" w:eastAsia="Tahoma" w:hAnsiTheme="majorHAnsi" w:cs="Tahoma"/>
          <w:sz w:val="18"/>
          <w:szCs w:val="18"/>
        </w:rPr>
        <w:t xml:space="preserve"> apod.):</w:t>
      </w:r>
    </w:p>
    <w:p w:rsidR="00A44BCA" w:rsidRPr="002B33CD" w:rsidRDefault="00E87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776"/>
        <w:rPr>
          <w:rFonts w:asciiTheme="majorHAnsi" w:hAnsiTheme="majorHAnsi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>cílem analýzy je segmentace populace dle jejich názorů/postojů, rozdělení do segmentů, popis/charakteristika segmentů, odhad velikosti/podílu jednotlivých segmentů</w:t>
      </w:r>
    </w:p>
    <w:p w:rsidR="00A44BCA" w:rsidRPr="002B33CD" w:rsidRDefault="00E87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776"/>
        <w:rPr>
          <w:rFonts w:asciiTheme="majorHAnsi" w:hAnsiTheme="majorHAnsi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 xml:space="preserve">volba konkrétní statistické analýzy je na rozhodnutí dodavatele. </w:t>
      </w:r>
    </w:p>
    <w:p w:rsidR="00C919D2" w:rsidRPr="002B33CD" w:rsidRDefault="00C919D2" w:rsidP="00C919D2">
      <w:pPr>
        <w:numPr>
          <w:ilvl w:val="1"/>
          <w:numId w:val="1"/>
        </w:numPr>
        <w:spacing w:before="0" w:after="0" w:line="240" w:lineRule="auto"/>
        <w:rPr>
          <w:rFonts w:asciiTheme="majorHAnsi" w:eastAsia="Tahoma" w:hAnsiTheme="majorHAnsi" w:cs="Tahoma"/>
          <w:sz w:val="18"/>
          <w:szCs w:val="18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>a) celkové výsledky</w:t>
      </w:r>
    </w:p>
    <w:p w:rsidR="00C919D2" w:rsidRPr="002B33CD" w:rsidRDefault="00C919D2" w:rsidP="00C919D2">
      <w:pPr>
        <w:numPr>
          <w:ilvl w:val="1"/>
          <w:numId w:val="1"/>
        </w:numPr>
        <w:spacing w:before="0" w:after="0" w:line="240" w:lineRule="auto"/>
        <w:rPr>
          <w:rFonts w:asciiTheme="majorHAnsi" w:eastAsia="Tahoma" w:hAnsiTheme="majorHAnsi" w:cs="Tahoma"/>
          <w:sz w:val="18"/>
          <w:szCs w:val="18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>b) výsledky samostatně pro CS1, CS2 a CS3</w:t>
      </w:r>
    </w:p>
    <w:p w:rsidR="00C919D2" w:rsidRPr="002B33CD" w:rsidRDefault="00C919D2" w:rsidP="00C919D2">
      <w:pPr>
        <w:numPr>
          <w:ilvl w:val="1"/>
          <w:numId w:val="1"/>
        </w:numPr>
        <w:spacing w:before="0" w:after="0" w:line="240" w:lineRule="auto"/>
        <w:rPr>
          <w:rFonts w:asciiTheme="majorHAnsi" w:eastAsia="Tahoma" w:hAnsiTheme="majorHAnsi" w:cs="Tahoma"/>
          <w:sz w:val="18"/>
          <w:szCs w:val="18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>c) srovnání CS1, CS2 a CS3</w:t>
      </w:r>
    </w:p>
    <w:p w:rsidR="00A44BCA" w:rsidRPr="002B33CD" w:rsidRDefault="00E87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hAnsiTheme="majorHAnsi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 xml:space="preserve">7) Statistická analýza – „SWAT“ analýza </w:t>
      </w:r>
    </w:p>
    <w:p w:rsidR="00A44BCA" w:rsidRPr="002B33CD" w:rsidRDefault="00E87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776"/>
        <w:rPr>
          <w:rFonts w:asciiTheme="majorHAnsi" w:hAnsiTheme="majorHAnsi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>rozbor deficitů složek veřejné vybavenosti v lokalitě dle jejich spokojenosti a důležitosti - zadavatel dodá ukázku výstupu</w:t>
      </w:r>
    </w:p>
    <w:p w:rsidR="00C919D2" w:rsidRPr="002B33CD" w:rsidRDefault="00C919D2" w:rsidP="00C919D2">
      <w:pPr>
        <w:numPr>
          <w:ilvl w:val="1"/>
          <w:numId w:val="1"/>
        </w:numPr>
        <w:spacing w:before="0" w:after="0" w:line="240" w:lineRule="auto"/>
        <w:rPr>
          <w:rFonts w:asciiTheme="majorHAnsi" w:eastAsia="Tahoma" w:hAnsiTheme="majorHAnsi" w:cs="Tahoma"/>
          <w:sz w:val="18"/>
          <w:szCs w:val="18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>a) celkové výsledky</w:t>
      </w:r>
    </w:p>
    <w:p w:rsidR="00C919D2" w:rsidRPr="002B33CD" w:rsidRDefault="00C919D2" w:rsidP="00C919D2">
      <w:pPr>
        <w:numPr>
          <w:ilvl w:val="1"/>
          <w:numId w:val="1"/>
        </w:numPr>
        <w:spacing w:before="0" w:after="0" w:line="240" w:lineRule="auto"/>
        <w:rPr>
          <w:rFonts w:asciiTheme="majorHAnsi" w:eastAsia="Tahoma" w:hAnsiTheme="majorHAnsi" w:cs="Tahoma"/>
          <w:sz w:val="18"/>
          <w:szCs w:val="18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>b) výsledky samostatně pro CS1, CS2 a CS3</w:t>
      </w:r>
    </w:p>
    <w:p w:rsidR="00C919D2" w:rsidRDefault="00C919D2" w:rsidP="00C919D2">
      <w:pPr>
        <w:numPr>
          <w:ilvl w:val="1"/>
          <w:numId w:val="1"/>
        </w:numPr>
        <w:spacing w:before="0" w:after="0" w:line="240" w:lineRule="auto"/>
        <w:rPr>
          <w:rFonts w:asciiTheme="majorHAnsi" w:eastAsia="Tahoma" w:hAnsiTheme="majorHAnsi" w:cs="Tahoma"/>
          <w:sz w:val="18"/>
          <w:szCs w:val="18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>c) srovnání CS1, CS2 a CS3</w:t>
      </w:r>
    </w:p>
    <w:p w:rsidR="00ED0139" w:rsidRDefault="00ED0139" w:rsidP="00ED01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Další požadavky a doplnění ke zpracování Zprávy a analýz:</w:t>
      </w:r>
    </w:p>
    <w:p w:rsidR="00ED0139" w:rsidRDefault="00ED0139" w:rsidP="00E705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eastAsia="Tahoma" w:hAnsiTheme="majorHAnsi" w:cs="Tahoma"/>
          <w:sz w:val="18"/>
          <w:szCs w:val="18"/>
        </w:rPr>
      </w:pPr>
      <w:r w:rsidRPr="00E705C2">
        <w:rPr>
          <w:rFonts w:asciiTheme="majorHAnsi" w:eastAsia="Tahoma" w:hAnsiTheme="majorHAnsi" w:cs="Tahoma"/>
          <w:sz w:val="18"/>
          <w:szCs w:val="18"/>
        </w:rPr>
        <w:t xml:space="preserve">pro „celkové výsledky“ (body „a)“ výše) předpokládáme převážení </w:t>
      </w:r>
      <w:r w:rsidR="00E705C2" w:rsidRPr="00E705C2">
        <w:rPr>
          <w:rFonts w:asciiTheme="majorHAnsi" w:eastAsia="Tahoma" w:hAnsiTheme="majorHAnsi" w:cs="Tahoma"/>
          <w:sz w:val="18"/>
          <w:szCs w:val="18"/>
        </w:rPr>
        <w:t xml:space="preserve">dle velikosti </w:t>
      </w:r>
      <w:r w:rsidR="00E705C2">
        <w:rPr>
          <w:rFonts w:asciiTheme="majorHAnsi" w:eastAsia="Tahoma" w:hAnsiTheme="majorHAnsi" w:cs="Tahoma"/>
          <w:sz w:val="18"/>
          <w:szCs w:val="18"/>
        </w:rPr>
        <w:t xml:space="preserve">(poměru velikosti) </w:t>
      </w:r>
      <w:r w:rsidR="00E705C2" w:rsidRPr="00E705C2">
        <w:rPr>
          <w:rFonts w:asciiTheme="majorHAnsi" w:eastAsia="Tahoma" w:hAnsiTheme="majorHAnsi" w:cs="Tahoma"/>
          <w:sz w:val="18"/>
          <w:szCs w:val="18"/>
        </w:rPr>
        <w:t>jednotlivých CS</w:t>
      </w:r>
      <w:r w:rsidR="00C312AF">
        <w:rPr>
          <w:rFonts w:asciiTheme="majorHAnsi" w:eastAsia="Tahoma" w:hAnsiTheme="majorHAnsi" w:cs="Tahoma"/>
          <w:sz w:val="18"/>
          <w:szCs w:val="18"/>
        </w:rPr>
        <w:t>, nicméně je možné toto po domluvě se zadavatelem změnit</w:t>
      </w:r>
      <w:r w:rsidR="00E705C2" w:rsidRPr="00E705C2">
        <w:rPr>
          <w:rFonts w:asciiTheme="majorHAnsi" w:eastAsia="Tahoma" w:hAnsiTheme="majorHAnsi" w:cs="Tahoma"/>
          <w:sz w:val="18"/>
          <w:szCs w:val="18"/>
        </w:rPr>
        <w:t>.</w:t>
      </w:r>
    </w:p>
    <w:p w:rsidR="00911F61" w:rsidRDefault="00911F61" w:rsidP="00911F6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eastAsia="Tahoma" w:hAnsiTheme="majorHAnsi" w:cs="Tahoma"/>
          <w:sz w:val="18"/>
          <w:szCs w:val="18"/>
        </w:rPr>
      </w:pPr>
    </w:p>
    <w:p w:rsidR="00911F61" w:rsidRPr="00911F61" w:rsidRDefault="00911F61" w:rsidP="00911F6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eastAsia="Tahoma" w:hAnsiTheme="majorHAnsi" w:cs="Tahoma"/>
          <w:sz w:val="18"/>
          <w:szCs w:val="18"/>
        </w:rPr>
      </w:pPr>
      <w:r w:rsidRPr="00911F61">
        <w:rPr>
          <w:rFonts w:asciiTheme="majorHAnsi" w:eastAsia="Tahoma" w:hAnsiTheme="majorHAnsi" w:cs="Tahoma"/>
          <w:sz w:val="18"/>
          <w:szCs w:val="18"/>
        </w:rPr>
        <w:t>Závěrečná zpráva se bude skládat z technické zprávy k výzkumu, shrnutí hlavních zjištění a detailní analýzy.</w:t>
      </w:r>
    </w:p>
    <w:p w:rsidR="00911F61" w:rsidRPr="00911F61" w:rsidRDefault="00911F61" w:rsidP="00911F6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eastAsia="Tahoma" w:hAnsiTheme="majorHAnsi" w:cs="Tahoma"/>
          <w:sz w:val="18"/>
          <w:szCs w:val="18"/>
        </w:rPr>
      </w:pPr>
      <w:r w:rsidRPr="00911F61">
        <w:rPr>
          <w:rFonts w:asciiTheme="majorHAnsi" w:eastAsia="Tahoma" w:hAnsiTheme="majorHAnsi" w:cs="Tahoma"/>
          <w:sz w:val="18"/>
          <w:szCs w:val="18"/>
        </w:rPr>
        <w:t xml:space="preserve">• Technická zpráva poskytne přehled o průběhu průzkumu, použité metodě výběru, technice sběru dat a struktuře </w:t>
      </w:r>
      <w:proofErr w:type="gramStart"/>
      <w:r w:rsidRPr="00911F61">
        <w:rPr>
          <w:rFonts w:asciiTheme="majorHAnsi" w:eastAsia="Tahoma" w:hAnsiTheme="majorHAnsi" w:cs="Tahoma"/>
          <w:sz w:val="18"/>
          <w:szCs w:val="18"/>
        </w:rPr>
        <w:t xml:space="preserve">vzorku . </w:t>
      </w:r>
      <w:proofErr w:type="spellStart"/>
      <w:r w:rsidRPr="00911F61">
        <w:rPr>
          <w:rFonts w:asciiTheme="majorHAnsi" w:eastAsia="Tahoma" w:hAnsiTheme="majorHAnsi" w:cs="Tahoma"/>
          <w:sz w:val="18"/>
          <w:szCs w:val="18"/>
        </w:rPr>
        <w:t>Reprezentativita</w:t>
      </w:r>
      <w:proofErr w:type="spellEnd"/>
      <w:proofErr w:type="gramEnd"/>
      <w:r w:rsidRPr="00911F61">
        <w:rPr>
          <w:rFonts w:asciiTheme="majorHAnsi" w:eastAsia="Tahoma" w:hAnsiTheme="majorHAnsi" w:cs="Tahoma"/>
          <w:sz w:val="18"/>
          <w:szCs w:val="18"/>
        </w:rPr>
        <w:t xml:space="preserve"> výběrového souboru bude doložena tabulkou s četností jednotlivých kategorií v základním souboru a v souborech výběrových pro všechny zadané proměnné.</w:t>
      </w:r>
    </w:p>
    <w:p w:rsidR="00911F61" w:rsidRPr="00911F61" w:rsidRDefault="00911F61" w:rsidP="00911F6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eastAsia="Tahoma" w:hAnsiTheme="majorHAnsi" w:cs="Tahoma"/>
          <w:sz w:val="18"/>
          <w:szCs w:val="18"/>
        </w:rPr>
      </w:pPr>
      <w:r w:rsidRPr="00911F61">
        <w:rPr>
          <w:rFonts w:asciiTheme="majorHAnsi" w:eastAsia="Tahoma" w:hAnsiTheme="majorHAnsi" w:cs="Tahoma"/>
          <w:sz w:val="18"/>
          <w:szCs w:val="18"/>
        </w:rPr>
        <w:t xml:space="preserve">• Shrnutí hlavních závěrů z výzkumu tzv. </w:t>
      </w:r>
      <w:proofErr w:type="spellStart"/>
      <w:r w:rsidRPr="00911F61">
        <w:rPr>
          <w:rFonts w:asciiTheme="majorHAnsi" w:eastAsia="Tahoma" w:hAnsiTheme="majorHAnsi" w:cs="Tahoma"/>
          <w:sz w:val="18"/>
          <w:szCs w:val="18"/>
        </w:rPr>
        <w:t>managerské</w:t>
      </w:r>
      <w:proofErr w:type="spellEnd"/>
      <w:r w:rsidRPr="00911F61">
        <w:rPr>
          <w:rFonts w:asciiTheme="majorHAnsi" w:eastAsia="Tahoma" w:hAnsiTheme="majorHAnsi" w:cs="Tahoma"/>
          <w:sz w:val="18"/>
          <w:szCs w:val="18"/>
        </w:rPr>
        <w:t xml:space="preserve"> shrnutí nabídne krátký přehled nejdůležitějších názorů na téma život v lokalitě – Praha Libuš.</w:t>
      </w:r>
    </w:p>
    <w:p w:rsidR="00911F61" w:rsidRPr="00911F61" w:rsidRDefault="00911F61" w:rsidP="00911F6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eastAsia="Tahoma" w:hAnsiTheme="majorHAnsi" w:cs="Tahoma"/>
          <w:sz w:val="18"/>
          <w:szCs w:val="18"/>
        </w:rPr>
      </w:pPr>
      <w:r w:rsidRPr="00911F61">
        <w:rPr>
          <w:rFonts w:asciiTheme="majorHAnsi" w:eastAsia="Tahoma" w:hAnsiTheme="majorHAnsi" w:cs="Tahoma"/>
          <w:sz w:val="18"/>
          <w:szCs w:val="18"/>
        </w:rPr>
        <w:t xml:space="preserve">• Hlavní tělo zprávy bude tvořit detailní analýza včetně grafů, tabulek a komentářů k jednotlivým zjištěním a závěry z šetření. Pro jednotlivé otázky budou k dispozici výsledky jak za celek, tak za jednotlivé CS a jejich srovnání. Důležitou součástí analýzy bude segmentace obyvatel lokality Libuš. Pro vytvoření této segmentace bude využita kombinace faktorové a </w:t>
      </w:r>
      <w:proofErr w:type="spellStart"/>
      <w:r w:rsidRPr="00911F61">
        <w:rPr>
          <w:rFonts w:asciiTheme="majorHAnsi" w:eastAsia="Tahoma" w:hAnsiTheme="majorHAnsi" w:cs="Tahoma"/>
          <w:sz w:val="18"/>
          <w:szCs w:val="18"/>
        </w:rPr>
        <w:t>clusterové</w:t>
      </w:r>
      <w:proofErr w:type="spellEnd"/>
      <w:r w:rsidRPr="00911F61">
        <w:rPr>
          <w:rFonts w:asciiTheme="majorHAnsi" w:eastAsia="Tahoma" w:hAnsiTheme="majorHAnsi" w:cs="Tahoma"/>
          <w:sz w:val="18"/>
          <w:szCs w:val="18"/>
        </w:rPr>
        <w:t xml:space="preserve"> analýzy (přikládáme příklad segmentace obyvatel lokality Písnice). Nedílnou součástí výstupů bude i SWOT analýza veřejné vybavenosti a dostupnosti služeb v lokalitě – opět přikládáme ukázku výstupu.</w:t>
      </w:r>
    </w:p>
    <w:p w:rsidR="00911F61" w:rsidRDefault="00911F61" w:rsidP="00911F6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eastAsia="Tahoma" w:hAnsiTheme="majorHAnsi" w:cs="Tahoma"/>
          <w:sz w:val="18"/>
          <w:szCs w:val="18"/>
        </w:rPr>
      </w:pPr>
      <w:r w:rsidRPr="00911F61">
        <w:rPr>
          <w:rFonts w:asciiTheme="majorHAnsi" w:eastAsia="Tahoma" w:hAnsiTheme="majorHAnsi" w:cs="Tahoma"/>
          <w:sz w:val="18"/>
          <w:szCs w:val="18"/>
        </w:rPr>
        <w:t xml:space="preserve">•Zdrojová data s labely proměnných; výpisy otevřených otázek, a to jak v originálním znění, tak kódované </w:t>
      </w:r>
      <w:proofErr w:type="spellStart"/>
      <w:r w:rsidRPr="00911F61">
        <w:rPr>
          <w:rFonts w:asciiTheme="majorHAnsi" w:eastAsia="Tahoma" w:hAnsiTheme="majorHAnsi" w:cs="Tahoma"/>
          <w:sz w:val="18"/>
          <w:szCs w:val="18"/>
        </w:rPr>
        <w:t>odpověd</w:t>
      </w:r>
      <w:proofErr w:type="spellEnd"/>
    </w:p>
    <w:p w:rsidR="00911F61" w:rsidRPr="00E705C2" w:rsidRDefault="00911F61" w:rsidP="00911F6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eastAsia="Tahoma" w:hAnsiTheme="majorHAnsi" w:cs="Tahoma"/>
          <w:sz w:val="18"/>
          <w:szCs w:val="18"/>
        </w:rPr>
      </w:pPr>
    </w:p>
    <w:p w:rsidR="00A44BCA" w:rsidRPr="002B33CD" w:rsidRDefault="00E87BB7">
      <w:pPr>
        <w:pStyle w:val="Nadpis2"/>
        <w:numPr>
          <w:ilvl w:val="1"/>
          <w:numId w:val="2"/>
        </w:numPr>
        <w:rPr>
          <w:rFonts w:asciiTheme="majorHAnsi" w:hAnsiTheme="majorHAnsi"/>
        </w:rPr>
      </w:pPr>
      <w:r w:rsidRPr="002B33CD">
        <w:rPr>
          <w:rFonts w:asciiTheme="majorHAnsi" w:hAnsiTheme="majorHAnsi"/>
        </w:rPr>
        <w:t>požadavky na datový soubor</w:t>
      </w:r>
    </w:p>
    <w:p w:rsidR="00A44BCA" w:rsidRPr="002B33CD" w:rsidRDefault="00E87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hAnsiTheme="majorHAnsi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>Datový soubor pro SPSS připravený pro další analýzu:</w:t>
      </w:r>
    </w:p>
    <w:p w:rsidR="00A44BCA" w:rsidRPr="002B33CD" w:rsidRDefault="00E87BB7" w:rsidP="001E31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440"/>
        <w:rPr>
          <w:rFonts w:asciiTheme="majorHAnsi" w:hAnsiTheme="majorHAnsi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>tj. s labely proměnných apod.;</w:t>
      </w:r>
    </w:p>
    <w:p w:rsidR="00A44BCA" w:rsidRPr="002B33CD" w:rsidRDefault="00E87BB7" w:rsidP="001E31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440"/>
        <w:rPr>
          <w:rFonts w:asciiTheme="majorHAnsi" w:hAnsiTheme="majorHAnsi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 xml:space="preserve">otevřené otázky / </w:t>
      </w:r>
      <w:proofErr w:type="spellStart"/>
      <w:r w:rsidRPr="002B33CD">
        <w:rPr>
          <w:rFonts w:asciiTheme="majorHAnsi" w:eastAsia="Tahoma" w:hAnsiTheme="majorHAnsi" w:cs="Tahoma"/>
          <w:sz w:val="18"/>
          <w:szCs w:val="18"/>
        </w:rPr>
        <w:t>polouzavřené</w:t>
      </w:r>
      <w:proofErr w:type="spellEnd"/>
      <w:r w:rsidRPr="002B33CD">
        <w:rPr>
          <w:rFonts w:asciiTheme="majorHAnsi" w:eastAsia="Tahoma" w:hAnsiTheme="majorHAnsi" w:cs="Tahoma"/>
          <w:sz w:val="18"/>
          <w:szCs w:val="18"/>
        </w:rPr>
        <w:t xml:space="preserve"> </w:t>
      </w:r>
      <w:proofErr w:type="spellStart"/>
      <w:r w:rsidRPr="002B33CD">
        <w:rPr>
          <w:rFonts w:asciiTheme="majorHAnsi" w:eastAsia="Tahoma" w:hAnsiTheme="majorHAnsi" w:cs="Tahoma"/>
          <w:sz w:val="18"/>
          <w:szCs w:val="18"/>
        </w:rPr>
        <w:t>ot</w:t>
      </w:r>
      <w:proofErr w:type="spellEnd"/>
      <w:r w:rsidRPr="002B33CD">
        <w:rPr>
          <w:rFonts w:asciiTheme="majorHAnsi" w:eastAsia="Tahoma" w:hAnsiTheme="majorHAnsi" w:cs="Tahoma"/>
          <w:sz w:val="18"/>
          <w:szCs w:val="18"/>
        </w:rPr>
        <w:t>. - zahrnout jak a) plné (původní/nekódované) znění; tak b) kódované odpovědi;</w:t>
      </w:r>
    </w:p>
    <w:p w:rsidR="00A44BCA" w:rsidRPr="002B33CD" w:rsidRDefault="00E87BB7" w:rsidP="001E31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440"/>
        <w:rPr>
          <w:rFonts w:asciiTheme="majorHAnsi" w:hAnsiTheme="majorHAnsi"/>
        </w:rPr>
      </w:pPr>
      <w:r w:rsidRPr="002B33CD">
        <w:rPr>
          <w:rFonts w:asciiTheme="majorHAnsi" w:eastAsia="Tahoma" w:hAnsiTheme="majorHAnsi" w:cs="Tahoma"/>
          <w:sz w:val="18"/>
          <w:szCs w:val="18"/>
        </w:rPr>
        <w:t>pro segmentační apod. analýzy – u relevantních technik dosažené skóre/hodnoty/segmentace respondentů uloženy jako proměnné</w:t>
      </w:r>
    </w:p>
    <w:p w:rsidR="00A44BCA" w:rsidRPr="002B33CD" w:rsidRDefault="00E87BB7">
      <w:pPr>
        <w:pStyle w:val="Nadpis2"/>
        <w:numPr>
          <w:ilvl w:val="1"/>
          <w:numId w:val="2"/>
        </w:numPr>
        <w:rPr>
          <w:rFonts w:asciiTheme="majorHAnsi" w:hAnsiTheme="majorHAnsi"/>
        </w:rPr>
      </w:pPr>
      <w:r w:rsidRPr="002B33CD">
        <w:rPr>
          <w:rFonts w:asciiTheme="majorHAnsi" w:hAnsiTheme="majorHAnsi"/>
        </w:rPr>
        <w:t>Témata výzkumu, dotazník</w:t>
      </w:r>
    </w:p>
    <w:p w:rsidR="00A44BCA" w:rsidRPr="002B33CD" w:rsidRDefault="00E87BB7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Theme="majorHAnsi" w:hAnsiTheme="majorHAnsi"/>
        </w:rPr>
      </w:pPr>
      <w:r w:rsidRPr="002B33CD">
        <w:rPr>
          <w:rFonts w:asciiTheme="majorHAnsi" w:hAnsiTheme="majorHAnsi"/>
        </w:rPr>
        <w:t>Viz návrh dotazníku v samostatné příloze. Konečné znění bude nejvýše o 15 % delší.</w:t>
      </w:r>
    </w:p>
    <w:p w:rsidR="00A44BCA" w:rsidRPr="002B33CD" w:rsidRDefault="00E87BB7">
      <w:pPr>
        <w:pStyle w:val="Nadpis2"/>
        <w:numPr>
          <w:ilvl w:val="1"/>
          <w:numId w:val="2"/>
        </w:numPr>
        <w:rPr>
          <w:rFonts w:asciiTheme="majorHAnsi" w:hAnsiTheme="majorHAnsi"/>
        </w:rPr>
      </w:pPr>
      <w:r w:rsidRPr="002B33CD">
        <w:rPr>
          <w:rFonts w:asciiTheme="majorHAnsi" w:hAnsiTheme="majorHAnsi"/>
        </w:rPr>
        <w:t>Standardy, průběžná kontrola</w:t>
      </w:r>
    </w:p>
    <w:p w:rsidR="00A44BCA" w:rsidRDefault="00E87BB7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Theme="majorHAnsi" w:hAnsiTheme="majorHAnsi"/>
        </w:rPr>
      </w:pPr>
      <w:r w:rsidRPr="002B33CD">
        <w:rPr>
          <w:rFonts w:asciiTheme="majorHAnsi" w:hAnsiTheme="majorHAnsi"/>
        </w:rPr>
        <w:t xml:space="preserve">Průzkum bude proveden dle standardů </w:t>
      </w:r>
      <w:proofErr w:type="spellStart"/>
      <w:r w:rsidRPr="002B33CD">
        <w:rPr>
          <w:rFonts w:asciiTheme="majorHAnsi" w:hAnsiTheme="majorHAnsi"/>
        </w:rPr>
        <w:t>Esomar</w:t>
      </w:r>
      <w:proofErr w:type="spellEnd"/>
      <w:r w:rsidRPr="002B33CD">
        <w:rPr>
          <w:rFonts w:asciiTheme="majorHAnsi" w:hAnsiTheme="majorHAnsi"/>
        </w:rPr>
        <w:t xml:space="preserve">. </w:t>
      </w:r>
    </w:p>
    <w:p w:rsidR="005513FE" w:rsidRPr="005513FE" w:rsidRDefault="005513FE" w:rsidP="005513FE">
      <w:pPr>
        <w:pStyle w:val="Nadpis2"/>
        <w:numPr>
          <w:ilvl w:val="1"/>
          <w:numId w:val="2"/>
        </w:numPr>
        <w:rPr>
          <w:rFonts w:asciiTheme="majorHAnsi" w:hAnsiTheme="majorHAnsi"/>
        </w:rPr>
      </w:pPr>
      <w:r w:rsidRPr="005513FE">
        <w:rPr>
          <w:rFonts w:asciiTheme="majorHAnsi" w:hAnsiTheme="majorHAnsi"/>
        </w:rPr>
        <w:t xml:space="preserve">Metodika průzkumu - obsah návrhu řešení průzkumu </w:t>
      </w:r>
    </w:p>
    <w:p w:rsidR="005513FE" w:rsidRPr="000628DE" w:rsidRDefault="005513FE" w:rsidP="000628DE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Theme="majorHAnsi" w:hAnsiTheme="majorHAnsi"/>
        </w:rPr>
      </w:pPr>
      <w:r w:rsidRPr="000628DE">
        <w:rPr>
          <w:rFonts w:asciiTheme="majorHAnsi" w:hAnsiTheme="majorHAnsi"/>
        </w:rPr>
        <w:t xml:space="preserve">Návrh </w:t>
      </w:r>
      <w:r w:rsidR="000628DE" w:rsidRPr="000628DE">
        <w:rPr>
          <w:rFonts w:asciiTheme="majorHAnsi" w:hAnsiTheme="majorHAnsi"/>
        </w:rPr>
        <w:t xml:space="preserve">řešení </w:t>
      </w:r>
      <w:r w:rsidRPr="000628DE">
        <w:rPr>
          <w:rFonts w:asciiTheme="majorHAnsi" w:hAnsiTheme="majorHAnsi"/>
        </w:rPr>
        <w:t>průzkumu by měl obsahovat zejména:</w:t>
      </w:r>
    </w:p>
    <w:p w:rsidR="005513FE" w:rsidRPr="005513FE" w:rsidRDefault="005513FE" w:rsidP="005513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eastAsia="Tahoma" w:hAnsiTheme="majorHAnsi" w:cs="Tahoma"/>
          <w:sz w:val="18"/>
          <w:szCs w:val="18"/>
        </w:rPr>
      </w:pPr>
      <w:r w:rsidRPr="005513FE">
        <w:rPr>
          <w:rFonts w:asciiTheme="majorHAnsi" w:eastAsia="Tahoma" w:hAnsiTheme="majorHAnsi" w:cs="Tahoma"/>
          <w:sz w:val="18"/>
          <w:szCs w:val="18"/>
        </w:rPr>
        <w:t>Techniku sběru dat</w:t>
      </w:r>
      <w:r w:rsidR="00B92CCD">
        <w:rPr>
          <w:rFonts w:asciiTheme="majorHAnsi" w:eastAsia="Tahoma" w:hAnsiTheme="majorHAnsi" w:cs="Tahoma"/>
          <w:sz w:val="18"/>
          <w:szCs w:val="18"/>
        </w:rPr>
        <w:t>, v případě kombinace technik jejich předpokládaný poměr,</w:t>
      </w:r>
    </w:p>
    <w:p w:rsidR="005513FE" w:rsidRPr="005513FE" w:rsidRDefault="005513FE" w:rsidP="005513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eastAsia="Tahoma" w:hAnsiTheme="majorHAnsi" w:cs="Tahoma"/>
          <w:sz w:val="18"/>
          <w:szCs w:val="18"/>
        </w:rPr>
      </w:pPr>
      <w:r w:rsidRPr="005513FE">
        <w:rPr>
          <w:rFonts w:asciiTheme="majorHAnsi" w:eastAsia="Tahoma" w:hAnsiTheme="majorHAnsi" w:cs="Tahoma"/>
          <w:sz w:val="18"/>
          <w:szCs w:val="18"/>
        </w:rPr>
        <w:t>Metodu výběru respondentů</w:t>
      </w:r>
      <w:r w:rsidR="00B92CCD">
        <w:rPr>
          <w:rFonts w:asciiTheme="majorHAnsi" w:eastAsia="Tahoma" w:hAnsiTheme="majorHAnsi" w:cs="Tahoma"/>
          <w:sz w:val="18"/>
          <w:szCs w:val="18"/>
        </w:rPr>
        <w:t>,</w:t>
      </w:r>
    </w:p>
    <w:p w:rsidR="005513FE" w:rsidRPr="005513FE" w:rsidRDefault="005513FE" w:rsidP="005513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eastAsia="Tahoma" w:hAnsiTheme="majorHAnsi" w:cs="Tahoma"/>
          <w:sz w:val="18"/>
          <w:szCs w:val="18"/>
        </w:rPr>
      </w:pPr>
      <w:r w:rsidRPr="005513FE">
        <w:rPr>
          <w:rFonts w:asciiTheme="majorHAnsi" w:eastAsia="Tahoma" w:hAnsiTheme="majorHAnsi" w:cs="Tahoma"/>
          <w:sz w:val="18"/>
          <w:szCs w:val="18"/>
        </w:rPr>
        <w:t>Způsob zpracování závěrečné zprávy, shrnutí výsledků, předpokládané statistické analýzy</w:t>
      </w:r>
      <w:r w:rsidR="00B92CCD">
        <w:rPr>
          <w:rFonts w:asciiTheme="majorHAnsi" w:eastAsia="Tahoma" w:hAnsiTheme="majorHAnsi" w:cs="Tahoma"/>
          <w:sz w:val="18"/>
          <w:szCs w:val="18"/>
        </w:rPr>
        <w:t>,</w:t>
      </w:r>
    </w:p>
    <w:p w:rsidR="005513FE" w:rsidRPr="005513FE" w:rsidRDefault="005513FE" w:rsidP="005513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eastAsia="Tahoma" w:hAnsiTheme="majorHAnsi" w:cs="Tahoma"/>
          <w:sz w:val="18"/>
          <w:szCs w:val="18"/>
        </w:rPr>
      </w:pPr>
      <w:r w:rsidRPr="005513FE">
        <w:rPr>
          <w:rFonts w:asciiTheme="majorHAnsi" w:eastAsia="Tahoma" w:hAnsiTheme="majorHAnsi" w:cs="Tahoma"/>
          <w:sz w:val="18"/>
          <w:szCs w:val="18"/>
        </w:rPr>
        <w:t>Harmonogram průzkumu</w:t>
      </w:r>
      <w:r w:rsidR="00B92CCD">
        <w:rPr>
          <w:rFonts w:asciiTheme="majorHAnsi" w:eastAsia="Tahoma" w:hAnsiTheme="majorHAnsi" w:cs="Tahoma"/>
          <w:sz w:val="18"/>
          <w:szCs w:val="18"/>
        </w:rPr>
        <w:t>,</w:t>
      </w:r>
    </w:p>
    <w:p w:rsidR="005513FE" w:rsidRDefault="005513FE" w:rsidP="005513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</w:pPr>
      <w:r w:rsidRPr="005513FE">
        <w:rPr>
          <w:rFonts w:asciiTheme="majorHAnsi" w:eastAsia="Tahoma" w:hAnsiTheme="majorHAnsi" w:cs="Tahoma"/>
          <w:sz w:val="18"/>
          <w:szCs w:val="18"/>
        </w:rPr>
        <w:t xml:space="preserve">Pokud bude sběr dat prováděn prostřednictvím online panelu respondentů, pak odpovědi na relevantní otázky dle dokumentu </w:t>
      </w:r>
      <w:proofErr w:type="spellStart"/>
      <w:r w:rsidRPr="005513FE">
        <w:rPr>
          <w:rFonts w:asciiTheme="majorHAnsi" w:eastAsia="Tahoma" w:hAnsiTheme="majorHAnsi" w:cs="Tahoma"/>
          <w:sz w:val="18"/>
          <w:szCs w:val="18"/>
        </w:rPr>
        <w:t>Esomar</w:t>
      </w:r>
      <w:proofErr w:type="spellEnd"/>
      <w:r w:rsidRPr="005513FE">
        <w:rPr>
          <w:rFonts w:asciiTheme="majorHAnsi" w:eastAsia="Tahoma" w:hAnsiTheme="majorHAnsi" w:cs="Tahoma"/>
          <w:sz w:val="18"/>
          <w:szCs w:val="18"/>
        </w:rPr>
        <w:t xml:space="preserve"> „28 </w:t>
      </w:r>
      <w:proofErr w:type="spellStart"/>
      <w:r w:rsidRPr="005513FE">
        <w:rPr>
          <w:rFonts w:asciiTheme="majorHAnsi" w:eastAsia="Tahoma" w:hAnsiTheme="majorHAnsi" w:cs="Tahoma"/>
          <w:sz w:val="18"/>
          <w:szCs w:val="18"/>
        </w:rPr>
        <w:t>Questions</w:t>
      </w:r>
      <w:proofErr w:type="spellEnd"/>
      <w:r w:rsidRPr="005513FE">
        <w:rPr>
          <w:rFonts w:asciiTheme="majorHAnsi" w:eastAsia="Tahoma" w:hAnsiTheme="majorHAnsi" w:cs="Tahoma"/>
          <w:sz w:val="18"/>
          <w:szCs w:val="18"/>
        </w:rPr>
        <w:t xml:space="preserve"> to </w:t>
      </w:r>
      <w:proofErr w:type="spellStart"/>
      <w:r w:rsidRPr="005513FE">
        <w:rPr>
          <w:rFonts w:asciiTheme="majorHAnsi" w:eastAsia="Tahoma" w:hAnsiTheme="majorHAnsi" w:cs="Tahoma"/>
          <w:sz w:val="18"/>
          <w:szCs w:val="18"/>
        </w:rPr>
        <w:t>Help</w:t>
      </w:r>
      <w:proofErr w:type="spellEnd"/>
      <w:r w:rsidRPr="005513FE">
        <w:rPr>
          <w:rFonts w:asciiTheme="majorHAnsi" w:eastAsia="Tahoma" w:hAnsiTheme="majorHAnsi" w:cs="Tahoma"/>
          <w:sz w:val="18"/>
          <w:szCs w:val="18"/>
        </w:rPr>
        <w:t xml:space="preserve"> </w:t>
      </w:r>
      <w:proofErr w:type="spellStart"/>
      <w:r w:rsidRPr="005513FE">
        <w:rPr>
          <w:rFonts w:asciiTheme="majorHAnsi" w:eastAsia="Tahoma" w:hAnsiTheme="majorHAnsi" w:cs="Tahoma"/>
          <w:sz w:val="18"/>
          <w:szCs w:val="18"/>
        </w:rPr>
        <w:t>Buyers</w:t>
      </w:r>
      <w:proofErr w:type="spellEnd"/>
      <w:r w:rsidRPr="005513FE">
        <w:rPr>
          <w:rFonts w:asciiTheme="majorHAnsi" w:eastAsia="Tahoma" w:hAnsiTheme="majorHAnsi" w:cs="Tahoma"/>
          <w:sz w:val="18"/>
          <w:szCs w:val="18"/>
        </w:rPr>
        <w:t xml:space="preserve"> </w:t>
      </w:r>
      <w:proofErr w:type="spellStart"/>
      <w:r w:rsidRPr="005513FE">
        <w:rPr>
          <w:rFonts w:asciiTheme="majorHAnsi" w:eastAsia="Tahoma" w:hAnsiTheme="majorHAnsi" w:cs="Tahoma"/>
          <w:sz w:val="18"/>
          <w:szCs w:val="18"/>
        </w:rPr>
        <w:t>of</w:t>
      </w:r>
      <w:proofErr w:type="spellEnd"/>
      <w:r w:rsidRPr="005513FE">
        <w:rPr>
          <w:rFonts w:asciiTheme="majorHAnsi" w:eastAsia="Tahoma" w:hAnsiTheme="majorHAnsi" w:cs="Tahoma"/>
          <w:sz w:val="18"/>
          <w:szCs w:val="18"/>
        </w:rPr>
        <w:t xml:space="preserve"> Online </w:t>
      </w:r>
      <w:proofErr w:type="spellStart"/>
      <w:r w:rsidRPr="005513FE">
        <w:rPr>
          <w:rFonts w:asciiTheme="majorHAnsi" w:eastAsia="Tahoma" w:hAnsiTheme="majorHAnsi" w:cs="Tahoma"/>
          <w:sz w:val="18"/>
          <w:szCs w:val="18"/>
        </w:rPr>
        <w:t>Samples</w:t>
      </w:r>
      <w:proofErr w:type="spellEnd"/>
      <w:r w:rsidRPr="005513FE">
        <w:rPr>
          <w:rFonts w:asciiTheme="majorHAnsi" w:eastAsia="Tahoma" w:hAnsiTheme="majorHAnsi" w:cs="Tahoma"/>
          <w:sz w:val="18"/>
          <w:szCs w:val="18"/>
        </w:rPr>
        <w:t>“ (</w:t>
      </w:r>
      <w:hyperlink r:id="rId9">
        <w:r w:rsidRPr="005513FE">
          <w:rPr>
            <w:rFonts w:asciiTheme="majorHAnsi" w:eastAsia="Tahoma" w:hAnsiTheme="majorHAnsi" w:cs="Tahoma"/>
            <w:sz w:val="18"/>
            <w:szCs w:val="18"/>
          </w:rPr>
          <w:t>https://www.esomar.org/knowledge-and-standards/research-resources/28-questions-on-online-sampling.php</w:t>
        </w:r>
      </w:hyperlink>
      <w:r>
        <w:t>)</w:t>
      </w:r>
      <w:r w:rsidR="00B92CCD">
        <w:t>.</w:t>
      </w:r>
    </w:p>
    <w:p w:rsidR="005513FE" w:rsidRPr="002B33CD" w:rsidRDefault="005513FE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sectPr w:rsidR="005513FE" w:rsidRPr="002B33CD" w:rsidSect="00017EFF">
      <w:headerReference w:type="default" r:id="rId10"/>
      <w:pgSz w:w="11906" w:h="16838"/>
      <w:pgMar w:top="720" w:right="720" w:bottom="720" w:left="720" w:header="708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AD7" w:rsidRDefault="00CC7AD7" w:rsidP="00CC7AD7">
      <w:pPr>
        <w:spacing w:before="0" w:after="0" w:line="240" w:lineRule="auto"/>
      </w:pPr>
      <w:r>
        <w:separator/>
      </w:r>
    </w:p>
  </w:endnote>
  <w:endnote w:type="continuationSeparator" w:id="0">
    <w:p w:rsidR="00CC7AD7" w:rsidRDefault="00CC7AD7" w:rsidP="00CC7AD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AD7" w:rsidRDefault="00CC7AD7" w:rsidP="00CC7AD7">
      <w:pPr>
        <w:spacing w:before="0" w:after="0" w:line="240" w:lineRule="auto"/>
      </w:pPr>
      <w:r>
        <w:separator/>
      </w:r>
    </w:p>
  </w:footnote>
  <w:footnote w:type="continuationSeparator" w:id="0">
    <w:p w:rsidR="00CC7AD7" w:rsidRDefault="00CC7AD7" w:rsidP="00CC7AD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AD7" w:rsidRDefault="00CC7AD7">
    <w:pPr>
      <w:pStyle w:val="Zhlav"/>
    </w:pPr>
    <w:r>
      <w:t>Příloha č. 1 ZAK 19-0004.2 Technická specifikace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2394"/>
    <w:multiLevelType w:val="multilevel"/>
    <w:tmpl w:val="55946B2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>
    <w:nsid w:val="4E223D59"/>
    <w:multiLevelType w:val="multilevel"/>
    <w:tmpl w:val="85686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A8D2B11"/>
    <w:multiLevelType w:val="multilevel"/>
    <w:tmpl w:val="DA50C0E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2F612D2"/>
    <w:multiLevelType w:val="multilevel"/>
    <w:tmpl w:val="5198C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BCA"/>
    <w:rsid w:val="00017EFF"/>
    <w:rsid w:val="000628DE"/>
    <w:rsid w:val="00097153"/>
    <w:rsid w:val="000F68E4"/>
    <w:rsid w:val="001E311E"/>
    <w:rsid w:val="0026239F"/>
    <w:rsid w:val="0029371C"/>
    <w:rsid w:val="002B33CD"/>
    <w:rsid w:val="002F45C9"/>
    <w:rsid w:val="00303226"/>
    <w:rsid w:val="0039664A"/>
    <w:rsid w:val="00401D44"/>
    <w:rsid w:val="004A1000"/>
    <w:rsid w:val="004B5939"/>
    <w:rsid w:val="004D3CFF"/>
    <w:rsid w:val="004E2BA6"/>
    <w:rsid w:val="005018BF"/>
    <w:rsid w:val="00517AC5"/>
    <w:rsid w:val="005513FE"/>
    <w:rsid w:val="005866A3"/>
    <w:rsid w:val="00657735"/>
    <w:rsid w:val="00682F3D"/>
    <w:rsid w:val="007A41CD"/>
    <w:rsid w:val="007C7565"/>
    <w:rsid w:val="008B19FC"/>
    <w:rsid w:val="008B31F7"/>
    <w:rsid w:val="008D32CB"/>
    <w:rsid w:val="00911F61"/>
    <w:rsid w:val="009A2D9A"/>
    <w:rsid w:val="00A025BD"/>
    <w:rsid w:val="00A13320"/>
    <w:rsid w:val="00A44BCA"/>
    <w:rsid w:val="00AC3480"/>
    <w:rsid w:val="00B82916"/>
    <w:rsid w:val="00B92CCD"/>
    <w:rsid w:val="00BF07BD"/>
    <w:rsid w:val="00C312AF"/>
    <w:rsid w:val="00C7067D"/>
    <w:rsid w:val="00C919D2"/>
    <w:rsid w:val="00CA0998"/>
    <w:rsid w:val="00CB43BF"/>
    <w:rsid w:val="00CC7AD7"/>
    <w:rsid w:val="00D4519A"/>
    <w:rsid w:val="00DC7ADF"/>
    <w:rsid w:val="00DF1EC9"/>
    <w:rsid w:val="00E23B8A"/>
    <w:rsid w:val="00E502CD"/>
    <w:rsid w:val="00E658BF"/>
    <w:rsid w:val="00E705C2"/>
    <w:rsid w:val="00E87BB7"/>
    <w:rsid w:val="00ED0139"/>
    <w:rsid w:val="00F17722"/>
    <w:rsid w:val="00F34C49"/>
    <w:rsid w:val="00FA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cs-CZ" w:eastAsia="cs-CZ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ind w:left="431" w:hanging="431"/>
      <w:outlineLvl w:val="0"/>
    </w:pPr>
    <w:rPr>
      <w:b/>
      <w:smallCaps/>
      <w:color w:val="FFFFFF"/>
      <w:sz w:val="22"/>
      <w:szCs w:val="22"/>
    </w:rPr>
  </w:style>
  <w:style w:type="paragraph" w:styleId="Nadpis2">
    <w:name w:val="heading 2"/>
    <w:basedOn w:val="Normln"/>
    <w:next w:val="Normln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ind w:left="576"/>
      <w:outlineLvl w:val="1"/>
    </w:pPr>
    <w:rPr>
      <w:smallCaps/>
      <w:sz w:val="22"/>
      <w:szCs w:val="22"/>
    </w:rPr>
  </w:style>
  <w:style w:type="paragraph" w:styleId="Nadpis3">
    <w:name w:val="heading 3"/>
    <w:basedOn w:val="Normln"/>
    <w:next w:val="Normln"/>
    <w:pPr>
      <w:pBdr>
        <w:top w:val="single" w:sz="6" w:space="2" w:color="4F81BD"/>
        <w:left w:val="single" w:sz="6" w:space="2" w:color="4F81BD"/>
      </w:pBdr>
      <w:spacing w:before="300" w:after="0"/>
      <w:ind w:left="720" w:hanging="720"/>
      <w:outlineLvl w:val="2"/>
    </w:pPr>
    <w:rPr>
      <w:smallCaps/>
      <w:color w:val="243F61"/>
      <w:sz w:val="22"/>
      <w:szCs w:val="22"/>
    </w:rPr>
  </w:style>
  <w:style w:type="paragraph" w:styleId="Nadpis4">
    <w:name w:val="heading 4"/>
    <w:basedOn w:val="Normln"/>
    <w:next w:val="Normln"/>
    <w:pPr>
      <w:pBdr>
        <w:top w:val="dotted" w:sz="6" w:space="2" w:color="4F81BD"/>
        <w:left w:val="dotted" w:sz="6" w:space="2" w:color="4F81BD"/>
      </w:pBdr>
      <w:spacing w:before="300" w:after="0"/>
      <w:ind w:left="864" w:hanging="864"/>
      <w:outlineLvl w:val="3"/>
    </w:pPr>
    <w:rPr>
      <w:smallCaps/>
      <w:color w:val="366091"/>
      <w:sz w:val="22"/>
      <w:szCs w:val="22"/>
    </w:rPr>
  </w:style>
  <w:style w:type="paragraph" w:styleId="Nadpis5">
    <w:name w:val="heading 5"/>
    <w:basedOn w:val="Normln"/>
    <w:next w:val="Normln"/>
    <w:pPr>
      <w:pBdr>
        <w:bottom w:val="single" w:sz="6" w:space="1" w:color="4F81BD"/>
      </w:pBdr>
      <w:spacing w:before="300" w:after="0"/>
      <w:ind w:left="1008" w:hanging="1008"/>
      <w:outlineLvl w:val="4"/>
    </w:pPr>
    <w:rPr>
      <w:smallCaps/>
      <w:color w:val="366091"/>
      <w:sz w:val="22"/>
      <w:szCs w:val="22"/>
    </w:rPr>
  </w:style>
  <w:style w:type="paragraph" w:styleId="Nadpis6">
    <w:name w:val="heading 6"/>
    <w:basedOn w:val="Normln"/>
    <w:next w:val="Normln"/>
    <w:pPr>
      <w:pBdr>
        <w:bottom w:val="dotted" w:sz="6" w:space="1" w:color="4F81BD"/>
      </w:pBdr>
      <w:spacing w:before="300" w:after="0"/>
      <w:ind w:left="2736" w:hanging="936"/>
      <w:outlineLvl w:val="5"/>
    </w:pPr>
    <w:rPr>
      <w:smallCaps/>
      <w:color w:val="366091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B33C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33C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C7AD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AD7"/>
  </w:style>
  <w:style w:type="paragraph" w:styleId="Zpat">
    <w:name w:val="footer"/>
    <w:basedOn w:val="Normln"/>
    <w:link w:val="ZpatChar"/>
    <w:uiPriority w:val="99"/>
    <w:unhideWhenUsed/>
    <w:rsid w:val="00CC7AD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A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cs-CZ" w:eastAsia="cs-CZ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ind w:left="431" w:hanging="431"/>
      <w:outlineLvl w:val="0"/>
    </w:pPr>
    <w:rPr>
      <w:b/>
      <w:smallCaps/>
      <w:color w:val="FFFFFF"/>
      <w:sz w:val="22"/>
      <w:szCs w:val="22"/>
    </w:rPr>
  </w:style>
  <w:style w:type="paragraph" w:styleId="Nadpis2">
    <w:name w:val="heading 2"/>
    <w:basedOn w:val="Normln"/>
    <w:next w:val="Normln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ind w:left="576"/>
      <w:outlineLvl w:val="1"/>
    </w:pPr>
    <w:rPr>
      <w:smallCaps/>
      <w:sz w:val="22"/>
      <w:szCs w:val="22"/>
    </w:rPr>
  </w:style>
  <w:style w:type="paragraph" w:styleId="Nadpis3">
    <w:name w:val="heading 3"/>
    <w:basedOn w:val="Normln"/>
    <w:next w:val="Normln"/>
    <w:pPr>
      <w:pBdr>
        <w:top w:val="single" w:sz="6" w:space="2" w:color="4F81BD"/>
        <w:left w:val="single" w:sz="6" w:space="2" w:color="4F81BD"/>
      </w:pBdr>
      <w:spacing w:before="300" w:after="0"/>
      <w:ind w:left="720" w:hanging="720"/>
      <w:outlineLvl w:val="2"/>
    </w:pPr>
    <w:rPr>
      <w:smallCaps/>
      <w:color w:val="243F61"/>
      <w:sz w:val="22"/>
      <w:szCs w:val="22"/>
    </w:rPr>
  </w:style>
  <w:style w:type="paragraph" w:styleId="Nadpis4">
    <w:name w:val="heading 4"/>
    <w:basedOn w:val="Normln"/>
    <w:next w:val="Normln"/>
    <w:pPr>
      <w:pBdr>
        <w:top w:val="dotted" w:sz="6" w:space="2" w:color="4F81BD"/>
        <w:left w:val="dotted" w:sz="6" w:space="2" w:color="4F81BD"/>
      </w:pBdr>
      <w:spacing w:before="300" w:after="0"/>
      <w:ind w:left="864" w:hanging="864"/>
      <w:outlineLvl w:val="3"/>
    </w:pPr>
    <w:rPr>
      <w:smallCaps/>
      <w:color w:val="366091"/>
      <w:sz w:val="22"/>
      <w:szCs w:val="22"/>
    </w:rPr>
  </w:style>
  <w:style w:type="paragraph" w:styleId="Nadpis5">
    <w:name w:val="heading 5"/>
    <w:basedOn w:val="Normln"/>
    <w:next w:val="Normln"/>
    <w:pPr>
      <w:pBdr>
        <w:bottom w:val="single" w:sz="6" w:space="1" w:color="4F81BD"/>
      </w:pBdr>
      <w:spacing w:before="300" w:after="0"/>
      <w:ind w:left="1008" w:hanging="1008"/>
      <w:outlineLvl w:val="4"/>
    </w:pPr>
    <w:rPr>
      <w:smallCaps/>
      <w:color w:val="366091"/>
      <w:sz w:val="22"/>
      <w:szCs w:val="22"/>
    </w:rPr>
  </w:style>
  <w:style w:type="paragraph" w:styleId="Nadpis6">
    <w:name w:val="heading 6"/>
    <w:basedOn w:val="Normln"/>
    <w:next w:val="Normln"/>
    <w:pPr>
      <w:pBdr>
        <w:bottom w:val="dotted" w:sz="6" w:space="1" w:color="4F81BD"/>
      </w:pBdr>
      <w:spacing w:before="300" w:after="0"/>
      <w:ind w:left="2736" w:hanging="936"/>
      <w:outlineLvl w:val="5"/>
    </w:pPr>
    <w:rPr>
      <w:smallCaps/>
      <w:color w:val="366091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B33C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33C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C7AD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AD7"/>
  </w:style>
  <w:style w:type="paragraph" w:styleId="Zpat">
    <w:name w:val="footer"/>
    <w:basedOn w:val="Normln"/>
    <w:link w:val="ZpatChar"/>
    <w:uiPriority w:val="99"/>
    <w:unhideWhenUsed/>
    <w:rsid w:val="00CC7AD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somar.org/knowledge-and-standards/research-resources/28-questions-on-online-sampling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1277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www.sociores.cz</Company>
  <LinksUpToDate>false</LinksUpToDate>
  <CharactersWithSpaces>8797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Monzerová Viola Mgr. (IPR/KRA)</cp:lastModifiedBy>
  <cp:revision>3</cp:revision>
  <cp:lastPrinted>2019-02-06T13:50:00Z</cp:lastPrinted>
  <dcterms:created xsi:type="dcterms:W3CDTF">2019-02-06T11:13:00Z</dcterms:created>
  <dcterms:modified xsi:type="dcterms:W3CDTF">2019-02-06T13:50:00Z</dcterms:modified>
</cp:coreProperties>
</file>