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51366" w14:textId="77777777" w:rsidR="00D21F1B" w:rsidRDefault="00D21F1B" w:rsidP="00D21F1B">
      <w:pPr>
        <w:spacing w:before="120"/>
        <w:ind w:left="2940" w:hanging="2940"/>
        <w:jc w:val="center"/>
        <w:rPr>
          <w:rFonts w:cs="Arial"/>
          <w:b/>
          <w:caps/>
          <w:snapToGrid w:val="0"/>
          <w:sz w:val="52"/>
        </w:rPr>
      </w:pPr>
      <w:bookmarkStart w:id="0" w:name="_GoBack"/>
      <w:bookmarkEnd w:id="0"/>
    </w:p>
    <w:p w14:paraId="66D63D71" w14:textId="77777777" w:rsidR="00D21F1B" w:rsidRDefault="00D21F1B" w:rsidP="00D21F1B">
      <w:pPr>
        <w:spacing w:before="120"/>
        <w:ind w:left="2940" w:hanging="2940"/>
        <w:jc w:val="center"/>
        <w:rPr>
          <w:rFonts w:cs="Arial"/>
          <w:sz w:val="32"/>
          <w:szCs w:val="32"/>
        </w:rPr>
      </w:pPr>
    </w:p>
    <w:p w14:paraId="44000EF6" w14:textId="77777777" w:rsidR="00D21F1B" w:rsidRDefault="00D21F1B" w:rsidP="00D21F1B">
      <w:pPr>
        <w:spacing w:before="120"/>
        <w:ind w:left="2940" w:hanging="2940"/>
        <w:jc w:val="center"/>
        <w:rPr>
          <w:rFonts w:cs="Arial"/>
          <w:b/>
          <w:bCs/>
          <w:sz w:val="28"/>
        </w:rPr>
      </w:pPr>
    </w:p>
    <w:p w14:paraId="514AD752" w14:textId="77777777" w:rsidR="00D21F1B" w:rsidRDefault="00D21F1B" w:rsidP="00D21F1B">
      <w:pPr>
        <w:rPr>
          <w:rFonts w:cs="Arial"/>
          <w:b/>
          <w:bCs/>
          <w:sz w:val="28"/>
        </w:rPr>
      </w:pPr>
    </w:p>
    <w:p w14:paraId="3F334A78" w14:textId="77777777" w:rsidR="00D21F1B" w:rsidRDefault="00D21F1B" w:rsidP="00D21F1B">
      <w:pPr>
        <w:tabs>
          <w:tab w:val="left" w:pos="6210"/>
        </w:tabs>
        <w:rPr>
          <w:rFonts w:cs="Arial"/>
          <w:b/>
          <w:bCs/>
          <w:sz w:val="28"/>
        </w:rPr>
      </w:pPr>
      <w:r>
        <w:rPr>
          <w:rFonts w:cs="Arial"/>
          <w:b/>
          <w:bCs/>
          <w:sz w:val="28"/>
        </w:rPr>
        <w:tab/>
      </w:r>
    </w:p>
    <w:p w14:paraId="2DBCA3BA" w14:textId="77777777" w:rsidR="00D21F1B" w:rsidRDefault="00D21F1B" w:rsidP="00D21F1B">
      <w:pPr>
        <w:jc w:val="center"/>
        <w:rPr>
          <w:rFonts w:cs="Arial"/>
          <w:b/>
          <w:bCs/>
          <w:sz w:val="36"/>
        </w:rPr>
      </w:pPr>
      <w:r>
        <w:rPr>
          <w:rFonts w:cs="Arial"/>
          <w:b/>
          <w:bCs/>
          <w:sz w:val="36"/>
        </w:rPr>
        <w:t>Obchodní podmínky</w:t>
      </w:r>
    </w:p>
    <w:p w14:paraId="38E1F102" w14:textId="77777777" w:rsidR="00D21F1B" w:rsidRDefault="00D21F1B" w:rsidP="00D21F1B">
      <w:pPr>
        <w:jc w:val="center"/>
        <w:rPr>
          <w:rFonts w:cs="Arial"/>
          <w:b/>
          <w:bCs/>
          <w:sz w:val="28"/>
          <w:szCs w:val="28"/>
        </w:rPr>
      </w:pPr>
    </w:p>
    <w:p w14:paraId="4EE7BCC8" w14:textId="77777777" w:rsidR="00D21F1B" w:rsidRDefault="00D21F1B" w:rsidP="00D21F1B">
      <w:pPr>
        <w:spacing w:line="360" w:lineRule="auto"/>
        <w:jc w:val="center"/>
        <w:rPr>
          <w:rFonts w:cs="Arial"/>
          <w:b/>
          <w:bCs/>
          <w:sz w:val="28"/>
        </w:rPr>
      </w:pPr>
    </w:p>
    <w:p w14:paraId="2B422371" w14:textId="77777777" w:rsidR="00D21F1B" w:rsidRDefault="00D21F1B" w:rsidP="00D21F1B">
      <w:pPr>
        <w:spacing w:line="360" w:lineRule="auto"/>
        <w:jc w:val="center"/>
        <w:rPr>
          <w:rFonts w:cs="Arial"/>
          <w:b/>
          <w:bCs/>
          <w:sz w:val="28"/>
          <w:szCs w:val="28"/>
        </w:rPr>
      </w:pPr>
      <w:r>
        <w:rPr>
          <w:rFonts w:cs="Arial"/>
          <w:b/>
          <w:bCs/>
          <w:sz w:val="28"/>
          <w:szCs w:val="28"/>
        </w:rPr>
        <w:t>pro návrh smlouvy</w:t>
      </w:r>
    </w:p>
    <w:p w14:paraId="23567746" w14:textId="77777777" w:rsidR="00D21F1B" w:rsidRDefault="00D21F1B" w:rsidP="00D21F1B">
      <w:pPr>
        <w:spacing w:before="120" w:line="360" w:lineRule="auto"/>
        <w:jc w:val="center"/>
        <w:rPr>
          <w:rFonts w:cs="Arial"/>
          <w:b/>
          <w:bCs/>
          <w:sz w:val="28"/>
          <w:szCs w:val="28"/>
        </w:rPr>
      </w:pPr>
      <w:r>
        <w:rPr>
          <w:rFonts w:cs="Arial"/>
          <w:b/>
          <w:bCs/>
          <w:sz w:val="28"/>
          <w:szCs w:val="28"/>
        </w:rPr>
        <w:t>k části 2 veřejné zakázky zadávané v nadlimitním otevřeném řízení „Pojištění majetku a odpovědnosti za škodu Zlínského kraje a jeho organizací“</w:t>
      </w:r>
    </w:p>
    <w:p w14:paraId="472A8E5F" w14:textId="77777777" w:rsidR="00D21F1B" w:rsidRDefault="00D21F1B" w:rsidP="00D21F1B">
      <w:pPr>
        <w:spacing w:before="120" w:line="360" w:lineRule="auto"/>
        <w:jc w:val="center"/>
        <w:rPr>
          <w:rFonts w:cs="Arial"/>
          <w:b/>
          <w:bCs/>
          <w:sz w:val="28"/>
          <w:szCs w:val="28"/>
        </w:rPr>
      </w:pPr>
      <w:r>
        <w:rPr>
          <w:rFonts w:cs="Arial"/>
          <w:b/>
          <w:bCs/>
          <w:sz w:val="28"/>
          <w:szCs w:val="28"/>
        </w:rPr>
        <w:t>podle zákona č. 134/2016 Sb., o zadávání veřejných zakázek, ve znění pozdějších předpisů</w:t>
      </w:r>
    </w:p>
    <w:p w14:paraId="46A4B977" w14:textId="77777777" w:rsidR="00D21F1B" w:rsidRDefault="00D21F1B" w:rsidP="00D21F1B">
      <w:pPr>
        <w:spacing w:before="120" w:line="360" w:lineRule="auto"/>
        <w:jc w:val="center"/>
        <w:rPr>
          <w:rFonts w:cs="Arial"/>
          <w:b/>
          <w:bCs/>
          <w:sz w:val="28"/>
          <w:szCs w:val="28"/>
        </w:rPr>
      </w:pPr>
      <w:r>
        <w:rPr>
          <w:rFonts w:cs="Arial"/>
          <w:b/>
          <w:bCs/>
          <w:sz w:val="28"/>
          <w:szCs w:val="28"/>
        </w:rPr>
        <w:t xml:space="preserve"> (dále jen „zákon“)</w:t>
      </w:r>
    </w:p>
    <w:p w14:paraId="386BD3BC" w14:textId="77777777" w:rsidR="00D21F1B" w:rsidRDefault="00D21F1B" w:rsidP="00D21F1B">
      <w:pPr>
        <w:spacing w:line="360" w:lineRule="auto"/>
        <w:jc w:val="center"/>
        <w:rPr>
          <w:rFonts w:cs="Arial"/>
          <w:b/>
          <w:bCs/>
          <w:color w:val="FF0000"/>
          <w:sz w:val="28"/>
        </w:rPr>
      </w:pPr>
    </w:p>
    <w:p w14:paraId="1BA6B468" w14:textId="2168F8DE" w:rsidR="00D21F1B" w:rsidRPr="00965AE6" w:rsidRDefault="00965AE6" w:rsidP="00965AE6">
      <w:pPr>
        <w:pStyle w:val="Obsah1"/>
        <w:jc w:val="center"/>
        <w:rPr>
          <w:rFonts w:ascii="Arial" w:hAnsi="Arial" w:cs="Arial"/>
          <w:b/>
          <w:sz w:val="28"/>
          <w:szCs w:val="28"/>
        </w:rPr>
      </w:pPr>
      <w:r w:rsidRPr="00965AE6">
        <w:rPr>
          <w:rFonts w:ascii="Arial" w:hAnsi="Arial" w:cs="Arial"/>
          <w:b/>
          <w:sz w:val="28"/>
          <w:szCs w:val="28"/>
        </w:rPr>
        <w:t>Název části veřejné zakázky</w:t>
      </w:r>
    </w:p>
    <w:p w14:paraId="6563BCD7" w14:textId="77777777" w:rsidR="00D21F1B" w:rsidRDefault="00D21F1B" w:rsidP="00D21F1B"/>
    <w:p w14:paraId="3E5073C0" w14:textId="5946A4AA" w:rsidR="00D21F1B" w:rsidRDefault="00D21F1B" w:rsidP="00D21F1B">
      <w:pPr>
        <w:spacing w:before="120"/>
        <w:jc w:val="center"/>
        <w:rPr>
          <w:rFonts w:cs="Arial"/>
          <w:b/>
          <w:bCs/>
          <w:sz w:val="36"/>
        </w:rPr>
      </w:pPr>
      <w:r>
        <w:rPr>
          <w:rFonts w:cs="Arial"/>
          <w:b/>
          <w:bCs/>
          <w:sz w:val="36"/>
          <w:szCs w:val="40"/>
        </w:rPr>
        <w:t>“</w:t>
      </w:r>
      <w:r>
        <w:rPr>
          <w:rFonts w:cs="Arial"/>
          <w:b/>
          <w:bCs/>
          <w:sz w:val="36"/>
        </w:rPr>
        <w:t xml:space="preserve">Pojištění odpovědnosti za škodu Zlínského kraje a příspěvkových organizací Zlínského kraje“ </w:t>
      </w:r>
    </w:p>
    <w:p w14:paraId="537DE50E" w14:textId="77777777" w:rsidR="00B44792" w:rsidRDefault="00B44792" w:rsidP="00B44792">
      <w:pPr>
        <w:pStyle w:val="Zkladntext"/>
        <w:jc w:val="center"/>
        <w:rPr>
          <w:rFonts w:ascii="Arial" w:hAnsi="Arial" w:cs="Arial"/>
          <w:caps/>
          <w:color w:val="808080"/>
        </w:rPr>
      </w:pPr>
    </w:p>
    <w:p w14:paraId="1FC93F20" w14:textId="77777777" w:rsidR="00B44792" w:rsidRDefault="00B44792" w:rsidP="00B44792">
      <w:pPr>
        <w:pStyle w:val="Zkladntext"/>
        <w:jc w:val="center"/>
        <w:rPr>
          <w:rFonts w:ascii="Arial" w:hAnsi="Arial" w:cs="Arial"/>
          <w:caps/>
          <w:color w:val="808080"/>
        </w:rPr>
      </w:pPr>
    </w:p>
    <w:p w14:paraId="06877DD4" w14:textId="77777777" w:rsidR="00B44792" w:rsidRDefault="00B44792" w:rsidP="00B44792">
      <w:pPr>
        <w:pStyle w:val="Zkladntext"/>
        <w:rPr>
          <w:rFonts w:ascii="Arial" w:hAnsi="Arial" w:cs="Arial"/>
          <w:caps/>
          <w:color w:val="808080"/>
        </w:rPr>
      </w:pPr>
    </w:p>
    <w:p w14:paraId="16F2E145" w14:textId="77777777" w:rsidR="00B44792" w:rsidRDefault="00B44792" w:rsidP="00B44792">
      <w:pPr>
        <w:pStyle w:val="Zkladntext"/>
        <w:jc w:val="center"/>
        <w:rPr>
          <w:rFonts w:ascii="Arial" w:hAnsi="Arial" w:cs="Arial"/>
          <w:caps/>
          <w:color w:val="808080"/>
        </w:rPr>
      </w:pPr>
    </w:p>
    <w:p w14:paraId="7EB8D0D4" w14:textId="77777777" w:rsidR="00B44792" w:rsidRDefault="00B44792" w:rsidP="00B44792">
      <w:pPr>
        <w:pStyle w:val="Zkladntext"/>
        <w:jc w:val="center"/>
        <w:rPr>
          <w:rFonts w:ascii="Arial" w:hAnsi="Arial" w:cs="Arial"/>
          <w:caps/>
          <w:color w:val="808080"/>
        </w:rPr>
      </w:pPr>
    </w:p>
    <w:p w14:paraId="13306122" w14:textId="77777777" w:rsidR="00B44792" w:rsidRDefault="00B44792" w:rsidP="00B44792">
      <w:pPr>
        <w:pStyle w:val="Zkladntext"/>
        <w:rPr>
          <w:rFonts w:ascii="Arial" w:hAnsi="Arial" w:cs="Arial"/>
          <w:caps/>
          <w:color w:val="808080"/>
        </w:rPr>
      </w:pPr>
    </w:p>
    <w:p w14:paraId="420B229A" w14:textId="77777777" w:rsidR="00B44792" w:rsidRDefault="00B44792" w:rsidP="00B44792">
      <w:pPr>
        <w:pStyle w:val="Zkladntext"/>
        <w:jc w:val="center"/>
        <w:rPr>
          <w:rFonts w:ascii="Arial" w:hAnsi="Arial" w:cs="Arial"/>
          <w:caps/>
          <w:color w:val="808080"/>
        </w:rPr>
      </w:pPr>
    </w:p>
    <w:p w14:paraId="403B5233" w14:textId="77777777" w:rsidR="00B44792" w:rsidRDefault="00B44792" w:rsidP="00B44792">
      <w:pPr>
        <w:spacing w:before="120"/>
        <w:ind w:left="360"/>
        <w:rPr>
          <w:bCs/>
          <w:caps/>
          <w:szCs w:val="20"/>
        </w:rPr>
      </w:pPr>
    </w:p>
    <w:p w14:paraId="3ECD49B7" w14:textId="77777777" w:rsidR="00B44792" w:rsidRDefault="00B44792" w:rsidP="00B44792">
      <w:pPr>
        <w:spacing w:before="120"/>
        <w:ind w:left="360"/>
        <w:rPr>
          <w:bCs/>
          <w:caps/>
          <w:szCs w:val="20"/>
        </w:rPr>
      </w:pPr>
    </w:p>
    <w:p w14:paraId="6491CD7E" w14:textId="77777777" w:rsidR="00B44792" w:rsidRDefault="00B44792" w:rsidP="00B44792">
      <w:pPr>
        <w:spacing w:before="120"/>
        <w:ind w:left="360"/>
        <w:rPr>
          <w:bCs/>
          <w:caps/>
          <w:szCs w:val="20"/>
        </w:rPr>
      </w:pPr>
    </w:p>
    <w:p w14:paraId="488536B6" w14:textId="77777777" w:rsidR="00B44792" w:rsidRDefault="00B44792" w:rsidP="00B44792">
      <w:pPr>
        <w:spacing w:before="120"/>
        <w:ind w:left="360"/>
        <w:rPr>
          <w:bCs/>
          <w:caps/>
          <w:szCs w:val="20"/>
        </w:rPr>
      </w:pPr>
    </w:p>
    <w:p w14:paraId="3990B916" w14:textId="77777777" w:rsidR="00B44792" w:rsidRDefault="00B44792" w:rsidP="00B44792">
      <w:pPr>
        <w:spacing w:before="120"/>
        <w:ind w:left="360"/>
        <w:rPr>
          <w:bCs/>
          <w:caps/>
          <w:szCs w:val="20"/>
        </w:rPr>
      </w:pPr>
    </w:p>
    <w:p w14:paraId="00195A16" w14:textId="77777777" w:rsidR="00B44792" w:rsidRDefault="00B44792" w:rsidP="00B44792">
      <w:pPr>
        <w:spacing w:before="120"/>
        <w:ind w:left="360"/>
        <w:rPr>
          <w:bCs/>
          <w:caps/>
          <w:szCs w:val="20"/>
        </w:rPr>
      </w:pPr>
    </w:p>
    <w:p w14:paraId="67A1B058" w14:textId="77777777" w:rsidR="00B44792" w:rsidRDefault="00B44792" w:rsidP="00B44792">
      <w:pPr>
        <w:spacing w:before="120"/>
        <w:ind w:left="360"/>
        <w:rPr>
          <w:bCs/>
          <w:caps/>
          <w:szCs w:val="20"/>
        </w:rPr>
      </w:pPr>
    </w:p>
    <w:p w14:paraId="40F6FC35" w14:textId="77777777" w:rsidR="00B44792" w:rsidRDefault="00B44792" w:rsidP="00B44792">
      <w:pPr>
        <w:spacing w:before="120"/>
        <w:ind w:left="360"/>
        <w:rPr>
          <w:bCs/>
          <w:caps/>
          <w:szCs w:val="20"/>
        </w:rPr>
      </w:pPr>
    </w:p>
    <w:p w14:paraId="5E36555E" w14:textId="77777777" w:rsidR="00B44792" w:rsidRDefault="00B44792" w:rsidP="00B44792">
      <w:pPr>
        <w:spacing w:before="120"/>
        <w:ind w:left="360"/>
        <w:rPr>
          <w:bCs/>
          <w:caps/>
          <w:szCs w:val="20"/>
        </w:rPr>
      </w:pPr>
    </w:p>
    <w:p w14:paraId="6575E85D" w14:textId="77777777" w:rsidR="00B44792" w:rsidRDefault="00B44792" w:rsidP="00B44792">
      <w:pPr>
        <w:spacing w:before="120"/>
        <w:ind w:left="360"/>
        <w:rPr>
          <w:bCs/>
          <w:caps/>
          <w:szCs w:val="20"/>
        </w:rPr>
      </w:pPr>
    </w:p>
    <w:p w14:paraId="7760233B" w14:textId="77777777" w:rsidR="00B44792" w:rsidRPr="00C076BE" w:rsidRDefault="00B44792" w:rsidP="00B44792">
      <w:pPr>
        <w:spacing w:before="120"/>
        <w:rPr>
          <w:b/>
          <w:bCs/>
          <w:caps/>
          <w:sz w:val="24"/>
        </w:rPr>
      </w:pPr>
      <w:r w:rsidRPr="00C076BE">
        <w:rPr>
          <w:b/>
          <w:bCs/>
          <w:caps/>
          <w:sz w:val="24"/>
        </w:rPr>
        <w:t>OBSAH</w:t>
      </w:r>
    </w:p>
    <w:p w14:paraId="3E347A68" w14:textId="77777777" w:rsidR="00B44792" w:rsidRDefault="00B44792" w:rsidP="00B44792">
      <w:pPr>
        <w:spacing w:before="120"/>
        <w:rPr>
          <w:bCs/>
          <w:sz w:val="32"/>
        </w:rPr>
      </w:pPr>
    </w:p>
    <w:p w14:paraId="7E48B7E0" w14:textId="77777777" w:rsidR="00B44792" w:rsidRDefault="00B44792" w:rsidP="00B44792">
      <w:pPr>
        <w:pStyle w:val="Obsah1"/>
        <w:tabs>
          <w:tab w:val="left" w:pos="480"/>
          <w:tab w:val="right" w:leader="dot" w:pos="9060"/>
        </w:tabs>
        <w:spacing w:before="60" w:after="60"/>
        <w:rPr>
          <w:rFonts w:ascii="Arial" w:hAnsi="Arial" w:cs="Arial"/>
          <w:noProof/>
          <w:sz w:val="22"/>
        </w:rPr>
      </w:pPr>
      <w:r>
        <w:rPr>
          <w:rFonts w:ascii="Arial" w:hAnsi="Arial" w:cs="Arial"/>
          <w:sz w:val="22"/>
        </w:rPr>
        <w:fldChar w:fldCharType="begin"/>
      </w:r>
      <w:r>
        <w:rPr>
          <w:rFonts w:ascii="Arial" w:hAnsi="Arial" w:cs="Arial"/>
          <w:sz w:val="22"/>
        </w:rPr>
        <w:instrText xml:space="preserve"> TOC \o "1-2" \h \z </w:instrText>
      </w:r>
      <w:r>
        <w:rPr>
          <w:rFonts w:ascii="Arial" w:hAnsi="Arial" w:cs="Arial"/>
          <w:sz w:val="22"/>
        </w:rPr>
        <w:fldChar w:fldCharType="separate"/>
      </w:r>
      <w:hyperlink w:anchor="_Toc176074416" w:history="1">
        <w:r>
          <w:rPr>
            <w:rStyle w:val="Hypertextovodkaz"/>
            <w:rFonts w:ascii="Arial" w:hAnsi="Arial" w:cs="Arial"/>
            <w:noProof/>
            <w:sz w:val="22"/>
            <w:szCs w:val="28"/>
          </w:rPr>
          <w:t>1.</w:t>
        </w:r>
        <w:r>
          <w:rPr>
            <w:rFonts w:ascii="Arial" w:hAnsi="Arial" w:cs="Arial"/>
            <w:noProof/>
            <w:sz w:val="22"/>
          </w:rPr>
          <w:tab/>
          <w:t>Pojistník, Pojištěný</w:t>
        </w:r>
        <w:r>
          <w:rPr>
            <w:rFonts w:ascii="Arial" w:hAnsi="Arial" w:cs="Arial"/>
            <w:noProof/>
            <w:webHidden/>
            <w:sz w:val="22"/>
          </w:rPr>
          <w:tab/>
        </w:r>
        <w:r>
          <w:rPr>
            <w:rFonts w:ascii="Arial" w:hAnsi="Arial" w:cs="Arial"/>
            <w:noProof/>
            <w:webHidden/>
            <w:sz w:val="22"/>
          </w:rPr>
          <w:fldChar w:fldCharType="begin"/>
        </w:r>
        <w:r>
          <w:rPr>
            <w:rFonts w:ascii="Arial" w:hAnsi="Arial" w:cs="Arial"/>
            <w:noProof/>
            <w:webHidden/>
            <w:sz w:val="22"/>
          </w:rPr>
          <w:instrText xml:space="preserve"> PAGEREF _Toc176074416 \h </w:instrText>
        </w:r>
        <w:r>
          <w:rPr>
            <w:rFonts w:ascii="Arial" w:hAnsi="Arial" w:cs="Arial"/>
            <w:noProof/>
            <w:webHidden/>
            <w:sz w:val="22"/>
          </w:rPr>
        </w:r>
        <w:r>
          <w:rPr>
            <w:rFonts w:ascii="Arial" w:hAnsi="Arial" w:cs="Arial"/>
            <w:noProof/>
            <w:webHidden/>
            <w:sz w:val="22"/>
          </w:rPr>
          <w:fldChar w:fldCharType="separate"/>
        </w:r>
        <w:r w:rsidR="002071A3">
          <w:rPr>
            <w:rFonts w:ascii="Arial" w:hAnsi="Arial" w:cs="Arial"/>
            <w:noProof/>
            <w:webHidden/>
            <w:sz w:val="22"/>
          </w:rPr>
          <w:t>3</w:t>
        </w:r>
        <w:r>
          <w:rPr>
            <w:rFonts w:ascii="Arial" w:hAnsi="Arial" w:cs="Arial"/>
            <w:noProof/>
            <w:webHidden/>
            <w:sz w:val="22"/>
          </w:rPr>
          <w:fldChar w:fldCharType="end"/>
        </w:r>
      </w:hyperlink>
    </w:p>
    <w:p w14:paraId="46C3133F" w14:textId="77777777" w:rsidR="00B44792" w:rsidRDefault="00413531" w:rsidP="00B44792">
      <w:pPr>
        <w:pStyle w:val="Obsah2"/>
        <w:spacing w:before="60" w:after="60"/>
        <w:rPr>
          <w:szCs w:val="24"/>
        </w:rPr>
      </w:pPr>
      <w:hyperlink w:anchor="_Toc176074417" w:history="1">
        <w:r w:rsidR="00B44792">
          <w:rPr>
            <w:rStyle w:val="Hypertextovodkaz"/>
          </w:rPr>
          <w:t>1.1</w:t>
        </w:r>
        <w:r w:rsidR="00B44792">
          <w:rPr>
            <w:szCs w:val="24"/>
          </w:rPr>
          <w:tab/>
        </w:r>
        <w:r w:rsidR="00B44792">
          <w:rPr>
            <w:rStyle w:val="Hypertextovodkaz"/>
          </w:rPr>
          <w:t>Pojistník a Pojištěný</w:t>
        </w:r>
        <w:r w:rsidR="00B44792">
          <w:rPr>
            <w:webHidden/>
          </w:rPr>
          <w:tab/>
        </w:r>
      </w:hyperlink>
      <w:r w:rsidR="00B44792">
        <w:rPr>
          <w:rStyle w:val="Hypertextovodkaz"/>
          <w:color w:val="auto"/>
          <w:u w:val="none"/>
        </w:rPr>
        <w:t>3</w:t>
      </w:r>
    </w:p>
    <w:p w14:paraId="44C62FED" w14:textId="77777777" w:rsidR="00B44792" w:rsidRDefault="00413531" w:rsidP="00B44792">
      <w:pPr>
        <w:pStyle w:val="Obsah2"/>
        <w:spacing w:before="60" w:after="60"/>
        <w:rPr>
          <w:szCs w:val="24"/>
        </w:rPr>
      </w:pPr>
      <w:hyperlink w:anchor="_Toc176074418" w:history="1">
        <w:r w:rsidR="00B44792">
          <w:rPr>
            <w:rStyle w:val="Hypertextovodkaz"/>
          </w:rPr>
          <w:t>1.2</w:t>
        </w:r>
        <w:r w:rsidR="00B44792">
          <w:rPr>
            <w:szCs w:val="24"/>
          </w:rPr>
          <w:tab/>
          <w:t>Další pojištěné organizace</w:t>
        </w:r>
        <w:r w:rsidR="00B44792">
          <w:rPr>
            <w:webHidden/>
          </w:rPr>
          <w:tab/>
        </w:r>
      </w:hyperlink>
      <w:r w:rsidR="00B44792">
        <w:rPr>
          <w:rStyle w:val="Hypertextovodkaz"/>
          <w:color w:val="auto"/>
          <w:u w:val="none"/>
        </w:rPr>
        <w:t>3</w:t>
      </w:r>
    </w:p>
    <w:p w14:paraId="0229815A" w14:textId="77777777" w:rsidR="00B44792" w:rsidRDefault="00413531" w:rsidP="00B44792">
      <w:pPr>
        <w:pStyle w:val="Obsah1"/>
        <w:tabs>
          <w:tab w:val="left" w:pos="480"/>
          <w:tab w:val="right" w:leader="dot" w:pos="9060"/>
        </w:tabs>
        <w:spacing w:before="60" w:after="60"/>
        <w:rPr>
          <w:rFonts w:ascii="Arial" w:hAnsi="Arial" w:cs="Arial"/>
          <w:noProof/>
          <w:sz w:val="22"/>
        </w:rPr>
      </w:pPr>
      <w:hyperlink w:anchor="_Toc176074455" w:history="1">
        <w:r w:rsidR="00B44792">
          <w:rPr>
            <w:rStyle w:val="Hypertextovodkaz"/>
            <w:rFonts w:ascii="Arial" w:hAnsi="Arial" w:cs="Arial"/>
            <w:noProof/>
            <w:sz w:val="22"/>
            <w:szCs w:val="28"/>
          </w:rPr>
          <w:t>2.</w:t>
        </w:r>
        <w:r w:rsidR="00B44792">
          <w:rPr>
            <w:rFonts w:ascii="Arial" w:hAnsi="Arial" w:cs="Arial"/>
            <w:noProof/>
            <w:sz w:val="22"/>
          </w:rPr>
          <w:tab/>
        </w:r>
        <w:r w:rsidR="00B44792">
          <w:rPr>
            <w:rStyle w:val="Hypertextovodkaz"/>
            <w:rFonts w:ascii="Arial" w:hAnsi="Arial" w:cs="Arial"/>
            <w:noProof/>
            <w:sz w:val="22"/>
            <w:szCs w:val="28"/>
          </w:rPr>
          <w:t>Škodové pojištění odpovědnosti za škodu</w:t>
        </w:r>
        <w:r w:rsidR="00B44792">
          <w:rPr>
            <w:rFonts w:ascii="Arial" w:hAnsi="Arial" w:cs="Arial"/>
            <w:noProof/>
            <w:webHidden/>
            <w:sz w:val="22"/>
          </w:rPr>
          <w:tab/>
        </w:r>
        <w:r w:rsidR="00B44792">
          <w:rPr>
            <w:rFonts w:ascii="Arial" w:hAnsi="Arial" w:cs="Arial"/>
            <w:noProof/>
            <w:webHidden/>
            <w:sz w:val="22"/>
          </w:rPr>
          <w:fldChar w:fldCharType="begin"/>
        </w:r>
        <w:r w:rsidR="00B44792">
          <w:rPr>
            <w:rFonts w:ascii="Arial" w:hAnsi="Arial" w:cs="Arial"/>
            <w:noProof/>
            <w:webHidden/>
            <w:sz w:val="22"/>
          </w:rPr>
          <w:instrText xml:space="preserve"> PAGEREF _Toc176074455 \h </w:instrText>
        </w:r>
        <w:r w:rsidR="00B44792">
          <w:rPr>
            <w:rFonts w:ascii="Arial" w:hAnsi="Arial" w:cs="Arial"/>
            <w:noProof/>
            <w:webHidden/>
            <w:sz w:val="22"/>
          </w:rPr>
        </w:r>
        <w:r w:rsidR="00B44792">
          <w:rPr>
            <w:rFonts w:ascii="Arial" w:hAnsi="Arial" w:cs="Arial"/>
            <w:noProof/>
            <w:webHidden/>
            <w:sz w:val="22"/>
          </w:rPr>
          <w:fldChar w:fldCharType="separate"/>
        </w:r>
        <w:r w:rsidR="002071A3">
          <w:rPr>
            <w:rFonts w:ascii="Arial" w:hAnsi="Arial" w:cs="Arial"/>
            <w:noProof/>
            <w:webHidden/>
            <w:sz w:val="22"/>
          </w:rPr>
          <w:t>3</w:t>
        </w:r>
        <w:r w:rsidR="00B44792">
          <w:rPr>
            <w:rFonts w:ascii="Arial" w:hAnsi="Arial" w:cs="Arial"/>
            <w:noProof/>
            <w:webHidden/>
            <w:sz w:val="22"/>
          </w:rPr>
          <w:fldChar w:fldCharType="end"/>
        </w:r>
      </w:hyperlink>
    </w:p>
    <w:p w14:paraId="0D53FC8A" w14:textId="77777777" w:rsidR="00B44792" w:rsidRDefault="00413531" w:rsidP="00B44792">
      <w:pPr>
        <w:pStyle w:val="Obsah2"/>
        <w:spacing w:before="60" w:after="60"/>
        <w:rPr>
          <w:szCs w:val="24"/>
        </w:rPr>
      </w:pPr>
      <w:hyperlink w:anchor="_Toc176074456" w:history="1">
        <w:r w:rsidR="00B44792">
          <w:rPr>
            <w:rStyle w:val="Hypertextovodkaz"/>
          </w:rPr>
          <w:t>2.1</w:t>
        </w:r>
        <w:r w:rsidR="00B44792">
          <w:rPr>
            <w:szCs w:val="24"/>
          </w:rPr>
          <w:tab/>
        </w:r>
        <w:r w:rsidR="00B44792">
          <w:rPr>
            <w:rStyle w:val="Hypertextovodkaz"/>
          </w:rPr>
          <w:t>Předmět pojištění</w:t>
        </w:r>
        <w:r w:rsidR="00B44792">
          <w:rPr>
            <w:webHidden/>
          </w:rPr>
          <w:tab/>
        </w:r>
        <w:r w:rsidR="00B44792">
          <w:rPr>
            <w:webHidden/>
          </w:rPr>
          <w:fldChar w:fldCharType="begin"/>
        </w:r>
        <w:r w:rsidR="00B44792">
          <w:rPr>
            <w:webHidden/>
          </w:rPr>
          <w:instrText xml:space="preserve"> PAGEREF _Toc176074456 \h </w:instrText>
        </w:r>
        <w:r w:rsidR="00B44792">
          <w:rPr>
            <w:webHidden/>
          </w:rPr>
        </w:r>
        <w:r w:rsidR="00B44792">
          <w:rPr>
            <w:webHidden/>
          </w:rPr>
          <w:fldChar w:fldCharType="separate"/>
        </w:r>
        <w:r w:rsidR="002071A3">
          <w:rPr>
            <w:webHidden/>
          </w:rPr>
          <w:t>3</w:t>
        </w:r>
        <w:r w:rsidR="00B44792">
          <w:rPr>
            <w:webHidden/>
          </w:rPr>
          <w:fldChar w:fldCharType="end"/>
        </w:r>
      </w:hyperlink>
    </w:p>
    <w:p w14:paraId="6A0BFF5E" w14:textId="77777777" w:rsidR="00B44792" w:rsidRDefault="00413531" w:rsidP="00B44792">
      <w:pPr>
        <w:pStyle w:val="Obsah2"/>
        <w:spacing w:before="60" w:after="60"/>
        <w:rPr>
          <w:szCs w:val="24"/>
        </w:rPr>
      </w:pPr>
      <w:hyperlink w:anchor="_Toc176074457" w:history="1">
        <w:r w:rsidR="00B44792">
          <w:rPr>
            <w:rStyle w:val="Hypertextovodkaz"/>
          </w:rPr>
          <w:t>2.2</w:t>
        </w:r>
        <w:r w:rsidR="00B44792">
          <w:rPr>
            <w:szCs w:val="24"/>
          </w:rPr>
          <w:tab/>
        </w:r>
        <w:r w:rsidR="00B44792">
          <w:rPr>
            <w:rStyle w:val="Hypertextovodkaz"/>
          </w:rPr>
          <w:t>Pojistná nebezpečí, pojistné částky</w:t>
        </w:r>
        <w:r w:rsidR="00B44792">
          <w:rPr>
            <w:webHidden/>
          </w:rPr>
          <w:tab/>
        </w:r>
        <w:r w:rsidR="00B44792">
          <w:rPr>
            <w:webHidden/>
          </w:rPr>
          <w:fldChar w:fldCharType="begin"/>
        </w:r>
        <w:r w:rsidR="00B44792">
          <w:rPr>
            <w:webHidden/>
          </w:rPr>
          <w:instrText xml:space="preserve"> PAGEREF _Toc176074457 \h </w:instrText>
        </w:r>
        <w:r w:rsidR="00B44792">
          <w:rPr>
            <w:webHidden/>
          </w:rPr>
        </w:r>
        <w:r w:rsidR="00B44792">
          <w:rPr>
            <w:webHidden/>
          </w:rPr>
          <w:fldChar w:fldCharType="separate"/>
        </w:r>
        <w:r w:rsidR="002071A3">
          <w:rPr>
            <w:webHidden/>
          </w:rPr>
          <w:t>3</w:t>
        </w:r>
        <w:r w:rsidR="00B44792">
          <w:rPr>
            <w:webHidden/>
          </w:rPr>
          <w:fldChar w:fldCharType="end"/>
        </w:r>
      </w:hyperlink>
    </w:p>
    <w:p w14:paraId="6950A3AF" w14:textId="77777777" w:rsidR="00B44792" w:rsidRDefault="00413531" w:rsidP="00B44792">
      <w:pPr>
        <w:pStyle w:val="Obsah2"/>
        <w:spacing w:before="60" w:after="60"/>
        <w:rPr>
          <w:szCs w:val="24"/>
        </w:rPr>
      </w:pPr>
      <w:hyperlink w:anchor="_Toc176074458" w:history="1">
        <w:r w:rsidR="00B44792">
          <w:rPr>
            <w:rStyle w:val="Hypertextovodkaz"/>
          </w:rPr>
          <w:t>2.3</w:t>
        </w:r>
        <w:r w:rsidR="00B44792">
          <w:rPr>
            <w:szCs w:val="24"/>
          </w:rPr>
          <w:tab/>
        </w:r>
        <w:r w:rsidR="00B44792">
          <w:rPr>
            <w:rStyle w:val="Hypertextovodkaz"/>
          </w:rPr>
          <w:t>Spoluúčast</w:t>
        </w:r>
        <w:r w:rsidR="00B44792">
          <w:rPr>
            <w:webHidden/>
          </w:rPr>
          <w:tab/>
        </w:r>
        <w:r w:rsidR="00B44792">
          <w:rPr>
            <w:webHidden/>
          </w:rPr>
          <w:fldChar w:fldCharType="begin"/>
        </w:r>
        <w:r w:rsidR="00B44792">
          <w:rPr>
            <w:webHidden/>
          </w:rPr>
          <w:instrText xml:space="preserve"> PAGEREF _Toc176074458 \h </w:instrText>
        </w:r>
        <w:r w:rsidR="00B44792">
          <w:rPr>
            <w:webHidden/>
          </w:rPr>
        </w:r>
        <w:r w:rsidR="00B44792">
          <w:rPr>
            <w:webHidden/>
          </w:rPr>
          <w:fldChar w:fldCharType="separate"/>
        </w:r>
        <w:r w:rsidR="002071A3">
          <w:rPr>
            <w:webHidden/>
          </w:rPr>
          <w:t>6</w:t>
        </w:r>
        <w:r w:rsidR="00B44792">
          <w:rPr>
            <w:webHidden/>
          </w:rPr>
          <w:fldChar w:fldCharType="end"/>
        </w:r>
      </w:hyperlink>
    </w:p>
    <w:p w14:paraId="55A46CBB" w14:textId="77777777" w:rsidR="00B44792" w:rsidRDefault="00413531" w:rsidP="00B44792">
      <w:pPr>
        <w:pStyle w:val="Obsah2"/>
        <w:spacing w:before="60" w:after="60"/>
        <w:rPr>
          <w:rStyle w:val="Hypertextovodkaz"/>
          <w:u w:val="none"/>
        </w:rPr>
      </w:pPr>
      <w:hyperlink w:anchor="_Toc176074459" w:history="1">
        <w:r w:rsidR="00B44792">
          <w:rPr>
            <w:rStyle w:val="Hypertextovodkaz"/>
          </w:rPr>
          <w:t>2.4</w:t>
        </w:r>
      </w:hyperlink>
      <w:r w:rsidR="00B44792">
        <w:rPr>
          <w:rStyle w:val="Hypertextovodkaz"/>
          <w:u w:val="none"/>
        </w:rPr>
        <w:tab/>
      </w:r>
      <w:r w:rsidR="00B44792">
        <w:rPr>
          <w:rStyle w:val="Hypertextovodkaz"/>
          <w:color w:val="auto"/>
          <w:u w:val="none"/>
        </w:rPr>
        <w:t>Limity plnění………………………………………………………………………………. 6</w:t>
      </w:r>
    </w:p>
    <w:p w14:paraId="1FEC1AF3" w14:textId="77777777" w:rsidR="00B44792" w:rsidRDefault="00B44792" w:rsidP="00B44792">
      <w:pPr>
        <w:spacing w:before="60" w:after="60"/>
      </w:pPr>
      <w:r>
        <w:t xml:space="preserve">    2.5      Zvláštní ujednání………………………………………………………………………….. 6</w:t>
      </w:r>
    </w:p>
    <w:p w14:paraId="3FD2AE06" w14:textId="77777777" w:rsidR="00B44792" w:rsidRDefault="00B44792" w:rsidP="00B44792">
      <w:pPr>
        <w:spacing w:before="60" w:after="60"/>
      </w:pPr>
      <w:r>
        <w:t>3.       Ostatní ujednání……...………………………………………………………………………..8</w:t>
      </w:r>
    </w:p>
    <w:p w14:paraId="106AFC8A" w14:textId="77777777" w:rsidR="00B44792" w:rsidRDefault="00413531" w:rsidP="00B44792">
      <w:pPr>
        <w:pStyle w:val="Obsah1"/>
        <w:tabs>
          <w:tab w:val="left" w:pos="720"/>
          <w:tab w:val="right" w:leader="dot" w:pos="9060"/>
        </w:tabs>
        <w:spacing w:before="60" w:after="60"/>
        <w:rPr>
          <w:rFonts w:ascii="Arial" w:hAnsi="Arial" w:cs="Arial"/>
          <w:noProof/>
          <w:sz w:val="22"/>
        </w:rPr>
      </w:pPr>
      <w:hyperlink w:anchor="_Toc176074472" w:history="1">
        <w:r w:rsidR="00B44792">
          <w:rPr>
            <w:rStyle w:val="Hypertextovodkaz"/>
            <w:rFonts w:ascii="Arial" w:hAnsi="Arial" w:cs="Arial"/>
            <w:noProof/>
            <w:sz w:val="22"/>
            <w:szCs w:val="28"/>
          </w:rPr>
          <w:t>4.</w:t>
        </w:r>
        <w:r w:rsidR="00B44792">
          <w:rPr>
            <w:rFonts w:ascii="Arial" w:hAnsi="Arial" w:cs="Arial"/>
            <w:noProof/>
            <w:sz w:val="22"/>
          </w:rPr>
          <w:tab/>
        </w:r>
        <w:r w:rsidR="00B44792">
          <w:rPr>
            <w:rStyle w:val="Hypertextovodkaz"/>
            <w:rFonts w:ascii="Arial" w:hAnsi="Arial" w:cs="Arial"/>
            <w:noProof/>
            <w:sz w:val="22"/>
            <w:szCs w:val="28"/>
          </w:rPr>
          <w:t>Výklad pojmů</w:t>
        </w:r>
        <w:r w:rsidR="00B44792">
          <w:rPr>
            <w:rFonts w:ascii="Arial" w:hAnsi="Arial" w:cs="Arial"/>
            <w:noProof/>
            <w:webHidden/>
            <w:sz w:val="22"/>
          </w:rPr>
          <w:tab/>
        </w:r>
        <w:r w:rsidR="00B44792">
          <w:rPr>
            <w:rFonts w:ascii="Arial" w:hAnsi="Arial" w:cs="Arial"/>
            <w:noProof/>
            <w:webHidden/>
            <w:sz w:val="22"/>
          </w:rPr>
          <w:fldChar w:fldCharType="begin"/>
        </w:r>
        <w:r w:rsidR="00B44792">
          <w:rPr>
            <w:rFonts w:ascii="Arial" w:hAnsi="Arial" w:cs="Arial"/>
            <w:noProof/>
            <w:webHidden/>
            <w:sz w:val="22"/>
          </w:rPr>
          <w:instrText xml:space="preserve"> PAGEREF _Toc176074472 \h </w:instrText>
        </w:r>
        <w:r w:rsidR="00B44792">
          <w:rPr>
            <w:rFonts w:ascii="Arial" w:hAnsi="Arial" w:cs="Arial"/>
            <w:noProof/>
            <w:webHidden/>
            <w:sz w:val="22"/>
          </w:rPr>
        </w:r>
        <w:r w:rsidR="00B44792">
          <w:rPr>
            <w:rFonts w:ascii="Arial" w:hAnsi="Arial" w:cs="Arial"/>
            <w:noProof/>
            <w:webHidden/>
            <w:sz w:val="22"/>
          </w:rPr>
          <w:fldChar w:fldCharType="separate"/>
        </w:r>
        <w:r w:rsidR="002071A3">
          <w:rPr>
            <w:rFonts w:ascii="Arial" w:hAnsi="Arial" w:cs="Arial"/>
            <w:noProof/>
            <w:webHidden/>
            <w:sz w:val="22"/>
          </w:rPr>
          <w:t>9</w:t>
        </w:r>
        <w:r w:rsidR="00B44792">
          <w:rPr>
            <w:rFonts w:ascii="Arial" w:hAnsi="Arial" w:cs="Arial"/>
            <w:noProof/>
            <w:webHidden/>
            <w:sz w:val="22"/>
          </w:rPr>
          <w:fldChar w:fldCharType="end"/>
        </w:r>
      </w:hyperlink>
    </w:p>
    <w:p w14:paraId="7367043C" w14:textId="77777777" w:rsidR="00B44792" w:rsidRDefault="00413531" w:rsidP="00B44792">
      <w:pPr>
        <w:pStyle w:val="Obsah1"/>
        <w:tabs>
          <w:tab w:val="left" w:pos="720"/>
          <w:tab w:val="right" w:leader="dot" w:pos="9060"/>
        </w:tabs>
        <w:spacing w:before="60" w:after="60"/>
        <w:rPr>
          <w:rFonts w:ascii="Arial" w:hAnsi="Arial" w:cs="Arial"/>
          <w:noProof/>
          <w:sz w:val="22"/>
        </w:rPr>
      </w:pPr>
      <w:hyperlink w:anchor="_Toc176074473" w:history="1">
        <w:r w:rsidR="00B44792">
          <w:rPr>
            <w:rStyle w:val="Hypertextovodkaz"/>
            <w:rFonts w:ascii="Arial" w:hAnsi="Arial" w:cs="Arial"/>
            <w:noProof/>
            <w:sz w:val="22"/>
            <w:szCs w:val="28"/>
          </w:rPr>
          <w:t>5.</w:t>
        </w:r>
        <w:r w:rsidR="00B44792">
          <w:rPr>
            <w:rFonts w:ascii="Arial" w:hAnsi="Arial" w:cs="Arial"/>
            <w:noProof/>
            <w:sz w:val="22"/>
          </w:rPr>
          <w:tab/>
        </w:r>
        <w:r w:rsidR="00B44792">
          <w:rPr>
            <w:rStyle w:val="Hypertextovodkaz"/>
            <w:rFonts w:ascii="Arial" w:hAnsi="Arial" w:cs="Arial"/>
            <w:noProof/>
            <w:sz w:val="22"/>
            <w:szCs w:val="28"/>
          </w:rPr>
          <w:t>Místo pojištění</w:t>
        </w:r>
        <w:r w:rsidR="00B44792">
          <w:rPr>
            <w:rFonts w:ascii="Arial" w:hAnsi="Arial" w:cs="Arial"/>
            <w:noProof/>
            <w:webHidden/>
            <w:sz w:val="22"/>
          </w:rPr>
          <w:tab/>
        </w:r>
        <w:r w:rsidR="00B44792">
          <w:rPr>
            <w:rFonts w:ascii="Arial" w:hAnsi="Arial" w:cs="Arial"/>
            <w:noProof/>
            <w:webHidden/>
            <w:sz w:val="22"/>
          </w:rPr>
          <w:fldChar w:fldCharType="begin"/>
        </w:r>
        <w:r w:rsidR="00B44792">
          <w:rPr>
            <w:rFonts w:ascii="Arial" w:hAnsi="Arial" w:cs="Arial"/>
            <w:noProof/>
            <w:webHidden/>
            <w:sz w:val="22"/>
          </w:rPr>
          <w:instrText xml:space="preserve"> PAGEREF _Toc176074473 \h </w:instrText>
        </w:r>
        <w:r w:rsidR="00B44792">
          <w:rPr>
            <w:rFonts w:ascii="Arial" w:hAnsi="Arial" w:cs="Arial"/>
            <w:noProof/>
            <w:webHidden/>
            <w:sz w:val="22"/>
          </w:rPr>
        </w:r>
        <w:r w:rsidR="00B44792">
          <w:rPr>
            <w:rFonts w:ascii="Arial" w:hAnsi="Arial" w:cs="Arial"/>
            <w:noProof/>
            <w:webHidden/>
            <w:sz w:val="22"/>
          </w:rPr>
          <w:fldChar w:fldCharType="separate"/>
        </w:r>
        <w:r w:rsidR="002071A3">
          <w:rPr>
            <w:rFonts w:ascii="Arial" w:hAnsi="Arial" w:cs="Arial"/>
            <w:noProof/>
            <w:webHidden/>
            <w:sz w:val="22"/>
          </w:rPr>
          <w:t>10</w:t>
        </w:r>
        <w:r w:rsidR="00B44792">
          <w:rPr>
            <w:rFonts w:ascii="Arial" w:hAnsi="Arial" w:cs="Arial"/>
            <w:noProof/>
            <w:webHidden/>
            <w:sz w:val="22"/>
          </w:rPr>
          <w:fldChar w:fldCharType="end"/>
        </w:r>
      </w:hyperlink>
    </w:p>
    <w:p w14:paraId="521A6449" w14:textId="77777777" w:rsidR="00B44792" w:rsidRDefault="00413531" w:rsidP="00B44792">
      <w:pPr>
        <w:pStyle w:val="Obsah1"/>
        <w:tabs>
          <w:tab w:val="left" w:pos="720"/>
          <w:tab w:val="right" w:leader="dot" w:pos="9060"/>
        </w:tabs>
        <w:spacing w:before="60" w:after="60"/>
        <w:rPr>
          <w:rFonts w:ascii="Arial" w:hAnsi="Arial" w:cs="Arial"/>
          <w:noProof/>
          <w:sz w:val="22"/>
        </w:rPr>
      </w:pPr>
      <w:hyperlink w:anchor="_Toc176074474" w:history="1">
        <w:r w:rsidR="00B44792">
          <w:rPr>
            <w:rStyle w:val="Hypertextovodkaz"/>
            <w:rFonts w:ascii="Arial" w:hAnsi="Arial" w:cs="Arial"/>
            <w:noProof/>
            <w:sz w:val="22"/>
            <w:szCs w:val="28"/>
          </w:rPr>
          <w:t>6.</w:t>
        </w:r>
        <w:r w:rsidR="00B44792">
          <w:rPr>
            <w:rFonts w:ascii="Arial" w:hAnsi="Arial" w:cs="Arial"/>
            <w:noProof/>
            <w:sz w:val="22"/>
          </w:rPr>
          <w:tab/>
        </w:r>
        <w:r w:rsidR="00B44792">
          <w:rPr>
            <w:rStyle w:val="Hypertextovodkaz"/>
            <w:rFonts w:ascii="Arial" w:hAnsi="Arial" w:cs="Arial"/>
            <w:noProof/>
            <w:sz w:val="22"/>
            <w:szCs w:val="28"/>
          </w:rPr>
          <w:t>Makléřská doložka</w:t>
        </w:r>
        <w:r w:rsidR="00B44792">
          <w:rPr>
            <w:rFonts w:ascii="Arial" w:hAnsi="Arial" w:cs="Arial"/>
            <w:noProof/>
            <w:webHidden/>
            <w:sz w:val="22"/>
          </w:rPr>
          <w:tab/>
        </w:r>
        <w:r w:rsidR="00B44792">
          <w:rPr>
            <w:rFonts w:ascii="Arial" w:hAnsi="Arial" w:cs="Arial"/>
            <w:noProof/>
            <w:webHidden/>
            <w:sz w:val="22"/>
          </w:rPr>
          <w:fldChar w:fldCharType="begin"/>
        </w:r>
        <w:r w:rsidR="00B44792">
          <w:rPr>
            <w:rFonts w:ascii="Arial" w:hAnsi="Arial" w:cs="Arial"/>
            <w:noProof/>
            <w:webHidden/>
            <w:sz w:val="22"/>
          </w:rPr>
          <w:instrText xml:space="preserve"> PAGEREF _Toc176074474 \h </w:instrText>
        </w:r>
        <w:r w:rsidR="00B44792">
          <w:rPr>
            <w:rFonts w:ascii="Arial" w:hAnsi="Arial" w:cs="Arial"/>
            <w:noProof/>
            <w:webHidden/>
            <w:sz w:val="22"/>
          </w:rPr>
        </w:r>
        <w:r w:rsidR="00B44792">
          <w:rPr>
            <w:rFonts w:ascii="Arial" w:hAnsi="Arial" w:cs="Arial"/>
            <w:noProof/>
            <w:webHidden/>
            <w:sz w:val="22"/>
          </w:rPr>
          <w:fldChar w:fldCharType="separate"/>
        </w:r>
        <w:r w:rsidR="002071A3">
          <w:rPr>
            <w:rFonts w:ascii="Arial" w:hAnsi="Arial" w:cs="Arial"/>
            <w:noProof/>
            <w:webHidden/>
            <w:sz w:val="22"/>
          </w:rPr>
          <w:t>10</w:t>
        </w:r>
        <w:r w:rsidR="00B44792">
          <w:rPr>
            <w:rFonts w:ascii="Arial" w:hAnsi="Arial" w:cs="Arial"/>
            <w:noProof/>
            <w:webHidden/>
            <w:sz w:val="22"/>
          </w:rPr>
          <w:fldChar w:fldCharType="end"/>
        </w:r>
      </w:hyperlink>
    </w:p>
    <w:p w14:paraId="59863356" w14:textId="77777777" w:rsidR="00B44792" w:rsidRDefault="00413531" w:rsidP="00B44792">
      <w:pPr>
        <w:pStyle w:val="Obsah1"/>
        <w:tabs>
          <w:tab w:val="left" w:pos="720"/>
          <w:tab w:val="right" w:leader="dot" w:pos="9060"/>
        </w:tabs>
        <w:spacing w:before="60" w:after="60"/>
        <w:rPr>
          <w:rFonts w:ascii="Arial" w:hAnsi="Arial" w:cs="Arial"/>
          <w:noProof/>
          <w:sz w:val="22"/>
        </w:rPr>
      </w:pPr>
      <w:hyperlink w:anchor="_Toc176074475" w:history="1">
        <w:r w:rsidR="00B44792">
          <w:rPr>
            <w:rStyle w:val="Hypertextovodkaz"/>
            <w:rFonts w:ascii="Arial" w:hAnsi="Arial" w:cs="Arial"/>
            <w:noProof/>
            <w:sz w:val="22"/>
            <w:szCs w:val="28"/>
          </w:rPr>
          <w:t>7.</w:t>
        </w:r>
        <w:r w:rsidR="00B44792">
          <w:rPr>
            <w:rFonts w:ascii="Arial" w:hAnsi="Arial" w:cs="Arial"/>
            <w:noProof/>
            <w:sz w:val="22"/>
          </w:rPr>
          <w:tab/>
        </w:r>
        <w:r w:rsidR="00B44792">
          <w:rPr>
            <w:rStyle w:val="Hypertextovodkaz"/>
            <w:rFonts w:ascii="Arial" w:hAnsi="Arial" w:cs="Arial"/>
            <w:noProof/>
            <w:sz w:val="22"/>
            <w:szCs w:val="28"/>
          </w:rPr>
          <w:t>Změna rozsahu pojištěni</w:t>
        </w:r>
        <w:r w:rsidR="00B44792">
          <w:rPr>
            <w:rFonts w:ascii="Arial" w:hAnsi="Arial" w:cs="Arial"/>
            <w:noProof/>
            <w:webHidden/>
            <w:sz w:val="22"/>
          </w:rPr>
          <w:tab/>
        </w:r>
        <w:r w:rsidR="00B44792">
          <w:rPr>
            <w:rFonts w:ascii="Arial" w:hAnsi="Arial" w:cs="Arial"/>
            <w:noProof/>
            <w:webHidden/>
            <w:sz w:val="22"/>
          </w:rPr>
          <w:fldChar w:fldCharType="begin"/>
        </w:r>
        <w:r w:rsidR="00B44792">
          <w:rPr>
            <w:rFonts w:ascii="Arial" w:hAnsi="Arial" w:cs="Arial"/>
            <w:noProof/>
            <w:webHidden/>
            <w:sz w:val="22"/>
          </w:rPr>
          <w:instrText xml:space="preserve"> PAGEREF _Toc176074475 \h </w:instrText>
        </w:r>
        <w:r w:rsidR="00B44792">
          <w:rPr>
            <w:rFonts w:ascii="Arial" w:hAnsi="Arial" w:cs="Arial"/>
            <w:noProof/>
            <w:webHidden/>
            <w:sz w:val="22"/>
          </w:rPr>
        </w:r>
        <w:r w:rsidR="00B44792">
          <w:rPr>
            <w:rFonts w:ascii="Arial" w:hAnsi="Arial" w:cs="Arial"/>
            <w:noProof/>
            <w:webHidden/>
            <w:sz w:val="22"/>
          </w:rPr>
          <w:fldChar w:fldCharType="separate"/>
        </w:r>
        <w:r w:rsidR="002071A3">
          <w:rPr>
            <w:rFonts w:ascii="Arial" w:hAnsi="Arial" w:cs="Arial"/>
            <w:noProof/>
            <w:webHidden/>
            <w:sz w:val="22"/>
          </w:rPr>
          <w:t>10</w:t>
        </w:r>
        <w:r w:rsidR="00B44792">
          <w:rPr>
            <w:rFonts w:ascii="Arial" w:hAnsi="Arial" w:cs="Arial"/>
            <w:noProof/>
            <w:webHidden/>
            <w:sz w:val="22"/>
          </w:rPr>
          <w:fldChar w:fldCharType="end"/>
        </w:r>
      </w:hyperlink>
    </w:p>
    <w:p w14:paraId="0C6C5CE3" w14:textId="77777777" w:rsidR="00B44792" w:rsidRDefault="00413531" w:rsidP="00B44792">
      <w:pPr>
        <w:pStyle w:val="Obsah1"/>
        <w:tabs>
          <w:tab w:val="left" w:pos="720"/>
          <w:tab w:val="right" w:leader="dot" w:pos="9060"/>
        </w:tabs>
        <w:spacing w:before="60" w:after="60"/>
        <w:rPr>
          <w:rFonts w:ascii="Arial" w:hAnsi="Arial" w:cs="Arial"/>
          <w:noProof/>
          <w:sz w:val="22"/>
        </w:rPr>
      </w:pPr>
      <w:hyperlink w:anchor="_Toc176074476" w:history="1">
        <w:r w:rsidR="00B44792">
          <w:rPr>
            <w:rStyle w:val="Hypertextovodkaz"/>
            <w:rFonts w:ascii="Arial" w:hAnsi="Arial" w:cs="Arial"/>
            <w:noProof/>
            <w:sz w:val="22"/>
            <w:szCs w:val="28"/>
          </w:rPr>
          <w:t>8.</w:t>
        </w:r>
        <w:r w:rsidR="00B44792">
          <w:rPr>
            <w:rFonts w:ascii="Arial" w:hAnsi="Arial" w:cs="Arial"/>
            <w:noProof/>
            <w:sz w:val="22"/>
          </w:rPr>
          <w:tab/>
        </w:r>
        <w:r w:rsidR="00B44792">
          <w:rPr>
            <w:rStyle w:val="Hypertextovodkaz"/>
            <w:rFonts w:ascii="Arial" w:hAnsi="Arial" w:cs="Arial"/>
            <w:noProof/>
            <w:sz w:val="22"/>
            <w:szCs w:val="28"/>
          </w:rPr>
          <w:t>Doba, na kterou se uzavírá pojistná smlouva, pojistné období</w:t>
        </w:r>
        <w:r w:rsidR="00B44792">
          <w:rPr>
            <w:rFonts w:ascii="Arial" w:hAnsi="Arial" w:cs="Arial"/>
            <w:noProof/>
            <w:webHidden/>
            <w:sz w:val="22"/>
          </w:rPr>
          <w:tab/>
        </w:r>
        <w:r w:rsidR="00B44792">
          <w:rPr>
            <w:rFonts w:ascii="Arial" w:hAnsi="Arial" w:cs="Arial"/>
            <w:noProof/>
            <w:webHidden/>
            <w:sz w:val="22"/>
          </w:rPr>
          <w:fldChar w:fldCharType="begin"/>
        </w:r>
        <w:r w:rsidR="00B44792">
          <w:rPr>
            <w:rFonts w:ascii="Arial" w:hAnsi="Arial" w:cs="Arial"/>
            <w:noProof/>
            <w:webHidden/>
            <w:sz w:val="22"/>
          </w:rPr>
          <w:instrText xml:space="preserve"> PAGEREF _Toc176074476 \h </w:instrText>
        </w:r>
        <w:r w:rsidR="00B44792">
          <w:rPr>
            <w:rFonts w:ascii="Arial" w:hAnsi="Arial" w:cs="Arial"/>
            <w:noProof/>
            <w:webHidden/>
            <w:sz w:val="22"/>
          </w:rPr>
        </w:r>
        <w:r w:rsidR="00B44792">
          <w:rPr>
            <w:rFonts w:ascii="Arial" w:hAnsi="Arial" w:cs="Arial"/>
            <w:noProof/>
            <w:webHidden/>
            <w:sz w:val="22"/>
          </w:rPr>
          <w:fldChar w:fldCharType="separate"/>
        </w:r>
        <w:r w:rsidR="002071A3">
          <w:rPr>
            <w:rFonts w:ascii="Arial" w:hAnsi="Arial" w:cs="Arial"/>
            <w:noProof/>
            <w:webHidden/>
            <w:sz w:val="22"/>
          </w:rPr>
          <w:t>11</w:t>
        </w:r>
        <w:r w:rsidR="00B44792">
          <w:rPr>
            <w:rFonts w:ascii="Arial" w:hAnsi="Arial" w:cs="Arial"/>
            <w:noProof/>
            <w:webHidden/>
            <w:sz w:val="22"/>
          </w:rPr>
          <w:fldChar w:fldCharType="end"/>
        </w:r>
      </w:hyperlink>
    </w:p>
    <w:p w14:paraId="3434207F" w14:textId="77777777" w:rsidR="00B44792" w:rsidRDefault="00413531" w:rsidP="00B44792">
      <w:pPr>
        <w:pStyle w:val="Obsah1"/>
        <w:tabs>
          <w:tab w:val="left" w:pos="720"/>
          <w:tab w:val="right" w:leader="dot" w:pos="9060"/>
        </w:tabs>
        <w:spacing w:before="60" w:after="60"/>
        <w:rPr>
          <w:rFonts w:ascii="Arial" w:hAnsi="Arial" w:cs="Arial"/>
          <w:noProof/>
          <w:sz w:val="22"/>
        </w:rPr>
      </w:pPr>
      <w:hyperlink w:anchor="_Toc176074477" w:history="1">
        <w:r w:rsidR="00B44792">
          <w:rPr>
            <w:rStyle w:val="Hypertextovodkaz"/>
            <w:rFonts w:ascii="Arial" w:hAnsi="Arial" w:cs="Arial"/>
            <w:noProof/>
            <w:sz w:val="22"/>
            <w:szCs w:val="28"/>
          </w:rPr>
          <w:t>9.</w:t>
        </w:r>
        <w:r w:rsidR="00B44792">
          <w:rPr>
            <w:rFonts w:ascii="Arial" w:hAnsi="Arial" w:cs="Arial"/>
            <w:noProof/>
            <w:sz w:val="22"/>
          </w:rPr>
          <w:tab/>
        </w:r>
        <w:r w:rsidR="00B44792">
          <w:rPr>
            <w:rStyle w:val="Hypertextovodkaz"/>
            <w:rFonts w:ascii="Arial" w:hAnsi="Arial" w:cs="Arial"/>
            <w:noProof/>
            <w:sz w:val="22"/>
            <w:szCs w:val="28"/>
          </w:rPr>
          <w:t>Cena a platební podmínky</w:t>
        </w:r>
        <w:r w:rsidR="00B44792">
          <w:rPr>
            <w:rFonts w:ascii="Arial" w:hAnsi="Arial" w:cs="Arial"/>
            <w:noProof/>
            <w:webHidden/>
            <w:sz w:val="22"/>
          </w:rPr>
          <w:tab/>
        </w:r>
        <w:r w:rsidR="00B44792">
          <w:rPr>
            <w:rFonts w:ascii="Arial" w:hAnsi="Arial" w:cs="Arial"/>
            <w:noProof/>
            <w:webHidden/>
            <w:sz w:val="22"/>
          </w:rPr>
          <w:fldChar w:fldCharType="begin"/>
        </w:r>
        <w:r w:rsidR="00B44792">
          <w:rPr>
            <w:rFonts w:ascii="Arial" w:hAnsi="Arial" w:cs="Arial"/>
            <w:noProof/>
            <w:webHidden/>
            <w:sz w:val="22"/>
          </w:rPr>
          <w:instrText xml:space="preserve"> PAGEREF _Toc176074477 \h </w:instrText>
        </w:r>
        <w:r w:rsidR="00B44792">
          <w:rPr>
            <w:rFonts w:ascii="Arial" w:hAnsi="Arial" w:cs="Arial"/>
            <w:noProof/>
            <w:webHidden/>
            <w:sz w:val="22"/>
          </w:rPr>
        </w:r>
        <w:r w:rsidR="00B44792">
          <w:rPr>
            <w:rFonts w:ascii="Arial" w:hAnsi="Arial" w:cs="Arial"/>
            <w:noProof/>
            <w:webHidden/>
            <w:sz w:val="22"/>
          </w:rPr>
          <w:fldChar w:fldCharType="separate"/>
        </w:r>
        <w:r w:rsidR="002071A3">
          <w:rPr>
            <w:rFonts w:ascii="Arial" w:hAnsi="Arial" w:cs="Arial"/>
            <w:noProof/>
            <w:webHidden/>
            <w:sz w:val="22"/>
          </w:rPr>
          <w:t>11</w:t>
        </w:r>
        <w:r w:rsidR="00B44792">
          <w:rPr>
            <w:rFonts w:ascii="Arial" w:hAnsi="Arial" w:cs="Arial"/>
            <w:noProof/>
            <w:webHidden/>
            <w:sz w:val="22"/>
          </w:rPr>
          <w:fldChar w:fldCharType="end"/>
        </w:r>
      </w:hyperlink>
    </w:p>
    <w:p w14:paraId="4ECF6C2C" w14:textId="77777777" w:rsidR="00B44792" w:rsidRDefault="00413531" w:rsidP="00B44792">
      <w:pPr>
        <w:pStyle w:val="Obsah1"/>
        <w:tabs>
          <w:tab w:val="left" w:pos="720"/>
          <w:tab w:val="right" w:leader="dot" w:pos="9060"/>
        </w:tabs>
        <w:spacing w:before="60" w:after="60"/>
        <w:rPr>
          <w:rFonts w:ascii="Arial" w:hAnsi="Arial" w:cs="Arial"/>
          <w:noProof/>
          <w:sz w:val="22"/>
        </w:rPr>
      </w:pPr>
      <w:hyperlink w:anchor="_Toc176074478" w:history="1">
        <w:r w:rsidR="00B44792">
          <w:rPr>
            <w:rStyle w:val="Hypertextovodkaz"/>
            <w:rFonts w:ascii="Arial" w:hAnsi="Arial" w:cs="Arial"/>
            <w:noProof/>
            <w:sz w:val="22"/>
            <w:szCs w:val="28"/>
          </w:rPr>
          <w:t>10.</w:t>
        </w:r>
        <w:r w:rsidR="00B44792">
          <w:rPr>
            <w:rFonts w:ascii="Arial" w:hAnsi="Arial" w:cs="Arial"/>
            <w:noProof/>
            <w:sz w:val="22"/>
          </w:rPr>
          <w:tab/>
        </w:r>
        <w:r w:rsidR="00B44792">
          <w:rPr>
            <w:rStyle w:val="Hypertextovodkaz"/>
            <w:rFonts w:ascii="Arial" w:hAnsi="Arial" w:cs="Arial"/>
            <w:noProof/>
            <w:sz w:val="22"/>
            <w:szCs w:val="28"/>
          </w:rPr>
          <w:t>Změny smluvních podmínek</w:t>
        </w:r>
        <w:r w:rsidR="00B44792">
          <w:rPr>
            <w:rFonts w:ascii="Arial" w:hAnsi="Arial" w:cs="Arial"/>
            <w:noProof/>
            <w:webHidden/>
            <w:sz w:val="22"/>
          </w:rPr>
          <w:tab/>
        </w:r>
        <w:r w:rsidR="00B44792">
          <w:rPr>
            <w:rFonts w:ascii="Arial" w:hAnsi="Arial" w:cs="Arial"/>
            <w:noProof/>
            <w:webHidden/>
            <w:sz w:val="22"/>
          </w:rPr>
          <w:fldChar w:fldCharType="begin"/>
        </w:r>
        <w:r w:rsidR="00B44792">
          <w:rPr>
            <w:rFonts w:ascii="Arial" w:hAnsi="Arial" w:cs="Arial"/>
            <w:noProof/>
            <w:webHidden/>
            <w:sz w:val="22"/>
          </w:rPr>
          <w:instrText xml:space="preserve"> PAGEREF _Toc176074478 \h </w:instrText>
        </w:r>
        <w:r w:rsidR="00B44792">
          <w:rPr>
            <w:rFonts w:ascii="Arial" w:hAnsi="Arial" w:cs="Arial"/>
            <w:noProof/>
            <w:webHidden/>
            <w:sz w:val="22"/>
          </w:rPr>
        </w:r>
        <w:r w:rsidR="00B44792">
          <w:rPr>
            <w:rFonts w:ascii="Arial" w:hAnsi="Arial" w:cs="Arial"/>
            <w:noProof/>
            <w:webHidden/>
            <w:sz w:val="22"/>
          </w:rPr>
          <w:fldChar w:fldCharType="separate"/>
        </w:r>
        <w:r w:rsidR="002071A3">
          <w:rPr>
            <w:rFonts w:ascii="Arial" w:hAnsi="Arial" w:cs="Arial"/>
            <w:noProof/>
            <w:webHidden/>
            <w:sz w:val="22"/>
          </w:rPr>
          <w:t>11</w:t>
        </w:r>
        <w:r w:rsidR="00B44792">
          <w:rPr>
            <w:rFonts w:ascii="Arial" w:hAnsi="Arial" w:cs="Arial"/>
            <w:noProof/>
            <w:webHidden/>
            <w:sz w:val="22"/>
          </w:rPr>
          <w:fldChar w:fldCharType="end"/>
        </w:r>
      </w:hyperlink>
    </w:p>
    <w:p w14:paraId="0675AB21" w14:textId="77777777" w:rsidR="00B44792" w:rsidRDefault="00413531" w:rsidP="00B44792">
      <w:pPr>
        <w:pStyle w:val="Obsah1"/>
        <w:tabs>
          <w:tab w:val="left" w:pos="720"/>
          <w:tab w:val="right" w:leader="dot" w:pos="9060"/>
        </w:tabs>
        <w:spacing w:before="60" w:after="60"/>
        <w:rPr>
          <w:rFonts w:ascii="Arial" w:hAnsi="Arial" w:cs="Arial"/>
          <w:noProof/>
          <w:sz w:val="22"/>
        </w:rPr>
      </w:pPr>
      <w:hyperlink w:anchor="_Toc176074479" w:history="1">
        <w:r w:rsidR="00B44792">
          <w:rPr>
            <w:rStyle w:val="Hypertextovodkaz"/>
            <w:rFonts w:ascii="Arial" w:hAnsi="Arial" w:cs="Arial"/>
            <w:noProof/>
            <w:sz w:val="22"/>
          </w:rPr>
          <w:t>11</w:t>
        </w:r>
        <w:r w:rsidR="00B44792">
          <w:rPr>
            <w:rStyle w:val="Hypertextovodkaz"/>
            <w:rFonts w:ascii="Arial" w:hAnsi="Arial" w:cs="Arial"/>
            <w:noProof/>
            <w:sz w:val="22"/>
            <w:szCs w:val="28"/>
          </w:rPr>
          <w:t>.</w:t>
        </w:r>
        <w:r w:rsidR="00B44792">
          <w:rPr>
            <w:rFonts w:ascii="Arial" w:hAnsi="Arial" w:cs="Arial"/>
            <w:noProof/>
            <w:sz w:val="22"/>
          </w:rPr>
          <w:tab/>
        </w:r>
        <w:r w:rsidR="00B44792">
          <w:rPr>
            <w:rStyle w:val="Hypertextovodkaz"/>
            <w:rFonts w:ascii="Arial" w:hAnsi="Arial" w:cs="Arial"/>
            <w:noProof/>
            <w:sz w:val="22"/>
            <w:szCs w:val="28"/>
          </w:rPr>
          <w:t>Sleva za příznivý škodní průběh</w:t>
        </w:r>
        <w:r w:rsidR="00B44792">
          <w:rPr>
            <w:rFonts w:ascii="Arial" w:hAnsi="Arial" w:cs="Arial"/>
            <w:noProof/>
            <w:webHidden/>
            <w:sz w:val="22"/>
          </w:rPr>
          <w:tab/>
        </w:r>
        <w:r w:rsidR="00B44792">
          <w:rPr>
            <w:rFonts w:ascii="Arial" w:hAnsi="Arial" w:cs="Arial"/>
            <w:noProof/>
            <w:webHidden/>
            <w:sz w:val="22"/>
          </w:rPr>
          <w:fldChar w:fldCharType="begin"/>
        </w:r>
        <w:r w:rsidR="00B44792">
          <w:rPr>
            <w:rFonts w:ascii="Arial" w:hAnsi="Arial" w:cs="Arial"/>
            <w:noProof/>
            <w:webHidden/>
            <w:sz w:val="22"/>
          </w:rPr>
          <w:instrText xml:space="preserve"> PAGEREF _Toc176074479 \h </w:instrText>
        </w:r>
        <w:r w:rsidR="00B44792">
          <w:rPr>
            <w:rFonts w:ascii="Arial" w:hAnsi="Arial" w:cs="Arial"/>
            <w:noProof/>
            <w:webHidden/>
            <w:sz w:val="22"/>
          </w:rPr>
        </w:r>
        <w:r w:rsidR="00B44792">
          <w:rPr>
            <w:rFonts w:ascii="Arial" w:hAnsi="Arial" w:cs="Arial"/>
            <w:noProof/>
            <w:webHidden/>
            <w:sz w:val="22"/>
          </w:rPr>
          <w:fldChar w:fldCharType="separate"/>
        </w:r>
        <w:r w:rsidR="002071A3">
          <w:rPr>
            <w:rFonts w:ascii="Arial" w:hAnsi="Arial" w:cs="Arial"/>
            <w:noProof/>
            <w:webHidden/>
            <w:sz w:val="22"/>
          </w:rPr>
          <w:t>11</w:t>
        </w:r>
        <w:r w:rsidR="00B44792">
          <w:rPr>
            <w:rFonts w:ascii="Arial" w:hAnsi="Arial" w:cs="Arial"/>
            <w:noProof/>
            <w:webHidden/>
            <w:sz w:val="22"/>
          </w:rPr>
          <w:fldChar w:fldCharType="end"/>
        </w:r>
      </w:hyperlink>
    </w:p>
    <w:p w14:paraId="6B32CDFA" w14:textId="77777777" w:rsidR="00AC5820" w:rsidRPr="002A6400" w:rsidRDefault="00AC5820" w:rsidP="002A6400">
      <w:r>
        <w:t xml:space="preserve">12. </w:t>
      </w:r>
      <w:r>
        <w:tab/>
        <w:t>Výpověď pojistné smlouvy …………………………………………………………………12</w:t>
      </w:r>
    </w:p>
    <w:p w14:paraId="1714EA7B" w14:textId="226E8670" w:rsidR="00B44792" w:rsidRDefault="00413531" w:rsidP="00B44792">
      <w:pPr>
        <w:pStyle w:val="Obsah1"/>
        <w:tabs>
          <w:tab w:val="left" w:pos="720"/>
          <w:tab w:val="right" w:leader="dot" w:pos="9060"/>
        </w:tabs>
        <w:spacing w:before="60" w:after="60"/>
        <w:rPr>
          <w:rFonts w:ascii="Arial" w:hAnsi="Arial" w:cs="Arial"/>
          <w:noProof/>
          <w:sz w:val="22"/>
        </w:rPr>
      </w:pPr>
      <w:hyperlink w:anchor="_Toc176074480" w:history="1">
        <w:r w:rsidR="00B44792">
          <w:rPr>
            <w:rStyle w:val="Hypertextovodkaz"/>
            <w:rFonts w:ascii="Arial" w:hAnsi="Arial" w:cs="Arial"/>
            <w:noProof/>
            <w:sz w:val="22"/>
            <w:szCs w:val="28"/>
          </w:rPr>
          <w:t>1</w:t>
        </w:r>
        <w:r w:rsidR="00A549CD">
          <w:rPr>
            <w:rStyle w:val="Hypertextovodkaz"/>
            <w:rFonts w:ascii="Arial" w:hAnsi="Arial" w:cs="Arial"/>
            <w:noProof/>
            <w:sz w:val="22"/>
            <w:szCs w:val="28"/>
          </w:rPr>
          <w:t>3</w:t>
        </w:r>
        <w:r w:rsidR="00B44792">
          <w:rPr>
            <w:rStyle w:val="Hypertextovodkaz"/>
            <w:rFonts w:ascii="Arial" w:hAnsi="Arial" w:cs="Arial"/>
            <w:noProof/>
            <w:sz w:val="22"/>
            <w:szCs w:val="28"/>
          </w:rPr>
          <w:t>.</w:t>
        </w:r>
        <w:r w:rsidR="00B44792">
          <w:rPr>
            <w:rFonts w:ascii="Arial" w:hAnsi="Arial" w:cs="Arial"/>
            <w:noProof/>
            <w:sz w:val="22"/>
          </w:rPr>
          <w:tab/>
        </w:r>
        <w:r w:rsidR="00B44792">
          <w:rPr>
            <w:rStyle w:val="Hypertextovodkaz"/>
            <w:rFonts w:ascii="Arial" w:hAnsi="Arial" w:cs="Arial"/>
            <w:noProof/>
            <w:sz w:val="22"/>
            <w:szCs w:val="28"/>
          </w:rPr>
          <w:t>Přílohy</w:t>
        </w:r>
        <w:r w:rsidR="00B44792">
          <w:rPr>
            <w:rFonts w:ascii="Arial" w:hAnsi="Arial" w:cs="Arial"/>
            <w:noProof/>
            <w:webHidden/>
            <w:sz w:val="22"/>
          </w:rPr>
          <w:tab/>
        </w:r>
        <w:r w:rsidR="00A549CD">
          <w:rPr>
            <w:rFonts w:ascii="Arial" w:hAnsi="Arial" w:cs="Arial"/>
            <w:noProof/>
            <w:webHidden/>
            <w:sz w:val="22"/>
          </w:rPr>
          <w:t>12</w:t>
        </w:r>
      </w:hyperlink>
    </w:p>
    <w:p w14:paraId="18743180" w14:textId="77777777" w:rsidR="00B44792" w:rsidRDefault="00B44792" w:rsidP="00B44792">
      <w:pPr>
        <w:pStyle w:val="Obsah1"/>
        <w:tabs>
          <w:tab w:val="left" w:pos="720"/>
          <w:tab w:val="right" w:leader="dot" w:pos="9060"/>
        </w:tabs>
        <w:spacing w:before="60" w:after="60"/>
        <w:rPr>
          <w:rFonts w:ascii="Arial" w:hAnsi="Arial" w:cs="Arial"/>
          <w:sz w:val="22"/>
        </w:rPr>
      </w:pPr>
      <w:r>
        <w:rPr>
          <w:rFonts w:ascii="Arial" w:hAnsi="Arial" w:cs="Arial"/>
          <w:sz w:val="22"/>
        </w:rPr>
        <w:fldChar w:fldCharType="end"/>
      </w:r>
    </w:p>
    <w:p w14:paraId="3C9BB38C" w14:textId="77777777" w:rsidR="00B44792" w:rsidRDefault="00B44792" w:rsidP="00B44792">
      <w:pPr>
        <w:pStyle w:val="Zhlav"/>
        <w:tabs>
          <w:tab w:val="clear" w:pos="4536"/>
          <w:tab w:val="clear" w:pos="9072"/>
        </w:tabs>
        <w:autoSpaceDE/>
        <w:autoSpaceDN/>
        <w:spacing w:before="0" w:line="240" w:lineRule="auto"/>
        <w:rPr>
          <w:rFonts w:ascii="Arial" w:hAnsi="Arial" w:cs="Arial"/>
          <w:szCs w:val="24"/>
        </w:rPr>
      </w:pPr>
    </w:p>
    <w:p w14:paraId="3C43D69B" w14:textId="77777777" w:rsidR="00B44792" w:rsidRDefault="00B44792" w:rsidP="00B44792">
      <w:pPr>
        <w:pStyle w:val="Zhlav"/>
        <w:tabs>
          <w:tab w:val="clear" w:pos="4536"/>
          <w:tab w:val="clear" w:pos="9072"/>
        </w:tabs>
        <w:autoSpaceDE/>
        <w:autoSpaceDN/>
        <w:spacing w:before="0" w:line="240" w:lineRule="auto"/>
        <w:rPr>
          <w:rFonts w:ascii="Arial" w:hAnsi="Arial" w:cs="Arial"/>
          <w:szCs w:val="24"/>
        </w:rPr>
      </w:pPr>
    </w:p>
    <w:p w14:paraId="118CBC7F" w14:textId="77777777" w:rsidR="00B44792" w:rsidRDefault="00B44792" w:rsidP="00B44792">
      <w:pPr>
        <w:rPr>
          <w:rFonts w:cs="Arial"/>
        </w:rPr>
      </w:pPr>
    </w:p>
    <w:p w14:paraId="5F2812DA" w14:textId="77777777" w:rsidR="00B44792" w:rsidRDefault="00B44792" w:rsidP="00B44792">
      <w:pPr>
        <w:pStyle w:val="Obsah1"/>
      </w:pPr>
    </w:p>
    <w:p w14:paraId="1F68104F" w14:textId="77777777" w:rsidR="00B44792" w:rsidRDefault="00B44792" w:rsidP="00B44792"/>
    <w:p w14:paraId="76467BBD" w14:textId="77777777" w:rsidR="00B44792" w:rsidRDefault="00B44792" w:rsidP="00B44792"/>
    <w:p w14:paraId="09060816" w14:textId="77777777" w:rsidR="00B44792" w:rsidRDefault="00B44792" w:rsidP="00B44792"/>
    <w:p w14:paraId="4770E25F" w14:textId="77777777" w:rsidR="00B44792" w:rsidRDefault="00B44792" w:rsidP="00B44792"/>
    <w:p w14:paraId="50A9410F" w14:textId="77777777" w:rsidR="00B44792" w:rsidRDefault="00B44792" w:rsidP="00B44792"/>
    <w:p w14:paraId="0831C188" w14:textId="77777777" w:rsidR="00B44792" w:rsidRDefault="00B44792" w:rsidP="00B44792"/>
    <w:p w14:paraId="77DA3327" w14:textId="77777777" w:rsidR="00B44792" w:rsidRDefault="00B44792" w:rsidP="00B44792"/>
    <w:p w14:paraId="08E95A94" w14:textId="77777777" w:rsidR="00B44792" w:rsidRDefault="00B44792" w:rsidP="00B44792"/>
    <w:p w14:paraId="7B449988" w14:textId="77777777" w:rsidR="00B44792" w:rsidRDefault="00B44792" w:rsidP="00B44792"/>
    <w:p w14:paraId="11C2F856" w14:textId="77777777" w:rsidR="00B44792" w:rsidRDefault="00B44792" w:rsidP="00B44792"/>
    <w:p w14:paraId="7FBDAD84" w14:textId="77777777" w:rsidR="00B44792" w:rsidRDefault="00B44792" w:rsidP="00B44792"/>
    <w:p w14:paraId="2AB69C96" w14:textId="77777777" w:rsidR="00B44792" w:rsidRDefault="00B44792" w:rsidP="00B44792"/>
    <w:p w14:paraId="3AA1F53E" w14:textId="77777777" w:rsidR="00B44792" w:rsidRDefault="00B44792" w:rsidP="00B44792"/>
    <w:p w14:paraId="724A21B0" w14:textId="77777777" w:rsidR="00B44792" w:rsidRDefault="00B44792" w:rsidP="00B44792"/>
    <w:p w14:paraId="20FB58CC" w14:textId="77777777" w:rsidR="00B44792" w:rsidRDefault="00B44792" w:rsidP="00B44792"/>
    <w:p w14:paraId="658A4753" w14:textId="77777777" w:rsidR="00B44792" w:rsidRDefault="00B44792" w:rsidP="00B44792"/>
    <w:p w14:paraId="04DF245B" w14:textId="77777777" w:rsidR="00B44792" w:rsidRDefault="00B44792" w:rsidP="00B44792"/>
    <w:p w14:paraId="7F826B6E" w14:textId="77777777" w:rsidR="00B44792" w:rsidRDefault="00B44792" w:rsidP="00B44792"/>
    <w:p w14:paraId="496059E4" w14:textId="77777777" w:rsidR="00B44792" w:rsidRDefault="00B44792" w:rsidP="00B44792">
      <w:pPr>
        <w:pStyle w:val="Nadpis1"/>
        <w:numPr>
          <w:ilvl w:val="0"/>
          <w:numId w:val="3"/>
        </w:numPr>
      </w:pPr>
      <w:r>
        <w:t xml:space="preserve"> </w:t>
      </w:r>
      <w:bookmarkStart w:id="1" w:name="_Toc176074416"/>
      <w:r>
        <w:t>Pojištěný</w:t>
      </w:r>
      <w:bookmarkEnd w:id="1"/>
      <w:r>
        <w:t>, pojištěný</w:t>
      </w:r>
    </w:p>
    <w:p w14:paraId="10654E48" w14:textId="77777777" w:rsidR="00B44792" w:rsidRDefault="00B44792" w:rsidP="00B44792">
      <w:pPr>
        <w:pStyle w:val="Nadpis2"/>
        <w:numPr>
          <w:ilvl w:val="1"/>
          <w:numId w:val="3"/>
        </w:numPr>
      </w:pPr>
      <w:r>
        <w:t>Pojištěný a pojistník</w:t>
      </w:r>
    </w:p>
    <w:p w14:paraId="1978DA74" w14:textId="77777777" w:rsidR="00B44792" w:rsidRDefault="00B44792" w:rsidP="00B44792">
      <w:pPr>
        <w:widowControl w:val="0"/>
        <w:spacing w:before="120"/>
        <w:ind w:left="720"/>
        <w:rPr>
          <w:rFonts w:cs="Arial"/>
          <w:szCs w:val="22"/>
        </w:rPr>
      </w:pPr>
      <w:r>
        <w:rPr>
          <w:rFonts w:cs="Arial"/>
          <w:szCs w:val="22"/>
        </w:rPr>
        <w:t>Zlínský kraj</w:t>
      </w:r>
    </w:p>
    <w:p w14:paraId="4C6153C1" w14:textId="77777777" w:rsidR="00B44792" w:rsidRDefault="00B44792" w:rsidP="00B44792">
      <w:pPr>
        <w:widowControl w:val="0"/>
        <w:ind w:left="720"/>
        <w:rPr>
          <w:rFonts w:cs="Arial"/>
          <w:szCs w:val="22"/>
        </w:rPr>
      </w:pPr>
      <w:r>
        <w:rPr>
          <w:rFonts w:cs="Arial"/>
          <w:szCs w:val="22"/>
        </w:rPr>
        <w:t>Třída Tomáše Bati 21</w:t>
      </w:r>
    </w:p>
    <w:p w14:paraId="4CD6F51E" w14:textId="77777777" w:rsidR="00B44792" w:rsidRDefault="00B44792" w:rsidP="00B44792">
      <w:pPr>
        <w:widowControl w:val="0"/>
        <w:ind w:left="720"/>
        <w:rPr>
          <w:rFonts w:cs="Arial"/>
          <w:szCs w:val="22"/>
        </w:rPr>
      </w:pPr>
      <w:r>
        <w:rPr>
          <w:rFonts w:cs="Arial"/>
          <w:szCs w:val="22"/>
        </w:rPr>
        <w:t>PSČ 761 90 Zlín</w:t>
      </w:r>
    </w:p>
    <w:p w14:paraId="6D867037" w14:textId="77777777" w:rsidR="00B44792" w:rsidRDefault="00B44792" w:rsidP="00B44792">
      <w:pPr>
        <w:widowControl w:val="0"/>
        <w:ind w:left="720"/>
        <w:rPr>
          <w:rFonts w:cs="Arial"/>
          <w:szCs w:val="22"/>
        </w:rPr>
      </w:pPr>
      <w:r>
        <w:rPr>
          <w:rFonts w:cs="Arial"/>
          <w:szCs w:val="22"/>
        </w:rPr>
        <w:t>IČ: 70891320</w:t>
      </w:r>
    </w:p>
    <w:p w14:paraId="598BD288" w14:textId="77777777" w:rsidR="00B44792" w:rsidRDefault="00B44792" w:rsidP="00B44792">
      <w:pPr>
        <w:widowControl w:val="0"/>
        <w:tabs>
          <w:tab w:val="left" w:pos="1260"/>
          <w:tab w:val="left" w:pos="2520"/>
        </w:tabs>
        <w:rPr>
          <w:rFonts w:cs="Arial"/>
          <w:szCs w:val="22"/>
        </w:rPr>
      </w:pPr>
    </w:p>
    <w:p w14:paraId="6418A29E" w14:textId="77777777" w:rsidR="00B44792" w:rsidRDefault="00B44792" w:rsidP="00B44792">
      <w:pPr>
        <w:pStyle w:val="Nadpis2"/>
        <w:numPr>
          <w:ilvl w:val="1"/>
          <w:numId w:val="3"/>
        </w:numPr>
        <w:rPr>
          <w:u w:val="single"/>
        </w:rPr>
      </w:pPr>
      <w:bookmarkStart w:id="2" w:name="_Toc176074418"/>
      <w:r>
        <w:t>Další pojištěné organizace</w:t>
      </w:r>
      <w:bookmarkEnd w:id="2"/>
    </w:p>
    <w:p w14:paraId="202360DD" w14:textId="77777777" w:rsidR="00B44792" w:rsidRDefault="00B44792" w:rsidP="00B44792">
      <w:pPr>
        <w:ind w:left="720"/>
        <w:rPr>
          <w:rFonts w:cs="Arial"/>
          <w:u w:val="single"/>
        </w:rPr>
      </w:pPr>
      <w:r>
        <w:rPr>
          <w:rFonts w:cs="Arial"/>
        </w:rPr>
        <w:t xml:space="preserve">Příspěvkové organizace, které byly zřízené Zlínským krajem nebo, které byly na Zlínský kraj převedeny zvláštním </w:t>
      </w:r>
      <w:r w:rsidR="00221158">
        <w:rPr>
          <w:rFonts w:cs="Arial"/>
        </w:rPr>
        <w:t>zákonem a to</w:t>
      </w:r>
      <w:r>
        <w:rPr>
          <w:rFonts w:cs="Arial"/>
        </w:rPr>
        <w:t xml:space="preserve"> v plném rozsahu těchto obchodních podmínek.</w:t>
      </w:r>
    </w:p>
    <w:p w14:paraId="0847D37B" w14:textId="77777777" w:rsidR="00B44792" w:rsidRDefault="00B44792" w:rsidP="00B44792"/>
    <w:p w14:paraId="4688DD51" w14:textId="77777777" w:rsidR="00B44792" w:rsidRDefault="00B44792" w:rsidP="00B44792">
      <w:pPr>
        <w:pStyle w:val="Nadpis1"/>
        <w:numPr>
          <w:ilvl w:val="0"/>
          <w:numId w:val="3"/>
        </w:numPr>
      </w:pPr>
      <w:bookmarkStart w:id="3" w:name="_Toc176067418"/>
      <w:bookmarkStart w:id="4" w:name="_Toc176067485"/>
      <w:bookmarkStart w:id="5" w:name="_Toc176067551"/>
      <w:bookmarkStart w:id="6" w:name="_Toc176074353"/>
      <w:bookmarkStart w:id="7" w:name="_Toc176074419"/>
      <w:bookmarkEnd w:id="3"/>
      <w:bookmarkEnd w:id="4"/>
      <w:bookmarkEnd w:id="5"/>
      <w:bookmarkEnd w:id="6"/>
      <w:bookmarkEnd w:id="7"/>
      <w:r>
        <w:tab/>
      </w:r>
      <w:bookmarkStart w:id="8" w:name="_Toc176074455"/>
      <w:r>
        <w:t>Škodové pojištění odpovědnosti za škodu</w:t>
      </w:r>
      <w:bookmarkEnd w:id="8"/>
      <w:r w:rsidR="00AB2968">
        <w:t xml:space="preserve"> či újmu</w:t>
      </w:r>
    </w:p>
    <w:p w14:paraId="0B9F38C8" w14:textId="77777777" w:rsidR="00B44792" w:rsidRDefault="00B44792" w:rsidP="00B44792">
      <w:pPr>
        <w:pStyle w:val="Nadpis2"/>
        <w:numPr>
          <w:ilvl w:val="1"/>
          <w:numId w:val="3"/>
        </w:numPr>
      </w:pPr>
      <w:bookmarkStart w:id="9" w:name="_Toc176074456"/>
      <w:r>
        <w:t>Předmět pojištění</w:t>
      </w:r>
      <w:bookmarkEnd w:id="9"/>
    </w:p>
    <w:p w14:paraId="765207A7" w14:textId="77777777" w:rsidR="00B44792" w:rsidRDefault="00B44792" w:rsidP="00B44792">
      <w:pPr>
        <w:widowControl w:val="0"/>
        <w:ind w:left="720"/>
        <w:rPr>
          <w:rFonts w:cs="Arial"/>
          <w:b/>
          <w:bCs/>
          <w:szCs w:val="22"/>
        </w:rPr>
      </w:pPr>
      <w:r>
        <w:rPr>
          <w:rFonts w:cs="Arial"/>
          <w:b/>
          <w:bCs/>
          <w:szCs w:val="22"/>
        </w:rPr>
        <w:t>Pojištěný předmět činnosti.</w:t>
      </w:r>
    </w:p>
    <w:p w14:paraId="43FC77F2" w14:textId="77777777" w:rsidR="00B44792" w:rsidRDefault="00B44792" w:rsidP="00B44792">
      <w:pPr>
        <w:widowControl w:val="0"/>
        <w:ind w:left="720"/>
        <w:rPr>
          <w:rFonts w:cs="Arial"/>
          <w:szCs w:val="22"/>
        </w:rPr>
      </w:pPr>
      <w:r>
        <w:rPr>
          <w:rFonts w:cs="Arial"/>
          <w:szCs w:val="22"/>
        </w:rPr>
        <w:t xml:space="preserve">Pojištění se sjednává pro </w:t>
      </w:r>
      <w:r w:rsidR="00F541D4">
        <w:rPr>
          <w:rFonts w:cs="Arial"/>
          <w:szCs w:val="22"/>
        </w:rPr>
        <w:t>povinnosti pojištěného nahradit škodu či újmu při ublížení na zdraví nebo usmrcení jinému v souvislosti s činností kraje dle zákona č. 129/2000 Sb</w:t>
      </w:r>
      <w:r w:rsidR="00EB023F">
        <w:rPr>
          <w:rFonts w:cs="Arial"/>
          <w:szCs w:val="22"/>
        </w:rPr>
        <w:t>.</w:t>
      </w:r>
      <w:r w:rsidR="00F541D4">
        <w:rPr>
          <w:rFonts w:cs="Arial"/>
          <w:szCs w:val="22"/>
        </w:rPr>
        <w:t>, o krajích (ve znění pozdějších předpisů) nebo škodu či újmu na zdraví nebo usmrcení vzniklou jinému při výkonu veřejné moci rozhodnutím nebo nesprávným postupem ve smyslu zákona č. 82/1998 Sb</w:t>
      </w:r>
      <w:r w:rsidR="00400FFC">
        <w:rPr>
          <w:rFonts w:cs="Arial"/>
          <w:szCs w:val="22"/>
        </w:rPr>
        <w:t>.</w:t>
      </w:r>
      <w:r w:rsidR="00F541D4">
        <w:rPr>
          <w:rFonts w:cs="Arial"/>
          <w:szCs w:val="22"/>
        </w:rPr>
        <w:t>, o odpovědnosti za škodu způsobenou při výkonu veřejné moci rozhodnutím nebo nesprávným úředním postupem, ve znění pozdějších předpisů.</w:t>
      </w:r>
      <w:r w:rsidR="00AB2968">
        <w:rPr>
          <w:rFonts w:cs="Arial"/>
          <w:szCs w:val="22"/>
        </w:rPr>
        <w:t xml:space="preserve"> </w:t>
      </w:r>
      <w:r w:rsidR="00F541D4">
        <w:rPr>
          <w:rFonts w:cs="Arial"/>
          <w:szCs w:val="22"/>
        </w:rPr>
        <w:t>P</w:t>
      </w:r>
      <w:r>
        <w:rPr>
          <w:rFonts w:cs="Arial"/>
          <w:szCs w:val="22"/>
        </w:rPr>
        <w:t>ojištěný vykonává činnosti na základě Zřizovacích listin</w:t>
      </w:r>
      <w:r w:rsidR="00F541D4">
        <w:rPr>
          <w:rFonts w:cs="Arial"/>
          <w:szCs w:val="22"/>
        </w:rPr>
        <w:t>,</w:t>
      </w:r>
      <w:r>
        <w:rPr>
          <w:rFonts w:cs="Arial"/>
          <w:szCs w:val="22"/>
        </w:rPr>
        <w:t xml:space="preserve"> Živnostenských listů</w:t>
      </w:r>
      <w:r w:rsidR="00F541D4">
        <w:rPr>
          <w:rFonts w:cs="Arial"/>
          <w:szCs w:val="22"/>
        </w:rPr>
        <w:t xml:space="preserve"> nebo Výpisů z Obchodního rejstříku.</w:t>
      </w:r>
    </w:p>
    <w:p w14:paraId="47925681" w14:textId="77777777" w:rsidR="00B44792" w:rsidRDefault="00B44792" w:rsidP="00B44792">
      <w:pPr>
        <w:widowControl w:val="0"/>
        <w:ind w:left="720"/>
        <w:rPr>
          <w:rFonts w:cs="Arial"/>
          <w:szCs w:val="22"/>
        </w:rPr>
      </w:pPr>
    </w:p>
    <w:p w14:paraId="540D79AA" w14:textId="77777777" w:rsidR="00B44792" w:rsidRDefault="00B44792" w:rsidP="00B44792">
      <w:pPr>
        <w:widowControl w:val="0"/>
        <w:ind w:left="720"/>
        <w:rPr>
          <w:rFonts w:cs="Arial"/>
          <w:b/>
          <w:bCs/>
          <w:szCs w:val="22"/>
        </w:rPr>
      </w:pPr>
    </w:p>
    <w:p w14:paraId="240150B1" w14:textId="77777777" w:rsidR="00B44792" w:rsidRDefault="00B44792" w:rsidP="00B44792">
      <w:pPr>
        <w:pStyle w:val="Nadpis2"/>
        <w:numPr>
          <w:ilvl w:val="1"/>
          <w:numId w:val="3"/>
        </w:numPr>
      </w:pPr>
      <w:bookmarkStart w:id="10" w:name="_Toc176074457"/>
      <w:r>
        <w:t>Pojistná nebezpečí, pojistné částky</w:t>
      </w:r>
      <w:bookmarkEnd w:id="10"/>
    </w:p>
    <w:p w14:paraId="61815949" w14:textId="77777777" w:rsidR="00B44792" w:rsidRDefault="00B44792" w:rsidP="00B44792">
      <w:pPr>
        <w:pStyle w:val="Nadpis3"/>
        <w:numPr>
          <w:ilvl w:val="2"/>
          <w:numId w:val="3"/>
        </w:numPr>
      </w:pPr>
      <w:r>
        <w:t>Základní pojištění odpovědnost za škodu</w:t>
      </w:r>
      <w:r w:rsidR="00AB2968">
        <w:t xml:space="preserve"> či újmu</w:t>
      </w:r>
    </w:p>
    <w:p w14:paraId="3A4B2E32" w14:textId="77777777" w:rsidR="00B44792" w:rsidRDefault="00B44792" w:rsidP="00B44792">
      <w:pPr>
        <w:spacing w:before="60"/>
        <w:ind w:left="720"/>
        <w:rPr>
          <w:rFonts w:cs="Arial"/>
          <w:szCs w:val="22"/>
        </w:rPr>
      </w:pPr>
      <w:r>
        <w:rPr>
          <w:rFonts w:cs="Arial"/>
          <w:szCs w:val="22"/>
        </w:rPr>
        <w:t>Včetně pojištění odpovědnosti za škodu vyplývající z vlastnictví, držby nebo jiného oprávněného užívání nemovitosti.</w:t>
      </w:r>
    </w:p>
    <w:p w14:paraId="7138047C" w14:textId="77777777" w:rsidR="00B44792" w:rsidRDefault="00B44792" w:rsidP="00B44792">
      <w:pPr>
        <w:spacing w:before="60"/>
        <w:ind w:left="720"/>
        <w:rPr>
          <w:rFonts w:cs="Arial"/>
          <w:szCs w:val="22"/>
        </w:rPr>
      </w:pPr>
      <w:r>
        <w:rPr>
          <w:rFonts w:cs="Arial"/>
          <w:szCs w:val="22"/>
        </w:rPr>
        <w:t>Limit plnění:</w:t>
      </w:r>
      <w:r>
        <w:rPr>
          <w:rFonts w:cs="Arial"/>
          <w:szCs w:val="22"/>
        </w:rPr>
        <w:tab/>
      </w:r>
      <w:r>
        <w:rPr>
          <w:rFonts w:cs="Arial"/>
          <w:b/>
          <w:bCs/>
          <w:szCs w:val="22"/>
        </w:rPr>
        <w:t>30 000 000</w:t>
      </w:r>
      <w:r>
        <w:rPr>
          <w:rFonts w:cs="Arial"/>
          <w:b/>
          <w:bCs/>
          <w:color w:val="FF0000"/>
          <w:szCs w:val="22"/>
        </w:rPr>
        <w:t xml:space="preserve"> </w:t>
      </w:r>
      <w:r>
        <w:rPr>
          <w:rFonts w:cs="Arial"/>
          <w:b/>
          <w:bCs/>
          <w:szCs w:val="22"/>
        </w:rPr>
        <w:t>Kč</w:t>
      </w:r>
      <w:r>
        <w:rPr>
          <w:rFonts w:cs="Arial"/>
          <w:szCs w:val="22"/>
        </w:rPr>
        <w:tab/>
      </w:r>
    </w:p>
    <w:p w14:paraId="0D10FE77" w14:textId="77777777" w:rsidR="00B44792" w:rsidRDefault="00B44792" w:rsidP="00B44792">
      <w:pPr>
        <w:pStyle w:val="Nadpis3"/>
        <w:numPr>
          <w:ilvl w:val="2"/>
          <w:numId w:val="3"/>
        </w:numPr>
      </w:pPr>
      <w:r>
        <w:t>Doplňková pojištění k</w:t>
      </w:r>
      <w:r w:rsidR="00400FFC">
        <w:t> </w:t>
      </w:r>
      <w:r>
        <w:t>bodu</w:t>
      </w:r>
      <w:r w:rsidR="00400FFC">
        <w:t xml:space="preserve"> </w:t>
      </w:r>
      <w:r>
        <w:t>2.2.1.</w:t>
      </w:r>
    </w:p>
    <w:p w14:paraId="5FFEC09E" w14:textId="77777777" w:rsidR="00B44792" w:rsidRDefault="00B44792" w:rsidP="00B44792">
      <w:pPr>
        <w:numPr>
          <w:ilvl w:val="0"/>
          <w:numId w:val="11"/>
        </w:numPr>
        <w:tabs>
          <w:tab w:val="num" w:pos="1080"/>
        </w:tabs>
        <w:spacing w:before="60"/>
        <w:ind w:left="1077" w:hanging="357"/>
        <w:rPr>
          <w:rFonts w:cs="Arial"/>
          <w:szCs w:val="22"/>
        </w:rPr>
      </w:pPr>
      <w:r>
        <w:rPr>
          <w:rFonts w:cs="Arial"/>
          <w:szCs w:val="22"/>
        </w:rPr>
        <w:t>Pojištění odpovědnosti za škodu jinou, než je škoda na zdraví a životě, škoda na věci nebo jiná majetková škoda, včetně škody na zisku (ušlý zisk). Pojištění se vztahuje na škody vyplývající ze škody na zdraví nebo škody na věci.</w:t>
      </w:r>
    </w:p>
    <w:p w14:paraId="4B305FBD" w14:textId="77777777" w:rsidR="00B44792" w:rsidRDefault="00B44792" w:rsidP="00B44792">
      <w:pPr>
        <w:spacing w:before="60"/>
        <w:ind w:left="720"/>
        <w:rPr>
          <w:rFonts w:cs="Arial"/>
          <w:szCs w:val="22"/>
        </w:rPr>
      </w:pPr>
      <w:r>
        <w:rPr>
          <w:rFonts w:cs="Arial"/>
          <w:szCs w:val="22"/>
        </w:rPr>
        <w:t>Sublimit plnění:</w:t>
      </w:r>
      <w:r>
        <w:rPr>
          <w:rFonts w:cs="Arial"/>
          <w:szCs w:val="22"/>
        </w:rPr>
        <w:tab/>
      </w:r>
      <w:r>
        <w:rPr>
          <w:rFonts w:cs="Arial"/>
          <w:b/>
          <w:bCs/>
          <w:szCs w:val="22"/>
        </w:rPr>
        <w:t xml:space="preserve"> 10 000 000</w:t>
      </w:r>
      <w:r>
        <w:rPr>
          <w:rFonts w:cs="Arial"/>
          <w:b/>
          <w:bCs/>
          <w:color w:val="FF0000"/>
          <w:szCs w:val="22"/>
        </w:rPr>
        <w:t xml:space="preserve"> </w:t>
      </w:r>
      <w:r>
        <w:rPr>
          <w:rFonts w:cs="Arial"/>
          <w:b/>
          <w:bCs/>
          <w:szCs w:val="22"/>
        </w:rPr>
        <w:t>Kč</w:t>
      </w:r>
      <w:r>
        <w:rPr>
          <w:rFonts w:cs="Arial"/>
          <w:szCs w:val="22"/>
        </w:rPr>
        <w:t xml:space="preserve"> (limit plnění s možností připojištění).</w:t>
      </w:r>
    </w:p>
    <w:p w14:paraId="19D5B68C" w14:textId="77777777" w:rsidR="00B44792" w:rsidRDefault="00B44792" w:rsidP="00B44792">
      <w:pPr>
        <w:spacing w:before="60"/>
        <w:ind w:left="720"/>
        <w:rPr>
          <w:rFonts w:cs="Arial"/>
          <w:szCs w:val="22"/>
        </w:rPr>
      </w:pPr>
    </w:p>
    <w:p w14:paraId="36C8C704" w14:textId="77777777" w:rsidR="00B44792" w:rsidRDefault="00B44792" w:rsidP="00B44792">
      <w:pPr>
        <w:numPr>
          <w:ilvl w:val="0"/>
          <w:numId w:val="11"/>
        </w:numPr>
        <w:tabs>
          <w:tab w:val="num" w:pos="1080"/>
        </w:tabs>
        <w:spacing w:before="60"/>
        <w:ind w:left="1077" w:hanging="357"/>
        <w:rPr>
          <w:rFonts w:cs="Arial"/>
          <w:szCs w:val="22"/>
        </w:rPr>
      </w:pPr>
      <w:r>
        <w:rPr>
          <w:rFonts w:cs="Arial"/>
          <w:szCs w:val="22"/>
        </w:rPr>
        <w:t>Pojištění odpovědnosti za škodu způsobenou vadou výrobku a za škodu způsobenou vadou vykonané práce, která se projeví po jejím předání.</w:t>
      </w:r>
    </w:p>
    <w:p w14:paraId="4F87BA18" w14:textId="77777777" w:rsidR="00B44792" w:rsidRDefault="00B44792" w:rsidP="00B44792">
      <w:pPr>
        <w:spacing w:before="60"/>
        <w:ind w:left="720"/>
        <w:rPr>
          <w:rFonts w:cs="Arial"/>
          <w:szCs w:val="22"/>
        </w:rPr>
      </w:pPr>
      <w:r>
        <w:rPr>
          <w:rFonts w:cs="Arial"/>
          <w:szCs w:val="22"/>
        </w:rPr>
        <w:lastRenderedPageBreak/>
        <w:t>Sublimit plnění:</w:t>
      </w:r>
      <w:r>
        <w:rPr>
          <w:rFonts w:cs="Arial"/>
          <w:szCs w:val="22"/>
        </w:rPr>
        <w:tab/>
      </w:r>
      <w:r>
        <w:rPr>
          <w:rFonts w:cs="Arial"/>
          <w:b/>
          <w:bCs/>
          <w:szCs w:val="22"/>
        </w:rPr>
        <w:t xml:space="preserve">  10 000 000 Kč</w:t>
      </w:r>
      <w:r>
        <w:rPr>
          <w:rFonts w:cs="Arial"/>
          <w:szCs w:val="22"/>
        </w:rPr>
        <w:t xml:space="preserve"> (limit plnění s možností připojištění).</w:t>
      </w:r>
    </w:p>
    <w:p w14:paraId="24FB1C2A" w14:textId="77777777" w:rsidR="00B44792" w:rsidRDefault="00B44792" w:rsidP="00B44792">
      <w:pPr>
        <w:spacing w:before="60"/>
        <w:ind w:left="720"/>
        <w:rPr>
          <w:rFonts w:cs="Arial"/>
          <w:szCs w:val="22"/>
        </w:rPr>
      </w:pPr>
    </w:p>
    <w:p w14:paraId="50742AE2" w14:textId="77777777" w:rsidR="00B44792" w:rsidRDefault="00B44792" w:rsidP="00B44792">
      <w:pPr>
        <w:numPr>
          <w:ilvl w:val="0"/>
          <w:numId w:val="11"/>
        </w:numPr>
        <w:tabs>
          <w:tab w:val="num" w:pos="1080"/>
        </w:tabs>
        <w:spacing w:before="60"/>
        <w:ind w:left="1077" w:hanging="357"/>
        <w:rPr>
          <w:rFonts w:cs="Arial"/>
          <w:szCs w:val="22"/>
        </w:rPr>
      </w:pPr>
      <w:r>
        <w:rPr>
          <w:rFonts w:cs="Arial"/>
          <w:szCs w:val="22"/>
        </w:rPr>
        <w:t>Pojištění odpovědnosti za škodu jinou, než je škoda na zdraví a životě, škoda na věci nebo jiná majetková škoda, včetně škody na zisku (ušlý zisk), kde příčina není ve škodě na majetku či zdraví (čistá finanční škoda).</w:t>
      </w:r>
    </w:p>
    <w:p w14:paraId="139DFFB7" w14:textId="77777777" w:rsidR="00B44792" w:rsidRDefault="00B44792" w:rsidP="00B44792">
      <w:pPr>
        <w:spacing w:before="60"/>
        <w:ind w:left="720"/>
        <w:rPr>
          <w:rFonts w:cs="Arial"/>
          <w:szCs w:val="22"/>
        </w:rPr>
      </w:pPr>
      <w:r>
        <w:rPr>
          <w:rFonts w:cs="Arial"/>
          <w:szCs w:val="22"/>
        </w:rPr>
        <w:t>Sublimit plnění:</w:t>
      </w:r>
      <w:r>
        <w:rPr>
          <w:rFonts w:cs="Arial"/>
          <w:szCs w:val="22"/>
        </w:rPr>
        <w:tab/>
      </w:r>
      <w:r>
        <w:rPr>
          <w:rFonts w:cs="Arial"/>
          <w:b/>
          <w:bCs/>
          <w:szCs w:val="22"/>
        </w:rPr>
        <w:t xml:space="preserve">   10 000 000 Kč</w:t>
      </w:r>
      <w:r>
        <w:rPr>
          <w:rFonts w:cs="Arial"/>
          <w:szCs w:val="22"/>
        </w:rPr>
        <w:t xml:space="preserve"> (limit plnění s možností připojištění).</w:t>
      </w:r>
    </w:p>
    <w:p w14:paraId="2F67BA44" w14:textId="77777777" w:rsidR="00B44792" w:rsidRDefault="00B44792" w:rsidP="00B44792">
      <w:pPr>
        <w:numPr>
          <w:ilvl w:val="0"/>
          <w:numId w:val="11"/>
        </w:numPr>
        <w:tabs>
          <w:tab w:val="num" w:pos="1080"/>
        </w:tabs>
        <w:spacing w:before="60"/>
        <w:ind w:left="1077" w:hanging="357"/>
        <w:rPr>
          <w:rFonts w:cs="Arial"/>
          <w:szCs w:val="22"/>
        </w:rPr>
      </w:pPr>
      <w:r>
        <w:rPr>
          <w:rFonts w:cs="Arial"/>
          <w:szCs w:val="22"/>
        </w:rPr>
        <w:t>Pojištění odpovědnosti za škody způsobené na věcech, které pojištěný převzal za účelem provedení objednané činnosti nebo je užívá na základě právního důvodu.</w:t>
      </w:r>
    </w:p>
    <w:p w14:paraId="396191AE" w14:textId="77777777" w:rsidR="00B44792" w:rsidRDefault="00B44792" w:rsidP="00B44792">
      <w:pPr>
        <w:pStyle w:val="Zkladntext"/>
        <w:autoSpaceDE/>
        <w:autoSpaceDN/>
        <w:spacing w:before="60"/>
        <w:ind w:firstLine="708"/>
        <w:rPr>
          <w:rFonts w:ascii="Arial" w:hAnsi="Arial" w:cs="Arial"/>
        </w:rPr>
      </w:pPr>
      <w:r>
        <w:rPr>
          <w:rFonts w:ascii="Arial" w:hAnsi="Arial" w:cs="Arial"/>
        </w:rPr>
        <w:t>Sublimit plnění:</w:t>
      </w:r>
      <w:r>
        <w:rPr>
          <w:rFonts w:ascii="Arial" w:hAnsi="Arial" w:cs="Arial"/>
        </w:rPr>
        <w:tab/>
        <w:t xml:space="preserve"> </w:t>
      </w:r>
      <w:r>
        <w:rPr>
          <w:rFonts w:ascii="Arial" w:hAnsi="Arial" w:cs="Arial"/>
          <w:b/>
          <w:bCs/>
        </w:rPr>
        <w:t xml:space="preserve">  10 000 000 Kč</w:t>
      </w:r>
      <w:r>
        <w:rPr>
          <w:rFonts w:ascii="Arial" w:hAnsi="Arial" w:cs="Arial"/>
        </w:rPr>
        <w:t xml:space="preserve"> (limit plnění s možností připojištění).</w:t>
      </w:r>
    </w:p>
    <w:p w14:paraId="6F1E84EB" w14:textId="77777777" w:rsidR="00B44792" w:rsidRDefault="00B44792" w:rsidP="00B44792">
      <w:pPr>
        <w:pStyle w:val="Zkladntext"/>
        <w:autoSpaceDE/>
        <w:autoSpaceDN/>
        <w:spacing w:before="60"/>
        <w:ind w:firstLine="708"/>
        <w:rPr>
          <w:rFonts w:ascii="Arial" w:hAnsi="Arial" w:cs="Arial"/>
        </w:rPr>
      </w:pPr>
    </w:p>
    <w:p w14:paraId="00DE1ADE" w14:textId="77777777" w:rsidR="00B44792" w:rsidRDefault="00B44792" w:rsidP="00B44792">
      <w:pPr>
        <w:numPr>
          <w:ilvl w:val="0"/>
          <w:numId w:val="11"/>
        </w:numPr>
        <w:tabs>
          <w:tab w:val="num" w:pos="1080"/>
        </w:tabs>
        <w:spacing w:before="60"/>
        <w:ind w:left="1077" w:hanging="357"/>
        <w:rPr>
          <w:rFonts w:cs="Arial"/>
          <w:szCs w:val="22"/>
        </w:rPr>
      </w:pPr>
      <w:r>
        <w:rPr>
          <w:rFonts w:cs="Arial"/>
          <w:szCs w:val="22"/>
        </w:rPr>
        <w:t>Pojištění odpovědnosti za škody, vzniklé zdravotní pojišťovně vynaložením nákladů na zdravotní péči v důsledku pracovního úrazu nebo nemoci z povolání (mimo škody, které jsou kryty zákonným pojištěním zaměstnanců).</w:t>
      </w:r>
    </w:p>
    <w:p w14:paraId="63B974E9" w14:textId="77777777" w:rsidR="00B44792" w:rsidRDefault="00B44792" w:rsidP="00B44792">
      <w:pPr>
        <w:pStyle w:val="Zkladntextodsazen3"/>
      </w:pPr>
      <w:r>
        <w:t>Ujednává se, že pojištění se vztahuje i na náhradu nákladů léčení vynaložených zdravotní pojišťovnou na zdravotní péči ve prospěch zaměstnance pojištěného, zastupitelů, členů rady, hejtmana a náměstků hejtmana v důsledku zaviněného protiprávního jednání pojištěného. Toto pojištění se však vztahuje jen na případy, kdy na odpovědnost za pracovní úraz nebo nemoc z povolání, ke kterým se náklady na zdravotní péči vážou, se vztahuje zákonné pojištění odpovědnosti zaměstnavatele za škodu při pracovním úrazu nebo nemoci z povolání, za předpokladu, že v době trvání pojištění došlo k pracovnímu úrazu nebo byla zjištěna nemoc z povolání.</w:t>
      </w:r>
    </w:p>
    <w:p w14:paraId="5CC70CAC" w14:textId="77777777" w:rsidR="00B44792" w:rsidRDefault="00B44792" w:rsidP="00B44792">
      <w:pPr>
        <w:spacing w:before="80" w:after="60"/>
        <w:ind w:left="1080"/>
        <w:rPr>
          <w:rFonts w:ascii="Palatino Linotype" w:hAnsi="Palatino Linotype" w:cs="Arial"/>
          <w:szCs w:val="22"/>
        </w:rPr>
      </w:pPr>
      <w:r>
        <w:rPr>
          <w:rFonts w:cs="Arial"/>
          <w:szCs w:val="22"/>
        </w:rPr>
        <w:t>Pojištění se vztahuje i na regresní náhradu dávek nemocenského pojištění vyplacených orgánem nemocenského pojištění v důsledku zaviněného protiprávního jednání pojištěného zjištěného soudem nebo správním úřadem</w:t>
      </w:r>
      <w:r>
        <w:rPr>
          <w:rFonts w:ascii="Palatino Linotype" w:hAnsi="Palatino Linotype" w:cs="Arial"/>
          <w:szCs w:val="22"/>
        </w:rPr>
        <w:t>.</w:t>
      </w:r>
    </w:p>
    <w:p w14:paraId="5B3E1BB8" w14:textId="77777777" w:rsidR="00B44792" w:rsidRDefault="00B44792" w:rsidP="00B44792">
      <w:pPr>
        <w:spacing w:before="60"/>
        <w:ind w:left="720"/>
        <w:rPr>
          <w:rFonts w:cs="Arial"/>
          <w:szCs w:val="22"/>
        </w:rPr>
      </w:pPr>
    </w:p>
    <w:p w14:paraId="78BA37A2" w14:textId="77777777" w:rsidR="00B44792" w:rsidRDefault="00B44792" w:rsidP="00B44792">
      <w:pPr>
        <w:spacing w:before="60"/>
        <w:ind w:left="720"/>
        <w:rPr>
          <w:rFonts w:cs="Arial"/>
          <w:szCs w:val="22"/>
        </w:rPr>
      </w:pPr>
      <w:r>
        <w:rPr>
          <w:rFonts w:cs="Arial"/>
          <w:szCs w:val="22"/>
        </w:rPr>
        <w:t>Sublimit plnění:</w:t>
      </w:r>
      <w:r>
        <w:rPr>
          <w:rFonts w:cs="Arial"/>
          <w:szCs w:val="22"/>
        </w:rPr>
        <w:tab/>
      </w:r>
      <w:r>
        <w:rPr>
          <w:rFonts w:cs="Arial"/>
          <w:b/>
          <w:bCs/>
          <w:szCs w:val="22"/>
        </w:rPr>
        <w:t xml:space="preserve">  10 000 000 Kč</w:t>
      </w:r>
      <w:r>
        <w:rPr>
          <w:rFonts w:cs="Arial"/>
          <w:szCs w:val="22"/>
        </w:rPr>
        <w:t xml:space="preserve"> (limit plnění s možností připojištění).  </w:t>
      </w:r>
    </w:p>
    <w:p w14:paraId="1AF5413B" w14:textId="77777777" w:rsidR="00B44792" w:rsidRDefault="00B44792" w:rsidP="00B44792">
      <w:pPr>
        <w:spacing w:before="60"/>
        <w:ind w:left="720"/>
        <w:rPr>
          <w:rFonts w:cs="Arial"/>
          <w:szCs w:val="22"/>
        </w:rPr>
      </w:pPr>
    </w:p>
    <w:p w14:paraId="4DD4462E" w14:textId="77777777" w:rsidR="00B44792" w:rsidRDefault="00B44792" w:rsidP="00B44792">
      <w:pPr>
        <w:numPr>
          <w:ilvl w:val="0"/>
          <w:numId w:val="11"/>
        </w:numPr>
        <w:tabs>
          <w:tab w:val="num" w:pos="1080"/>
        </w:tabs>
        <w:spacing w:before="60"/>
        <w:ind w:left="1077" w:hanging="357"/>
        <w:rPr>
          <w:rFonts w:cs="Arial"/>
          <w:szCs w:val="22"/>
        </w:rPr>
      </w:pPr>
      <w:r>
        <w:rPr>
          <w:rFonts w:cs="Arial"/>
          <w:szCs w:val="22"/>
        </w:rPr>
        <w:t>Pojištění odpovědnosti za škody, vzniklé zdravotní pojišťovně vynaložením nákladů na zdravotní péči v případě úrazu třetích osob</w:t>
      </w:r>
      <w:r w:rsidR="007853AA">
        <w:rPr>
          <w:rFonts w:cs="Arial"/>
          <w:szCs w:val="22"/>
        </w:rPr>
        <w:t>.</w:t>
      </w:r>
    </w:p>
    <w:p w14:paraId="63953311" w14:textId="77777777" w:rsidR="00B44792" w:rsidRDefault="00B44792" w:rsidP="00B44792">
      <w:pPr>
        <w:spacing w:before="60"/>
        <w:ind w:left="720"/>
        <w:rPr>
          <w:rFonts w:cs="Arial"/>
          <w:szCs w:val="22"/>
        </w:rPr>
      </w:pPr>
      <w:r>
        <w:rPr>
          <w:rFonts w:cs="Arial"/>
          <w:szCs w:val="22"/>
        </w:rPr>
        <w:t>Sublimit plnění:</w:t>
      </w:r>
      <w:r>
        <w:rPr>
          <w:rFonts w:cs="Arial"/>
          <w:szCs w:val="22"/>
        </w:rPr>
        <w:tab/>
        <w:t xml:space="preserve"> </w:t>
      </w:r>
      <w:r>
        <w:rPr>
          <w:rFonts w:cs="Arial"/>
          <w:b/>
          <w:bCs/>
          <w:szCs w:val="22"/>
        </w:rPr>
        <w:t xml:space="preserve">  5 000 000 Kč</w:t>
      </w:r>
      <w:r>
        <w:rPr>
          <w:rFonts w:cs="Arial"/>
          <w:szCs w:val="22"/>
        </w:rPr>
        <w:t xml:space="preserve"> (limit plnění s možností připojištění). </w:t>
      </w:r>
    </w:p>
    <w:p w14:paraId="6DD503A4" w14:textId="77777777" w:rsidR="00B44792" w:rsidRDefault="00B44792" w:rsidP="00B44792">
      <w:pPr>
        <w:spacing w:before="60"/>
        <w:ind w:left="720"/>
        <w:rPr>
          <w:rFonts w:cs="Arial"/>
          <w:szCs w:val="22"/>
        </w:rPr>
      </w:pPr>
    </w:p>
    <w:p w14:paraId="1FF99D12" w14:textId="77777777" w:rsidR="00B44792" w:rsidRDefault="00B44792" w:rsidP="00B44792">
      <w:pPr>
        <w:numPr>
          <w:ilvl w:val="0"/>
          <w:numId w:val="11"/>
        </w:numPr>
        <w:tabs>
          <w:tab w:val="num" w:pos="1080"/>
        </w:tabs>
        <w:spacing w:before="60"/>
        <w:ind w:left="1077" w:hanging="357"/>
        <w:rPr>
          <w:rFonts w:cs="Arial"/>
          <w:szCs w:val="22"/>
        </w:rPr>
      </w:pPr>
      <w:r>
        <w:rPr>
          <w:rFonts w:cs="Arial"/>
          <w:szCs w:val="22"/>
        </w:rPr>
        <w:t>Pojištění se dále sjednává pro případ právním předpisem stanovené odpovědnosti pojištěného za škodu vzniklou jinému při výkonu státní správy, který byl na něj přenesen zákonem, jakož i za škodu vzniklou jinému při výkonu veřejné správy v samostatné působnosti (svěřené mu zákonem), pokud pojištěný odpovídá za škodu nezákonným rozhodnutím nebo nesprávným úředním postupem.</w:t>
      </w:r>
    </w:p>
    <w:p w14:paraId="460B83FF" w14:textId="77777777" w:rsidR="00B44792" w:rsidRDefault="00B44792" w:rsidP="00B44792">
      <w:pPr>
        <w:spacing w:before="60"/>
        <w:ind w:left="720"/>
        <w:rPr>
          <w:rFonts w:cs="Arial"/>
          <w:szCs w:val="22"/>
        </w:rPr>
      </w:pPr>
      <w:r>
        <w:rPr>
          <w:rFonts w:cs="Arial"/>
        </w:rPr>
        <w:t xml:space="preserve">Sublimit plnění: </w:t>
      </w:r>
      <w:r>
        <w:rPr>
          <w:rFonts w:cs="Arial"/>
        </w:rPr>
        <w:tab/>
        <w:t xml:space="preserve">   </w:t>
      </w:r>
      <w:r>
        <w:rPr>
          <w:rFonts w:cs="Arial"/>
          <w:b/>
          <w:bCs/>
        </w:rPr>
        <w:t xml:space="preserve">1 000 000 Kč </w:t>
      </w:r>
      <w:r>
        <w:rPr>
          <w:rFonts w:cs="Arial"/>
          <w:szCs w:val="22"/>
        </w:rPr>
        <w:t>(limit plnění s možností připojištění).</w:t>
      </w:r>
    </w:p>
    <w:p w14:paraId="42D399EA" w14:textId="77777777" w:rsidR="00B44792" w:rsidRDefault="00B44792" w:rsidP="00B44792">
      <w:pPr>
        <w:spacing w:before="60"/>
        <w:ind w:left="720"/>
        <w:rPr>
          <w:rFonts w:cs="Arial"/>
          <w:b/>
          <w:bCs/>
          <w:szCs w:val="22"/>
        </w:rPr>
      </w:pPr>
    </w:p>
    <w:p w14:paraId="4AC47C66" w14:textId="77777777" w:rsidR="00B44792" w:rsidRDefault="00B44792" w:rsidP="00B44792">
      <w:pPr>
        <w:numPr>
          <w:ilvl w:val="0"/>
          <w:numId w:val="11"/>
        </w:numPr>
        <w:tabs>
          <w:tab w:val="num" w:pos="1080"/>
        </w:tabs>
        <w:spacing w:before="60"/>
        <w:ind w:left="1077" w:hanging="357"/>
        <w:rPr>
          <w:rFonts w:cs="Arial"/>
          <w:szCs w:val="22"/>
        </w:rPr>
      </w:pPr>
      <w:r>
        <w:rPr>
          <w:rFonts w:cs="Arial"/>
          <w:szCs w:val="22"/>
        </w:rPr>
        <w:t xml:space="preserve">Pojištění odpovědnosti za škodu na věcech vnesených či odložených – za </w:t>
      </w:r>
      <w:r w:rsidR="00055BA3">
        <w:rPr>
          <w:rFonts w:cs="Arial"/>
          <w:szCs w:val="22"/>
        </w:rPr>
        <w:t>věci zaměstnanců</w:t>
      </w:r>
      <w:r>
        <w:rPr>
          <w:rFonts w:cs="Arial"/>
          <w:szCs w:val="22"/>
        </w:rPr>
        <w:t>, návštěvníků, žáků, studentů, klientů apod.</w:t>
      </w:r>
    </w:p>
    <w:p w14:paraId="6EE53F73" w14:textId="77777777" w:rsidR="00B44792" w:rsidRDefault="00B44792" w:rsidP="00B44792">
      <w:pPr>
        <w:pStyle w:val="Zkladntext"/>
        <w:autoSpaceDE/>
        <w:autoSpaceDN/>
        <w:spacing w:before="60"/>
        <w:ind w:left="720"/>
        <w:rPr>
          <w:rFonts w:ascii="Arial" w:hAnsi="Arial" w:cs="Arial"/>
        </w:rPr>
      </w:pPr>
      <w:r>
        <w:rPr>
          <w:rFonts w:ascii="Arial" w:hAnsi="Arial" w:cs="Arial"/>
        </w:rPr>
        <w:t>Sublimit plnění:</w:t>
      </w:r>
      <w:r>
        <w:rPr>
          <w:rFonts w:ascii="Arial" w:hAnsi="Arial" w:cs="Arial"/>
        </w:rPr>
        <w:tab/>
        <w:t xml:space="preserve"> </w:t>
      </w:r>
      <w:r>
        <w:rPr>
          <w:rFonts w:ascii="Arial" w:hAnsi="Arial" w:cs="Arial"/>
          <w:b/>
          <w:bCs/>
        </w:rPr>
        <w:t xml:space="preserve">  1 000 000 Kč</w:t>
      </w:r>
      <w:r>
        <w:rPr>
          <w:rFonts w:ascii="Arial" w:hAnsi="Arial" w:cs="Arial"/>
        </w:rPr>
        <w:t xml:space="preserve"> (limit plnění s možností připojištění).  </w:t>
      </w:r>
    </w:p>
    <w:p w14:paraId="6BC01C48" w14:textId="77777777" w:rsidR="00B44792" w:rsidRDefault="00B44792" w:rsidP="00B44792">
      <w:pPr>
        <w:pStyle w:val="Zkladntext"/>
        <w:autoSpaceDE/>
        <w:autoSpaceDN/>
        <w:spacing w:before="60"/>
        <w:ind w:left="720"/>
        <w:rPr>
          <w:rFonts w:ascii="Arial" w:hAnsi="Arial" w:cs="Arial"/>
        </w:rPr>
      </w:pPr>
    </w:p>
    <w:p w14:paraId="4409D996" w14:textId="77777777" w:rsidR="00B44792" w:rsidRDefault="00B44792" w:rsidP="00B44792">
      <w:pPr>
        <w:numPr>
          <w:ilvl w:val="0"/>
          <w:numId w:val="11"/>
        </w:numPr>
        <w:tabs>
          <w:tab w:val="num" w:pos="1080"/>
        </w:tabs>
        <w:spacing w:before="60"/>
        <w:ind w:left="1077" w:hanging="357"/>
        <w:rPr>
          <w:rFonts w:cs="Arial"/>
          <w:szCs w:val="22"/>
        </w:rPr>
      </w:pPr>
      <w:r>
        <w:rPr>
          <w:rFonts w:cs="Arial"/>
          <w:szCs w:val="22"/>
        </w:rPr>
        <w:t>Pojištění nemajetkové újmy při činnosti pojištěného (ochrana osobnosti)</w:t>
      </w:r>
      <w:r w:rsidR="007853AA">
        <w:rPr>
          <w:rFonts w:cs="Arial"/>
          <w:szCs w:val="22"/>
        </w:rPr>
        <w:t>.</w:t>
      </w:r>
    </w:p>
    <w:p w14:paraId="48ED2AD4" w14:textId="77777777" w:rsidR="00B44792" w:rsidRDefault="00B44792" w:rsidP="00B44792">
      <w:pPr>
        <w:pStyle w:val="Zkladntext"/>
        <w:autoSpaceDE/>
        <w:autoSpaceDN/>
        <w:spacing w:before="60"/>
        <w:ind w:left="1077"/>
        <w:rPr>
          <w:rFonts w:ascii="Arial" w:hAnsi="Arial" w:cs="Arial"/>
        </w:rPr>
      </w:pPr>
      <w:r>
        <w:rPr>
          <w:rFonts w:ascii="Arial" w:hAnsi="Arial" w:cs="Arial"/>
        </w:rPr>
        <w:t xml:space="preserve">Pojištění odpovědnosti se vztahuje i na nemajetkové újmy, které řeší Občanský zákoník a následně upravené právo na ochranu osobnosti jako všeobecné osobnostní právo fyzické osoby. </w:t>
      </w:r>
    </w:p>
    <w:p w14:paraId="4D90F0F7" w14:textId="77777777" w:rsidR="00B44792" w:rsidRDefault="00B44792" w:rsidP="00B44792">
      <w:pPr>
        <w:pStyle w:val="Zkladntext"/>
        <w:autoSpaceDE/>
        <w:autoSpaceDN/>
        <w:spacing w:before="60"/>
        <w:ind w:left="720"/>
        <w:rPr>
          <w:rFonts w:ascii="Arial" w:hAnsi="Arial" w:cs="Arial"/>
        </w:rPr>
      </w:pPr>
      <w:r>
        <w:rPr>
          <w:rFonts w:ascii="Arial" w:hAnsi="Arial" w:cs="Arial"/>
        </w:rPr>
        <w:t>Sublimit plnění:</w:t>
      </w:r>
      <w:r>
        <w:rPr>
          <w:rFonts w:ascii="Arial" w:hAnsi="Arial" w:cs="Arial"/>
        </w:rPr>
        <w:tab/>
        <w:t xml:space="preserve"> </w:t>
      </w:r>
      <w:r>
        <w:rPr>
          <w:rFonts w:ascii="Arial" w:hAnsi="Arial" w:cs="Arial"/>
          <w:b/>
          <w:bCs/>
        </w:rPr>
        <w:t xml:space="preserve">  1 000 000 Kč</w:t>
      </w:r>
      <w:r>
        <w:rPr>
          <w:rFonts w:ascii="Arial" w:hAnsi="Arial" w:cs="Arial"/>
        </w:rPr>
        <w:t xml:space="preserve"> (limit plnění s možností připojištění).  </w:t>
      </w:r>
    </w:p>
    <w:p w14:paraId="4C79076D" w14:textId="77777777" w:rsidR="00B44792" w:rsidRDefault="00B44792" w:rsidP="00B44792">
      <w:pPr>
        <w:numPr>
          <w:ilvl w:val="0"/>
          <w:numId w:val="14"/>
        </w:numPr>
        <w:spacing w:before="80" w:after="60"/>
        <w:ind w:left="1080"/>
        <w:rPr>
          <w:rFonts w:cs="Arial"/>
          <w:szCs w:val="22"/>
        </w:rPr>
      </w:pPr>
      <w:r>
        <w:rPr>
          <w:rFonts w:cs="Arial"/>
          <w:szCs w:val="22"/>
        </w:rPr>
        <w:lastRenderedPageBreak/>
        <w:t>Pojištění odpovědnosti za škodu způsobenou provozem vozidla. Pojištění se nevztahuje na odpovědnost za škodu způsobenou provozem vozidla v rozsahu, v jakém vznikl nárok na plnění z povinně smluvního pojištění odpovědnosti za škodu způsobenou provozem vozidla. Dále se pojištění nevztahuje na škodu způsobenou provozem vozidla při jeho účasti na organizovaném motoristickém závodu nebo soutěži.</w:t>
      </w:r>
    </w:p>
    <w:p w14:paraId="5A1EB650" w14:textId="77777777" w:rsidR="00B44792" w:rsidRDefault="00B44792" w:rsidP="00B44792">
      <w:pPr>
        <w:pStyle w:val="Zkladntext"/>
        <w:autoSpaceDE/>
        <w:autoSpaceDN/>
        <w:spacing w:before="60"/>
        <w:ind w:left="720"/>
        <w:rPr>
          <w:rFonts w:ascii="Arial" w:hAnsi="Arial" w:cs="Arial"/>
        </w:rPr>
      </w:pPr>
      <w:r>
        <w:rPr>
          <w:rFonts w:ascii="Arial" w:hAnsi="Arial" w:cs="Arial"/>
        </w:rPr>
        <w:t xml:space="preserve">Sublimitem plnění ve výši </w:t>
      </w:r>
      <w:r w:rsidR="00055BA3">
        <w:rPr>
          <w:rFonts w:ascii="Arial" w:hAnsi="Arial" w:cs="Arial"/>
          <w:b/>
        </w:rPr>
        <w:t>2 000 000 Kč</w:t>
      </w:r>
      <w:r>
        <w:rPr>
          <w:rFonts w:ascii="Arial" w:hAnsi="Arial" w:cs="Arial"/>
          <w:b/>
        </w:rPr>
        <w:t xml:space="preserve"> </w:t>
      </w:r>
      <w:r>
        <w:rPr>
          <w:rFonts w:ascii="Arial" w:hAnsi="Arial" w:cs="Arial"/>
        </w:rPr>
        <w:t xml:space="preserve">(limit plnění s možností připojištění).  </w:t>
      </w:r>
    </w:p>
    <w:p w14:paraId="67451378" w14:textId="77777777" w:rsidR="00B44792" w:rsidRDefault="00B44792" w:rsidP="00400FFC">
      <w:pPr>
        <w:numPr>
          <w:ilvl w:val="0"/>
          <w:numId w:val="14"/>
        </w:numPr>
        <w:spacing w:before="80"/>
        <w:rPr>
          <w:rFonts w:cs="Arial"/>
          <w:szCs w:val="22"/>
        </w:rPr>
      </w:pPr>
      <w:r>
        <w:rPr>
          <w:rFonts w:cs="Arial"/>
          <w:szCs w:val="22"/>
        </w:rPr>
        <w:t>Pojištění na odpovědnost za škodu vzniklou na životním prostředí, a to v </w:t>
      </w:r>
      <w:r w:rsidR="00400FFC">
        <w:rPr>
          <w:rFonts w:cs="Arial"/>
          <w:szCs w:val="22"/>
        </w:rPr>
        <w:t>rozsahu dále</w:t>
      </w:r>
      <w:r>
        <w:rPr>
          <w:rFonts w:cs="Arial"/>
          <w:szCs w:val="22"/>
        </w:rPr>
        <w:t xml:space="preserve"> uvedeném.</w:t>
      </w:r>
    </w:p>
    <w:p w14:paraId="6008DED3" w14:textId="77777777" w:rsidR="00B44792" w:rsidRDefault="00B44792" w:rsidP="00B44792">
      <w:pPr>
        <w:pStyle w:val="Odrazky"/>
        <w:tabs>
          <w:tab w:val="clear" w:pos="360"/>
          <w:tab w:val="left" w:pos="1134"/>
        </w:tabs>
        <w:spacing w:before="80" w:after="60"/>
        <w:ind w:left="1134" w:firstLine="0"/>
        <w:rPr>
          <w:rFonts w:ascii="Arial" w:hAnsi="Arial" w:cs="Arial"/>
          <w:sz w:val="22"/>
          <w:szCs w:val="22"/>
        </w:rPr>
      </w:pPr>
      <w:r>
        <w:rPr>
          <w:rFonts w:ascii="Arial" w:hAnsi="Arial" w:cs="Arial"/>
          <w:sz w:val="22"/>
          <w:szCs w:val="22"/>
        </w:rPr>
        <w:t>Předpokladem vzniku práva na plnění z pojištění v případě škody na životním prostředí je, že v době trvání pojištění nastala jak škodná událost, tak první projev první škody plynoucí z této škodné události. Škodnou událostí se v tomto případě rozumí náhlá, nahodilá, mimořádná, částečně nebo zcela neovladatelná, časově a prostorově ohraničená událost, která vznikla na životním prostředí v souvislosti s činností pojištěného uvedenou v obchodních podmínkách a na území vymezeném v obchodních podmínkách.</w:t>
      </w:r>
    </w:p>
    <w:p w14:paraId="4F5924A3" w14:textId="77777777" w:rsidR="00B44792" w:rsidRDefault="00B44792" w:rsidP="00B44792">
      <w:pPr>
        <w:pStyle w:val="Odrazky"/>
        <w:tabs>
          <w:tab w:val="clear" w:pos="360"/>
          <w:tab w:val="left" w:pos="1134"/>
        </w:tabs>
        <w:spacing w:before="80" w:after="60"/>
        <w:ind w:left="1134" w:firstLine="0"/>
        <w:rPr>
          <w:rFonts w:ascii="Arial" w:hAnsi="Arial" w:cs="Arial"/>
          <w:sz w:val="22"/>
          <w:szCs w:val="22"/>
        </w:rPr>
      </w:pPr>
      <w:r>
        <w:rPr>
          <w:rFonts w:ascii="Arial" w:hAnsi="Arial" w:cs="Arial"/>
          <w:sz w:val="22"/>
          <w:szCs w:val="22"/>
        </w:rPr>
        <w:t>Pojišťovna poskytne plnění pouze v rozsahu přiměřených nákladů (s použitím metod známých v době, kdy se započalo s opatřeními) na zamezení, odstranění, neutralizování jakéhokoliv úniku, výtoku, šíření nebo vypouštění nebezpečné chemické látky nebo přípravku ve smyslu zákona č. 356/2003 Sb., o chemických látkách a chemických přípravcích a o změně některých zákonů, ke kterému došlo nebo dochází následkem škodné události. Podmínkou pro poskytnutí pojistného plnění přitom je, že ze škodné události bezprostředně hrozí vznik škody na zdraví nebo majetku fyzickým nebo právnickým osobám odlišným od pojištěného. Za právnickou osobu se pro účely tohoto pojištění nepovažuje stát.</w:t>
      </w:r>
    </w:p>
    <w:p w14:paraId="29DF4ED8" w14:textId="77777777" w:rsidR="00B44792" w:rsidRDefault="00B44792" w:rsidP="00B44792">
      <w:pPr>
        <w:pStyle w:val="Odrazky"/>
        <w:tabs>
          <w:tab w:val="clear" w:pos="360"/>
          <w:tab w:val="left" w:pos="1134"/>
        </w:tabs>
        <w:spacing w:before="80" w:after="60"/>
        <w:ind w:left="1134" w:firstLine="0"/>
        <w:rPr>
          <w:rFonts w:ascii="Arial" w:hAnsi="Arial" w:cs="Arial"/>
          <w:sz w:val="22"/>
          <w:szCs w:val="22"/>
        </w:rPr>
      </w:pPr>
      <w:r>
        <w:rPr>
          <w:rFonts w:ascii="Arial" w:hAnsi="Arial" w:cs="Arial"/>
          <w:sz w:val="22"/>
          <w:szCs w:val="22"/>
        </w:rPr>
        <w:t>Jiné náklady (náklady na</w:t>
      </w:r>
      <w:r>
        <w:rPr>
          <w:rFonts w:ascii="Arial" w:hAnsi="Arial" w:cs="Arial"/>
          <w:b/>
          <w:sz w:val="22"/>
          <w:szCs w:val="22"/>
        </w:rPr>
        <w:t xml:space="preserve"> </w:t>
      </w:r>
      <w:r>
        <w:rPr>
          <w:rFonts w:ascii="Arial" w:hAnsi="Arial" w:cs="Arial"/>
          <w:sz w:val="22"/>
          <w:szCs w:val="22"/>
        </w:rPr>
        <w:t>odměnu advokáta za obhajobu v trestním řízení, náklady řízení o náhradě škodě, náklady poškozeného vynaložené v souvislosti s mimosoudním projednáváním nároku na náhradu škody) uhradí pojišťovna maximálně do výše sublimitu plnění sjednaného v obchodních podmínkách pro tuto doložku.</w:t>
      </w:r>
    </w:p>
    <w:p w14:paraId="76E06ED6" w14:textId="77777777" w:rsidR="00B44792" w:rsidRDefault="00B44792" w:rsidP="00B44792">
      <w:pPr>
        <w:pStyle w:val="Odrazky"/>
        <w:tabs>
          <w:tab w:val="clear" w:pos="360"/>
          <w:tab w:val="left" w:pos="1134"/>
        </w:tabs>
        <w:spacing w:before="80" w:after="60"/>
        <w:ind w:left="1134" w:firstLine="0"/>
        <w:rPr>
          <w:rFonts w:ascii="Arial" w:hAnsi="Arial" w:cs="Arial"/>
          <w:sz w:val="22"/>
          <w:szCs w:val="22"/>
        </w:rPr>
      </w:pPr>
      <w:r>
        <w:rPr>
          <w:rFonts w:ascii="Arial" w:hAnsi="Arial" w:cs="Arial"/>
          <w:sz w:val="22"/>
          <w:szCs w:val="22"/>
        </w:rPr>
        <w:t>Pojištění v rozsahu tohoto bodu se dále nevztahuje na odpovědnost za škodu:</w:t>
      </w:r>
    </w:p>
    <w:p w14:paraId="1B08F4B1" w14:textId="77777777" w:rsidR="00B44792" w:rsidRDefault="00B44792" w:rsidP="00B44792">
      <w:pPr>
        <w:numPr>
          <w:ilvl w:val="0"/>
          <w:numId w:val="15"/>
        </w:numPr>
        <w:spacing w:before="120" w:after="120"/>
        <w:ind w:left="1418" w:hanging="284"/>
        <w:rPr>
          <w:rFonts w:cs="Arial"/>
          <w:szCs w:val="22"/>
        </w:rPr>
      </w:pPr>
      <w:r>
        <w:rPr>
          <w:rFonts w:cs="Arial"/>
          <w:szCs w:val="22"/>
        </w:rPr>
        <w:t>vzniklou držbou či manipulací pojištěného s vojenskými prostředky, ať již v období války či mimo ně,</w:t>
      </w:r>
    </w:p>
    <w:p w14:paraId="419FE1F9" w14:textId="77777777" w:rsidR="00B44792" w:rsidRDefault="00B44792" w:rsidP="00B44792">
      <w:pPr>
        <w:numPr>
          <w:ilvl w:val="0"/>
          <w:numId w:val="15"/>
        </w:numPr>
        <w:spacing w:before="120" w:after="120"/>
        <w:ind w:left="1418" w:hanging="284"/>
        <w:rPr>
          <w:rFonts w:cs="Arial"/>
          <w:szCs w:val="22"/>
        </w:rPr>
      </w:pPr>
      <w:r>
        <w:rPr>
          <w:rFonts w:cs="Arial"/>
          <w:szCs w:val="22"/>
        </w:rPr>
        <w:t>vzniklou působením elektrických nebo magnetických polí nebo elektromagnetických záření,</w:t>
      </w:r>
    </w:p>
    <w:p w14:paraId="2DACE5B9" w14:textId="77777777" w:rsidR="00B44792" w:rsidRDefault="00B44792" w:rsidP="00B44792">
      <w:pPr>
        <w:numPr>
          <w:ilvl w:val="0"/>
          <w:numId w:val="15"/>
        </w:numPr>
        <w:spacing w:before="120" w:after="120"/>
        <w:ind w:left="1418" w:hanging="284"/>
        <w:rPr>
          <w:rFonts w:cs="Arial"/>
          <w:szCs w:val="22"/>
        </w:rPr>
      </w:pPr>
      <w:r>
        <w:rPr>
          <w:rFonts w:cs="Arial"/>
          <w:szCs w:val="22"/>
        </w:rPr>
        <w:t>vzniklou působením jakéhokoliv zdroje ionizujícího záření,</w:t>
      </w:r>
    </w:p>
    <w:p w14:paraId="5CF5C2FF" w14:textId="77777777" w:rsidR="00B44792" w:rsidRDefault="00B44792" w:rsidP="00B44792">
      <w:pPr>
        <w:numPr>
          <w:ilvl w:val="0"/>
          <w:numId w:val="15"/>
        </w:numPr>
        <w:spacing w:before="120" w:after="120"/>
        <w:ind w:left="1418" w:hanging="284"/>
        <w:rPr>
          <w:rFonts w:cs="Arial"/>
          <w:szCs w:val="22"/>
        </w:rPr>
      </w:pPr>
      <w:r>
        <w:rPr>
          <w:rFonts w:cs="Arial"/>
          <w:szCs w:val="22"/>
        </w:rPr>
        <w:t>způsobenou znečištěním životního prostředí z dob dřívějších, než je škodná událost,</w:t>
      </w:r>
    </w:p>
    <w:p w14:paraId="5B4693D7" w14:textId="77777777" w:rsidR="00B44792" w:rsidRDefault="00B44792" w:rsidP="00B44792">
      <w:pPr>
        <w:keepNext/>
        <w:widowControl w:val="0"/>
        <w:numPr>
          <w:ilvl w:val="0"/>
          <w:numId w:val="15"/>
        </w:numPr>
        <w:ind w:left="1418" w:hanging="284"/>
        <w:rPr>
          <w:rFonts w:cs="Arial"/>
          <w:szCs w:val="22"/>
        </w:rPr>
      </w:pPr>
      <w:r>
        <w:rPr>
          <w:rFonts w:cs="Arial"/>
          <w:szCs w:val="22"/>
        </w:rPr>
        <w:t>vzniklou nenáhlým, dlouhodobým, pozvolným působením nebezpečných látek nebo běžným vlivem provozu na okolí,</w:t>
      </w:r>
    </w:p>
    <w:p w14:paraId="3DA28BD4" w14:textId="77777777" w:rsidR="00B44792" w:rsidRDefault="00B44792" w:rsidP="00B44792">
      <w:pPr>
        <w:keepNext/>
        <w:widowControl w:val="0"/>
        <w:numPr>
          <w:ilvl w:val="0"/>
          <w:numId w:val="15"/>
        </w:numPr>
        <w:ind w:left="1418" w:hanging="284"/>
        <w:rPr>
          <w:rFonts w:cs="Arial"/>
          <w:szCs w:val="22"/>
        </w:rPr>
      </w:pPr>
      <w:r>
        <w:rPr>
          <w:rFonts w:cs="Arial"/>
          <w:szCs w:val="22"/>
        </w:rPr>
        <w:t xml:space="preserve">vzniklou v důsledku špatného technického stavu, nedostatečné nebo vadně provedené údržby, pokud tyto skutečnosti byly nebo musely být známé pojištěnému, statutárnímu zástupci nebo kompetentním řídícím pracovníkům před vznikem škodné události. Za špatný technický stav se nepovažuje standardní opotřebení odpovídající době užívaní předmětu či zařízení, a to za předpokladu běžné a pravidelné údržby. </w:t>
      </w:r>
    </w:p>
    <w:p w14:paraId="1FDB0D00" w14:textId="77777777" w:rsidR="00B44792" w:rsidRDefault="00B44792" w:rsidP="00B44792">
      <w:pPr>
        <w:numPr>
          <w:ilvl w:val="0"/>
          <w:numId w:val="15"/>
        </w:numPr>
        <w:spacing w:before="120" w:after="120"/>
        <w:ind w:left="1418" w:hanging="284"/>
        <w:rPr>
          <w:rFonts w:cs="Arial"/>
          <w:szCs w:val="22"/>
        </w:rPr>
      </w:pPr>
      <w:r>
        <w:rPr>
          <w:rFonts w:cs="Arial"/>
          <w:szCs w:val="22"/>
        </w:rPr>
        <w:t>vzniklou v důsledku porušení obecně závazných norem a opatření vydaných k tomu oprávněnými orgány, pokud toto porušení bylo nebo muselo být známé pojištěnému, statutárnímu orgánu nebo kompetentním řídícím pracovníkům pojištěného před vznikem škodné události,</w:t>
      </w:r>
    </w:p>
    <w:p w14:paraId="318E6954" w14:textId="77777777" w:rsidR="00B44792" w:rsidRDefault="00B44792" w:rsidP="00B44792">
      <w:pPr>
        <w:numPr>
          <w:ilvl w:val="0"/>
          <w:numId w:val="15"/>
        </w:numPr>
        <w:spacing w:before="120" w:after="120"/>
        <w:ind w:left="1418" w:hanging="284"/>
        <w:rPr>
          <w:rFonts w:cs="Arial"/>
          <w:szCs w:val="22"/>
        </w:rPr>
      </w:pPr>
      <w:r>
        <w:rPr>
          <w:rFonts w:cs="Arial"/>
          <w:szCs w:val="22"/>
        </w:rPr>
        <w:lastRenderedPageBreak/>
        <w:t>jejíž možnost nemohla být odhalena v době, kdy nastala škodná událost, protože to tehdejší stav vědeckých a technických poznatků neumožňoval,</w:t>
      </w:r>
    </w:p>
    <w:p w14:paraId="3F6B9B6D" w14:textId="77777777" w:rsidR="00B44792" w:rsidRDefault="00B44792" w:rsidP="00B44792">
      <w:pPr>
        <w:numPr>
          <w:ilvl w:val="0"/>
          <w:numId w:val="15"/>
        </w:numPr>
        <w:spacing w:before="120" w:after="120"/>
        <w:ind w:left="1560" w:hanging="426"/>
        <w:rPr>
          <w:rFonts w:cs="Arial"/>
          <w:szCs w:val="22"/>
        </w:rPr>
      </w:pPr>
      <w:r>
        <w:rPr>
          <w:rFonts w:cs="Arial"/>
          <w:szCs w:val="22"/>
        </w:rPr>
        <w:t>jejíž úhrady lze dosáhnout z jiného pojištění pojištěného. V případě, že by existovalo jiné pojištění, které by přímo nebo nepřímo krylo tutéž škodu, bude se toto pojištění vztahovat na tuto škodu pouze nad hodnotu přesahující částku splatnou jako plnění z tohoto jiného pojištění.</w:t>
      </w:r>
    </w:p>
    <w:p w14:paraId="1E366B42" w14:textId="77777777" w:rsidR="00B44792" w:rsidRDefault="00B44792" w:rsidP="00B44792">
      <w:pPr>
        <w:ind w:left="1134"/>
        <w:rPr>
          <w:rFonts w:cs="Arial"/>
          <w:szCs w:val="22"/>
        </w:rPr>
      </w:pPr>
      <w:r>
        <w:rPr>
          <w:rFonts w:cs="Arial"/>
          <w:szCs w:val="22"/>
        </w:rPr>
        <w:t>Povinnost oznámit pojišťovně, že nastala škodná událost, je nutno splnit nejpozději do 35 dnů od jejího vzniku. Pokud tak neučiní, vystavuje se pojištěný nebezpečí sankce (právo pojišťovny plnění ze smlouvy odmítnout).</w:t>
      </w:r>
    </w:p>
    <w:p w14:paraId="28BD8178" w14:textId="77777777" w:rsidR="00B44792" w:rsidRDefault="00B44792" w:rsidP="00B44792">
      <w:pPr>
        <w:ind w:left="1134"/>
        <w:rPr>
          <w:rFonts w:cs="Arial"/>
          <w:szCs w:val="22"/>
        </w:rPr>
      </w:pPr>
      <w:r>
        <w:rPr>
          <w:rFonts w:cs="Arial"/>
          <w:szCs w:val="22"/>
        </w:rPr>
        <w:t>Pojištěný je dále povinen dohodnout se s pojišťovnou poté, co nastala škodná událost, na osobě experta, který bude přizván k provádění prací na odstraňování následků škodné události a k případnému vypracování znaleckého posudku. Pokud tak neučiní a ustanoví si experta bez souhlasu pojišťovny, neuhradí pojišťovna náklady na tohoto experta.</w:t>
      </w:r>
    </w:p>
    <w:p w14:paraId="091C9ECE" w14:textId="05283A80" w:rsidR="00B44792" w:rsidRDefault="00B44792" w:rsidP="00B44792">
      <w:pPr>
        <w:ind w:left="1134"/>
        <w:rPr>
          <w:rFonts w:cs="Arial"/>
          <w:szCs w:val="22"/>
        </w:rPr>
      </w:pPr>
      <w:r>
        <w:rPr>
          <w:rFonts w:cs="Arial"/>
          <w:szCs w:val="22"/>
        </w:rPr>
        <w:t xml:space="preserve">Pojištění se také vztahuje na škody způsobené dle zákona 167/2008 Sb. </w:t>
      </w:r>
      <w:r w:rsidR="00140DAC" w:rsidRPr="00140DAC">
        <w:rPr>
          <w:rFonts w:cs="Arial"/>
          <w:szCs w:val="22"/>
        </w:rPr>
        <w:t>o předcházení ekologické újmě a o její nápravě a o změně některých zákonů</w:t>
      </w:r>
      <w:r>
        <w:rPr>
          <w:rFonts w:cs="Arial"/>
          <w:szCs w:val="22"/>
        </w:rPr>
        <w:t>.</w:t>
      </w:r>
    </w:p>
    <w:p w14:paraId="2A04FFE2" w14:textId="77777777" w:rsidR="007F2D34" w:rsidRDefault="00B44792" w:rsidP="007F2D34">
      <w:pPr>
        <w:tabs>
          <w:tab w:val="left" w:pos="1080"/>
        </w:tabs>
        <w:spacing w:before="80" w:after="60"/>
        <w:ind w:left="1080"/>
      </w:pPr>
      <w:r>
        <w:t xml:space="preserve">Pojištění v rozsahu tohoto bodu se sjednává se sublimitem plnění ve výši </w:t>
      </w:r>
      <w:r w:rsidR="00400FFC">
        <w:rPr>
          <w:b/>
        </w:rPr>
        <w:t>2 000 000</w:t>
      </w:r>
      <w:r>
        <w:rPr>
          <w:b/>
        </w:rPr>
        <w:t xml:space="preserve"> Kč.</w:t>
      </w:r>
      <w:r>
        <w:t xml:space="preserve"> </w:t>
      </w:r>
    </w:p>
    <w:p w14:paraId="1CD939AD" w14:textId="77777777" w:rsidR="007F2D34" w:rsidRDefault="007F2D34" w:rsidP="007F2D34">
      <w:pPr>
        <w:tabs>
          <w:tab w:val="left" w:pos="1080"/>
        </w:tabs>
        <w:spacing w:before="80" w:after="60"/>
        <w:ind w:left="1080"/>
      </w:pPr>
    </w:p>
    <w:p w14:paraId="54865AA4" w14:textId="38CAD604" w:rsidR="007F2D34" w:rsidRDefault="007F2D34" w:rsidP="007F2D34">
      <w:pPr>
        <w:numPr>
          <w:ilvl w:val="0"/>
          <w:numId w:val="14"/>
        </w:numPr>
        <w:tabs>
          <w:tab w:val="left" w:pos="1080"/>
        </w:tabs>
        <w:spacing w:before="80" w:after="60"/>
      </w:pPr>
      <w:r>
        <w:t xml:space="preserve">      Pojištění odpovědnosti za škodu způsobenou obci, měst</w:t>
      </w:r>
      <w:r w:rsidR="00140DAC">
        <w:t>u</w:t>
      </w:r>
      <w:r>
        <w:t xml:space="preserve">, kraji anebo jiné </w:t>
      </w:r>
      <w:r w:rsidR="00400FFC">
        <w:t>osobě hejtmanem</w:t>
      </w:r>
      <w:r>
        <w:t>, náměstkem hejtmana, členem rady nebo</w:t>
      </w:r>
      <w:r w:rsidR="00C955DC">
        <w:t xml:space="preserve"> člen</w:t>
      </w:r>
      <w:r w:rsidR="00140DAC">
        <w:t>em</w:t>
      </w:r>
      <w:r>
        <w:t xml:space="preserve"> zastupitelstva</w:t>
      </w:r>
      <w:r w:rsidR="00140DAC">
        <w:t>.</w:t>
      </w:r>
    </w:p>
    <w:p w14:paraId="415039A4" w14:textId="77777777" w:rsidR="00C955DC" w:rsidRDefault="00F33279" w:rsidP="00C955DC">
      <w:pPr>
        <w:tabs>
          <w:tab w:val="left" w:pos="1080"/>
        </w:tabs>
        <w:spacing w:before="80" w:after="60"/>
        <w:ind w:left="1080"/>
      </w:pPr>
      <w:r>
        <w:t xml:space="preserve">Pojištěnými v rozsahu </w:t>
      </w:r>
      <w:r w:rsidR="00C955DC">
        <w:t>rizika jsou osoby, které v době trvání pojištění byly, jsou a budou ve funkci hejtmana, náměstka hejtmana, člena rady nebo člena zastupitelstva pojištěného územního samosprávného celku (kraj).</w:t>
      </w:r>
    </w:p>
    <w:p w14:paraId="3DC03048" w14:textId="77777777" w:rsidR="00C955DC" w:rsidRDefault="00C955DC" w:rsidP="00C955DC">
      <w:pPr>
        <w:tabs>
          <w:tab w:val="left" w:pos="1080"/>
        </w:tabs>
        <w:spacing w:before="80" w:after="60"/>
        <w:ind w:left="1080"/>
      </w:pPr>
      <w:r>
        <w:t>Pojištění se sjednává pro případ právním předpisem stanovené povinnosti pojištěného nahradit škodu vzniklou územně samosprávnému celku (pojistníkovi) při výkonu veřejné funkce nebo v přímé souvislosti s ní. Škodnou událostí se pro účely tohoto pojištění rozumí vznik škody či újmy při ublížení na zdraví či usmrcení. Pojištění se vztahuje i na povinnost pojištěného nahradit škodu na movitých věcech, které mu byly svěřeny nebo věcech užívaných k výkonu práce, pokud došlo k jejich poškození či zničení, s výjimkou škod způsobených zanedbáním předepsané obsluhy či údržby</w:t>
      </w:r>
      <w:r w:rsidR="00140DAC">
        <w:t>.</w:t>
      </w:r>
    </w:p>
    <w:p w14:paraId="1108FC9F" w14:textId="77777777" w:rsidR="00C955DC" w:rsidRDefault="00C955DC" w:rsidP="00F33279">
      <w:pPr>
        <w:tabs>
          <w:tab w:val="left" w:pos="1080"/>
        </w:tabs>
        <w:spacing w:before="80" w:after="60"/>
        <w:ind w:left="720"/>
      </w:pPr>
    </w:p>
    <w:p w14:paraId="20D017A9" w14:textId="77777777" w:rsidR="00C955DC" w:rsidRDefault="00C955DC" w:rsidP="00C955DC">
      <w:pPr>
        <w:tabs>
          <w:tab w:val="left" w:pos="1080"/>
        </w:tabs>
        <w:spacing w:before="80" w:after="60"/>
        <w:ind w:left="1080"/>
      </w:pPr>
      <w:r>
        <w:t xml:space="preserve">Pojištění v rozsahu tohoto bodu se sjednává se sublimitem plnění ve výši </w:t>
      </w:r>
      <w:r w:rsidR="00400FFC">
        <w:rPr>
          <w:b/>
        </w:rPr>
        <w:t>1 000 000</w:t>
      </w:r>
      <w:r>
        <w:rPr>
          <w:b/>
        </w:rPr>
        <w:t xml:space="preserve"> Kč.</w:t>
      </w:r>
      <w:r>
        <w:t xml:space="preserve"> </w:t>
      </w:r>
    </w:p>
    <w:p w14:paraId="6A287533" w14:textId="77777777" w:rsidR="00C955DC" w:rsidRDefault="00C955DC" w:rsidP="00F33279">
      <w:pPr>
        <w:tabs>
          <w:tab w:val="left" w:pos="1080"/>
        </w:tabs>
        <w:spacing w:before="80" w:after="60"/>
        <w:ind w:left="720"/>
      </w:pPr>
    </w:p>
    <w:p w14:paraId="2D251852" w14:textId="77777777" w:rsidR="00B44792" w:rsidRDefault="00B44792" w:rsidP="00B44792">
      <w:pPr>
        <w:pStyle w:val="Nadpis3"/>
        <w:numPr>
          <w:ilvl w:val="2"/>
          <w:numId w:val="3"/>
        </w:numPr>
      </w:pPr>
      <w:r>
        <w:t>Pojištění profesní odpovědnosti za škodu zdravotního zařízení</w:t>
      </w:r>
    </w:p>
    <w:p w14:paraId="0322BFC2" w14:textId="77777777" w:rsidR="00B44792" w:rsidRDefault="00B44792" w:rsidP="00B44792">
      <w:pPr>
        <w:ind w:left="720"/>
      </w:pPr>
      <w:r>
        <w:t>- pojištění se vztahuje pouze na tyto pojištěné subjekty: Zdravotnická záchranná služby Zlínského kraje, příspěvková organizace</w:t>
      </w:r>
      <w:r w:rsidR="00400FFC">
        <w:t>.</w:t>
      </w:r>
    </w:p>
    <w:p w14:paraId="67233144" w14:textId="77777777" w:rsidR="00B44792" w:rsidRDefault="00B44792" w:rsidP="00B44792">
      <w:pPr>
        <w:spacing w:before="60"/>
        <w:ind w:left="720"/>
        <w:rPr>
          <w:rFonts w:cs="Arial"/>
          <w:szCs w:val="22"/>
        </w:rPr>
      </w:pPr>
      <w:r>
        <w:rPr>
          <w:rFonts w:cs="Arial"/>
          <w:szCs w:val="22"/>
        </w:rPr>
        <w:t>Limit plnění:</w:t>
      </w:r>
      <w:r>
        <w:rPr>
          <w:rFonts w:cs="Arial"/>
          <w:szCs w:val="22"/>
        </w:rPr>
        <w:tab/>
      </w:r>
      <w:r>
        <w:rPr>
          <w:rFonts w:cs="Arial"/>
          <w:b/>
          <w:bCs/>
          <w:szCs w:val="22"/>
        </w:rPr>
        <w:t xml:space="preserve"> </w:t>
      </w:r>
      <w:r>
        <w:rPr>
          <w:rFonts w:cs="Arial"/>
          <w:b/>
          <w:bCs/>
          <w:szCs w:val="22"/>
        </w:rPr>
        <w:tab/>
        <w:t>3 000 000</w:t>
      </w:r>
      <w:r>
        <w:rPr>
          <w:rFonts w:cs="Arial"/>
          <w:b/>
          <w:bCs/>
          <w:color w:val="FF0000"/>
          <w:szCs w:val="22"/>
        </w:rPr>
        <w:t xml:space="preserve"> </w:t>
      </w:r>
      <w:r>
        <w:rPr>
          <w:rFonts w:cs="Arial"/>
          <w:b/>
          <w:bCs/>
          <w:szCs w:val="22"/>
        </w:rPr>
        <w:t>Kč</w:t>
      </w:r>
      <w:r>
        <w:rPr>
          <w:rFonts w:cs="Arial"/>
          <w:szCs w:val="22"/>
        </w:rPr>
        <w:t xml:space="preserve"> (limit plnění s možností připojištění).</w:t>
      </w:r>
    </w:p>
    <w:p w14:paraId="4C25FBF6" w14:textId="77777777" w:rsidR="00B44792" w:rsidRDefault="00B44792" w:rsidP="00B44792">
      <w:pPr>
        <w:pStyle w:val="Zkladntext"/>
        <w:autoSpaceDE/>
        <w:autoSpaceDN/>
        <w:spacing w:before="60"/>
        <w:ind w:left="1080" w:hanging="360"/>
        <w:rPr>
          <w:rFonts w:ascii="Arial" w:hAnsi="Arial" w:cs="Arial"/>
        </w:rPr>
      </w:pPr>
      <w:r>
        <w:rPr>
          <w:rFonts w:ascii="Arial" w:hAnsi="Arial" w:cs="Arial"/>
        </w:rPr>
        <w:t>a) Pojištění se vztahuje i na odpovědnost za škodu způsobenou neoprávněným zásahem do práva na ochranu osobnosti</w:t>
      </w:r>
      <w:r w:rsidR="009326AE">
        <w:rPr>
          <w:rFonts w:ascii="Arial" w:hAnsi="Arial" w:cs="Arial"/>
        </w:rPr>
        <w:t>.</w:t>
      </w:r>
    </w:p>
    <w:p w14:paraId="683FD951" w14:textId="77777777" w:rsidR="00B44792" w:rsidRDefault="00B44792" w:rsidP="00B44792">
      <w:pPr>
        <w:spacing w:before="60"/>
        <w:ind w:left="720"/>
        <w:rPr>
          <w:rFonts w:cs="Arial"/>
        </w:rPr>
      </w:pPr>
    </w:p>
    <w:p w14:paraId="7480E72B" w14:textId="77777777" w:rsidR="00DE7775" w:rsidRPr="00C955DC" w:rsidRDefault="00B44792" w:rsidP="00C955DC">
      <w:pPr>
        <w:spacing w:before="60"/>
        <w:ind w:left="720"/>
        <w:rPr>
          <w:rFonts w:cs="Arial"/>
          <w:szCs w:val="22"/>
        </w:rPr>
      </w:pPr>
      <w:r>
        <w:rPr>
          <w:rFonts w:cs="Arial"/>
          <w:szCs w:val="22"/>
        </w:rPr>
        <w:t>Sublimit plnění:</w:t>
      </w:r>
      <w:r>
        <w:rPr>
          <w:rFonts w:cs="Arial"/>
          <w:szCs w:val="22"/>
        </w:rPr>
        <w:tab/>
      </w:r>
      <w:r>
        <w:rPr>
          <w:rFonts w:cs="Arial"/>
          <w:b/>
          <w:bCs/>
          <w:szCs w:val="22"/>
        </w:rPr>
        <w:t xml:space="preserve"> </w:t>
      </w:r>
      <w:r w:rsidR="00423AA1">
        <w:rPr>
          <w:rFonts w:cs="Arial"/>
          <w:b/>
          <w:bCs/>
          <w:szCs w:val="22"/>
        </w:rPr>
        <w:t>1 000 000</w:t>
      </w:r>
      <w:r w:rsidR="00423AA1">
        <w:rPr>
          <w:rFonts w:cs="Arial"/>
          <w:b/>
          <w:bCs/>
          <w:color w:val="FF0000"/>
          <w:szCs w:val="22"/>
        </w:rPr>
        <w:t xml:space="preserve"> </w:t>
      </w:r>
      <w:r w:rsidR="00423AA1">
        <w:rPr>
          <w:rFonts w:cs="Arial"/>
          <w:b/>
          <w:bCs/>
          <w:szCs w:val="22"/>
        </w:rPr>
        <w:t>Kč</w:t>
      </w:r>
      <w:r>
        <w:rPr>
          <w:rFonts w:cs="Arial"/>
          <w:szCs w:val="22"/>
        </w:rPr>
        <w:t xml:space="preserve"> (limit plnění s možností připojištění).</w:t>
      </w:r>
    </w:p>
    <w:p w14:paraId="1031484C" w14:textId="77777777" w:rsidR="00DE7775" w:rsidRDefault="00DE7775" w:rsidP="00B44792">
      <w:pPr>
        <w:pStyle w:val="Zkladntext"/>
        <w:autoSpaceDE/>
        <w:autoSpaceDN/>
        <w:spacing w:before="60"/>
        <w:ind w:left="720"/>
        <w:rPr>
          <w:rFonts w:ascii="Arial" w:hAnsi="Arial" w:cs="Arial"/>
        </w:rPr>
      </w:pPr>
    </w:p>
    <w:p w14:paraId="4DAF3FD5" w14:textId="77777777" w:rsidR="00B44792" w:rsidRDefault="00B44792" w:rsidP="00B44792">
      <w:pPr>
        <w:pStyle w:val="Nadpis2"/>
        <w:numPr>
          <w:ilvl w:val="1"/>
          <w:numId w:val="3"/>
        </w:numPr>
      </w:pPr>
      <w:bookmarkStart w:id="11" w:name="_Toc176074458"/>
      <w:r>
        <w:t>Spoluúčast</w:t>
      </w:r>
      <w:bookmarkEnd w:id="11"/>
    </w:p>
    <w:p w14:paraId="5730BF5F" w14:textId="77777777" w:rsidR="00B44792" w:rsidRDefault="00B44792" w:rsidP="00B44792">
      <w:pPr>
        <w:pStyle w:val="Zkladntext"/>
        <w:autoSpaceDE/>
        <w:autoSpaceDN/>
        <w:ind w:left="720"/>
        <w:rPr>
          <w:rFonts w:ascii="Arial" w:hAnsi="Arial" w:cs="Arial"/>
        </w:rPr>
      </w:pPr>
      <w:r>
        <w:rPr>
          <w:rFonts w:ascii="Arial" w:hAnsi="Arial" w:cs="Arial"/>
        </w:rPr>
        <w:lastRenderedPageBreak/>
        <w:t>Spoluúčast pro pojistná nebezpečí dle bodu 2.2.1 a 2.2.2 činí</w:t>
      </w:r>
      <w:r>
        <w:rPr>
          <w:rFonts w:ascii="Arial" w:hAnsi="Arial" w:cs="Arial"/>
          <w:b/>
          <w:bCs/>
        </w:rPr>
        <w:t xml:space="preserve"> 1 000 </w:t>
      </w:r>
      <w:r w:rsidR="00423AA1">
        <w:rPr>
          <w:rFonts w:ascii="Arial" w:hAnsi="Arial" w:cs="Arial"/>
        </w:rPr>
        <w:t>Kč, kromě</w:t>
      </w:r>
      <w:r>
        <w:rPr>
          <w:rFonts w:ascii="Arial" w:hAnsi="Arial" w:cs="Arial"/>
        </w:rPr>
        <w:t xml:space="preserve"> </w:t>
      </w:r>
      <w:r w:rsidR="00423AA1">
        <w:rPr>
          <w:rFonts w:ascii="Arial" w:hAnsi="Arial" w:cs="Arial"/>
        </w:rPr>
        <w:t>pojištění odpovědnosti</w:t>
      </w:r>
      <w:r>
        <w:rPr>
          <w:rFonts w:ascii="Arial" w:hAnsi="Arial" w:cs="Arial"/>
        </w:rPr>
        <w:t xml:space="preserve"> za škodu na věcech, zdraví a životě žáků, studentů, kdy se spoluúčast nesjednává.</w:t>
      </w:r>
    </w:p>
    <w:p w14:paraId="042A760F" w14:textId="77777777" w:rsidR="00B44792" w:rsidRDefault="00B44792" w:rsidP="00B44792">
      <w:pPr>
        <w:pStyle w:val="Zkladntext"/>
        <w:autoSpaceDE/>
        <w:autoSpaceDN/>
        <w:ind w:left="720"/>
        <w:rPr>
          <w:rFonts w:ascii="Arial" w:hAnsi="Arial" w:cs="Arial"/>
        </w:rPr>
      </w:pPr>
      <w:r>
        <w:rPr>
          <w:rFonts w:ascii="Arial" w:hAnsi="Arial" w:cs="Arial"/>
        </w:rPr>
        <w:t xml:space="preserve">Spoluúčast pro pojistná nebezpečí dle bodu 2.2.3 </w:t>
      </w:r>
      <w:r w:rsidR="00423AA1">
        <w:rPr>
          <w:rFonts w:ascii="Arial" w:hAnsi="Arial" w:cs="Arial"/>
        </w:rPr>
        <w:t xml:space="preserve">činí </w:t>
      </w:r>
      <w:r w:rsidR="00423AA1">
        <w:rPr>
          <w:rFonts w:ascii="Arial" w:hAnsi="Arial" w:cs="Arial"/>
          <w:b/>
          <w:bCs/>
        </w:rPr>
        <w:t>20 000</w:t>
      </w:r>
      <w:r>
        <w:rPr>
          <w:rFonts w:ascii="Arial" w:hAnsi="Arial" w:cs="Arial"/>
          <w:b/>
          <w:bCs/>
        </w:rPr>
        <w:t xml:space="preserve"> </w:t>
      </w:r>
      <w:r>
        <w:rPr>
          <w:rFonts w:ascii="Arial" w:hAnsi="Arial" w:cs="Arial"/>
        </w:rPr>
        <w:t>Kč</w:t>
      </w:r>
    </w:p>
    <w:p w14:paraId="6BFFC90E" w14:textId="77777777" w:rsidR="00B44792" w:rsidRDefault="00B44792" w:rsidP="00B44792">
      <w:pPr>
        <w:pStyle w:val="Zkladntext"/>
        <w:autoSpaceDE/>
        <w:autoSpaceDN/>
        <w:rPr>
          <w:rFonts w:ascii="Arial" w:hAnsi="Arial" w:cs="Arial"/>
        </w:rPr>
      </w:pPr>
    </w:p>
    <w:p w14:paraId="4ED11359" w14:textId="77777777" w:rsidR="00B44792" w:rsidRDefault="00B44792" w:rsidP="00B44792">
      <w:pPr>
        <w:pStyle w:val="Nadpis2"/>
        <w:numPr>
          <w:ilvl w:val="1"/>
          <w:numId w:val="3"/>
        </w:numPr>
      </w:pPr>
      <w:bookmarkStart w:id="12" w:name="_Toc176074459"/>
      <w:r>
        <w:t>Limity plnění</w:t>
      </w:r>
      <w:bookmarkEnd w:id="12"/>
    </w:p>
    <w:p w14:paraId="45E02183" w14:textId="77777777" w:rsidR="00B44792" w:rsidRDefault="00B44792" w:rsidP="00B44792">
      <w:pPr>
        <w:ind w:firstLine="720"/>
        <w:rPr>
          <w:rFonts w:cs="Arial"/>
          <w:szCs w:val="22"/>
        </w:rPr>
      </w:pPr>
      <w:r>
        <w:rPr>
          <w:rFonts w:cs="Arial"/>
          <w:szCs w:val="22"/>
        </w:rPr>
        <w:t xml:space="preserve">Případné limity plnění jsou uvedeny v jednotlivých odstavcích bodu 2.2.  </w:t>
      </w:r>
    </w:p>
    <w:p w14:paraId="427272CF" w14:textId="77777777" w:rsidR="00B44792" w:rsidRDefault="00B44792" w:rsidP="00B44792">
      <w:pPr>
        <w:ind w:left="720"/>
        <w:rPr>
          <w:rFonts w:cs="Arial"/>
          <w:szCs w:val="22"/>
        </w:rPr>
      </w:pPr>
      <w:r>
        <w:rPr>
          <w:rFonts w:cs="Arial"/>
          <w:szCs w:val="22"/>
        </w:rPr>
        <w:t>Pojistitel uhradí škodu z jedné pojistné události maximálně do výše limitu uvedeného v bodě 2.2. Na úhradu všech pojistných událostí vzniklých v průběhu jednoho pojistného roku poskytne pojistitel pojistné plnění do výše dvojnásobku limitu pojistného plnění uvedeného v bodě 2.2.</w:t>
      </w:r>
    </w:p>
    <w:p w14:paraId="3BAB4F55" w14:textId="77777777" w:rsidR="00B44792" w:rsidRDefault="00B44792" w:rsidP="00B44792">
      <w:pPr>
        <w:ind w:left="720"/>
        <w:rPr>
          <w:rFonts w:cs="Arial"/>
          <w:b/>
          <w:bCs/>
          <w:sz w:val="28"/>
          <w:szCs w:val="22"/>
        </w:rPr>
      </w:pPr>
    </w:p>
    <w:p w14:paraId="360F4B71" w14:textId="77777777" w:rsidR="00B44792" w:rsidRDefault="00B44792" w:rsidP="00B44792">
      <w:pPr>
        <w:pStyle w:val="Nadpis2"/>
        <w:numPr>
          <w:ilvl w:val="1"/>
          <w:numId w:val="3"/>
        </w:numPr>
        <w:rPr>
          <w:b w:val="0"/>
          <w:bCs/>
        </w:rPr>
      </w:pPr>
      <w:r>
        <w:t xml:space="preserve">Zvláštní ujednání </w:t>
      </w:r>
    </w:p>
    <w:p w14:paraId="03CE068C" w14:textId="77777777" w:rsidR="00B44792" w:rsidRDefault="00B44792" w:rsidP="00B44792">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Pr>
          <w:rFonts w:ascii="Arial" w:hAnsi="Arial" w:cs="Arial"/>
        </w:rPr>
        <w:t xml:space="preserve">Pojištění se vztahuje i na škody způsobené zásahem úřední moci v rozsahu, </w:t>
      </w:r>
      <w:r w:rsidR="009326AE">
        <w:rPr>
          <w:rFonts w:ascii="Arial" w:hAnsi="Arial" w:cs="Arial"/>
        </w:rPr>
        <w:t xml:space="preserve">v </w:t>
      </w:r>
      <w:r>
        <w:rPr>
          <w:rFonts w:ascii="Arial" w:hAnsi="Arial" w:cs="Arial"/>
        </w:rPr>
        <w:t xml:space="preserve">jakém pojištěný za tuto škodu odpovídá dle platných a účinných právních předpisů. </w:t>
      </w:r>
    </w:p>
    <w:p w14:paraId="11DDC9D5" w14:textId="77777777" w:rsidR="00B44792" w:rsidRDefault="00B44792" w:rsidP="00B44792">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Pr>
          <w:rFonts w:ascii="Arial" w:hAnsi="Arial" w:cs="Arial"/>
        </w:rPr>
        <w:t>Pojištění se vztahuje i na odpovědnost za škodu způsobenou</w:t>
      </w:r>
      <w:r w:rsidR="00346628" w:rsidRPr="00346628">
        <w:rPr>
          <w:rFonts w:ascii="Arial" w:hAnsi="Arial" w:cs="Arial"/>
        </w:rPr>
        <w:t xml:space="preserve"> </w:t>
      </w:r>
      <w:r w:rsidR="00346628">
        <w:rPr>
          <w:rFonts w:ascii="Arial" w:hAnsi="Arial" w:cs="Arial"/>
        </w:rPr>
        <w:t xml:space="preserve">osobami uvedenými v příloze č. 1 </w:t>
      </w:r>
      <w:r>
        <w:rPr>
          <w:rFonts w:ascii="Arial" w:hAnsi="Arial" w:cs="Arial"/>
        </w:rPr>
        <w:t>v souvislosti s poskytováním sociálních služeb na základě zákona č. 108/2006 s limitem plnění 10 000 000 Kč.</w:t>
      </w:r>
    </w:p>
    <w:p w14:paraId="0494A0DD" w14:textId="77777777" w:rsidR="00AB2968" w:rsidRPr="00AB2968" w:rsidRDefault="00AB2968" w:rsidP="00AB2968">
      <w:pPr>
        <w:pStyle w:val="Zhlav"/>
        <w:tabs>
          <w:tab w:val="clear" w:pos="4536"/>
          <w:tab w:val="clear" w:pos="9072"/>
        </w:tabs>
        <w:autoSpaceDE/>
        <w:autoSpaceDN/>
        <w:spacing w:before="60" w:line="240" w:lineRule="auto"/>
        <w:ind w:left="1077"/>
        <w:rPr>
          <w:rFonts w:ascii="Arial" w:hAnsi="Arial" w:cs="Arial"/>
        </w:rPr>
      </w:pPr>
      <w:r w:rsidRPr="00AB2968">
        <w:rPr>
          <w:rFonts w:ascii="Arial" w:hAnsi="Arial" w:cs="Arial"/>
        </w:rPr>
        <w:t>Pojištění odpovědnosti za škodu způsobenou v souvislosti s poskytováním sociálních služeb vztahuje i na odpovědnost za škodu způsobenou v souvislosti s oprávněným poskytováním zdravotních služeb pojištěným poskytovatelem sociálních služeb v rozsahu, v jakém k němu pojištěný z titulu svého postavení poskytovatele sociálních služeb nepotřebuje oprávnění k poskytování zdravotních služeb dle zákona o zdravotních službách.</w:t>
      </w:r>
    </w:p>
    <w:p w14:paraId="54EBDF67" w14:textId="0A693963" w:rsidR="00AB2968" w:rsidRPr="00AB2968" w:rsidRDefault="00400FFC" w:rsidP="00AB2968">
      <w:pPr>
        <w:pStyle w:val="Zhlav"/>
        <w:tabs>
          <w:tab w:val="clear" w:pos="4536"/>
          <w:tab w:val="clear" w:pos="9072"/>
        </w:tabs>
        <w:autoSpaceDE/>
        <w:autoSpaceDN/>
        <w:spacing w:before="60" w:line="240" w:lineRule="auto"/>
        <w:ind w:left="1077"/>
        <w:rPr>
          <w:rFonts w:ascii="Arial" w:hAnsi="Arial" w:cs="Arial"/>
        </w:rPr>
      </w:pPr>
      <w:r>
        <w:rPr>
          <w:rFonts w:ascii="Arial" w:hAnsi="Arial" w:cs="Arial"/>
        </w:rPr>
        <w:t>Ujednává se, že</w:t>
      </w:r>
      <w:r w:rsidR="00AB2968" w:rsidRPr="00AB2968">
        <w:rPr>
          <w:rFonts w:ascii="Arial" w:hAnsi="Arial" w:cs="Arial"/>
        </w:rPr>
        <w:t xml:space="preserve"> pojistitel </w:t>
      </w:r>
      <w:r>
        <w:rPr>
          <w:rFonts w:ascii="Arial" w:hAnsi="Arial" w:cs="Arial"/>
        </w:rPr>
        <w:t xml:space="preserve">je </w:t>
      </w:r>
      <w:r w:rsidR="00AB2968" w:rsidRPr="00AB2968">
        <w:rPr>
          <w:rFonts w:ascii="Arial" w:hAnsi="Arial" w:cs="Arial"/>
        </w:rPr>
        <w:t>povinen poskytnout pojistné plnění z pojištění podle této doložky za předpokladu, že jsou současně splněny následující podmínky:</w:t>
      </w:r>
    </w:p>
    <w:p w14:paraId="77E65732" w14:textId="77777777" w:rsidR="00AB2968" w:rsidRPr="00AB2968" w:rsidRDefault="00AB2968" w:rsidP="00AB2968">
      <w:pPr>
        <w:pStyle w:val="Zhlav"/>
        <w:tabs>
          <w:tab w:val="clear" w:pos="4536"/>
          <w:tab w:val="clear" w:pos="9072"/>
        </w:tabs>
        <w:autoSpaceDE/>
        <w:autoSpaceDN/>
        <w:spacing w:before="60" w:line="240" w:lineRule="auto"/>
        <w:ind w:left="1077"/>
        <w:rPr>
          <w:rFonts w:ascii="Arial" w:hAnsi="Arial" w:cs="Arial"/>
        </w:rPr>
      </w:pPr>
    </w:p>
    <w:p w14:paraId="5AABFEC4"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právní skutečnost, v jejímž důsledku škoda vznikla, nastala po retroaktivním datu; není-li ujednáno jinak, je retroaktivní datum shodné s datem vzniku pojištění podle této doložky, resp. s retroaktivním datem sjednaným v pojistné smlouvě pro pojištění odpovědnosti za škodu způsobenou při poskytování sociálních služeb, pokud je takové retroaktivní datum v pojistné smlouvě sjednáno,</w:t>
      </w:r>
    </w:p>
    <w:p w14:paraId="13598ABC"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poškozený poprvé písemně uplatnil nárok na náhradu škody proti pojištěnému v době trvání pojištění podle této doložky,</w:t>
      </w:r>
    </w:p>
    <w:p w14:paraId="6D2C067E"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pojištěný uplatnil nárok na plnění proti pojistiteli do 60 dní po zániku pojištění podle této doložky.</w:t>
      </w:r>
    </w:p>
    <w:p w14:paraId="4D01F274" w14:textId="77777777" w:rsidR="00AB2968" w:rsidRPr="00AB2968" w:rsidRDefault="00AB2968" w:rsidP="00AB2968">
      <w:pPr>
        <w:pStyle w:val="Zhlav"/>
        <w:tabs>
          <w:tab w:val="clear" w:pos="4536"/>
          <w:tab w:val="clear" w:pos="9072"/>
        </w:tabs>
        <w:autoSpaceDE/>
        <w:autoSpaceDN/>
        <w:spacing w:before="60" w:line="240" w:lineRule="auto"/>
        <w:ind w:left="1077"/>
        <w:rPr>
          <w:rFonts w:ascii="Arial" w:hAnsi="Arial" w:cs="Arial"/>
        </w:rPr>
      </w:pPr>
    </w:p>
    <w:p w14:paraId="5EBF2E85" w14:textId="77777777" w:rsidR="00AB2968" w:rsidRPr="00AB2968" w:rsidRDefault="00AB2968" w:rsidP="00AB2968">
      <w:pPr>
        <w:pStyle w:val="Zhlav"/>
        <w:tabs>
          <w:tab w:val="clear" w:pos="4536"/>
          <w:tab w:val="clear" w:pos="9072"/>
        </w:tabs>
        <w:autoSpaceDE/>
        <w:autoSpaceDN/>
        <w:spacing w:before="60" w:line="240" w:lineRule="auto"/>
        <w:ind w:left="1077"/>
        <w:rPr>
          <w:rFonts w:ascii="Arial" w:hAnsi="Arial" w:cs="Arial"/>
        </w:rPr>
      </w:pPr>
      <w:r w:rsidRPr="00AB2968">
        <w:rPr>
          <w:rFonts w:ascii="Arial" w:hAnsi="Arial" w:cs="Arial"/>
        </w:rPr>
        <w:t>Mimo výluk a omezení pojistného plnění vyplývajících z pojistné smlouvy a pojistných podmíne</w:t>
      </w:r>
      <w:r>
        <w:rPr>
          <w:rFonts w:ascii="Arial" w:hAnsi="Arial" w:cs="Arial"/>
        </w:rPr>
        <w:t xml:space="preserve">k </w:t>
      </w:r>
      <w:r w:rsidRPr="00AB2968">
        <w:rPr>
          <w:rFonts w:ascii="Arial" w:hAnsi="Arial" w:cs="Arial"/>
        </w:rPr>
        <w:t xml:space="preserve">vztahujících se k pojištění odpovědnosti za škodu se pojištění podle dále </w:t>
      </w:r>
      <w:r w:rsidR="00423AA1" w:rsidRPr="00AB2968">
        <w:rPr>
          <w:rFonts w:ascii="Arial" w:hAnsi="Arial" w:cs="Arial"/>
        </w:rPr>
        <w:t>nevztahuje na</w:t>
      </w:r>
      <w:r w:rsidRPr="00AB2968">
        <w:rPr>
          <w:rFonts w:ascii="Arial" w:hAnsi="Arial" w:cs="Arial"/>
        </w:rPr>
        <w:t xml:space="preserve"> odpovědnost za škodu způsobenou:</w:t>
      </w:r>
    </w:p>
    <w:p w14:paraId="6768911C" w14:textId="77777777" w:rsidR="00AB2968" w:rsidRPr="00AB2968" w:rsidRDefault="00AB2968" w:rsidP="00AB2968">
      <w:pPr>
        <w:pStyle w:val="Zhlav"/>
        <w:tabs>
          <w:tab w:val="clear" w:pos="4536"/>
          <w:tab w:val="clear" w:pos="9072"/>
        </w:tabs>
        <w:autoSpaceDE/>
        <w:autoSpaceDN/>
        <w:spacing w:before="60" w:line="240" w:lineRule="auto"/>
        <w:ind w:left="1077"/>
        <w:rPr>
          <w:rFonts w:ascii="Arial" w:hAnsi="Arial" w:cs="Arial"/>
        </w:rPr>
      </w:pPr>
    </w:p>
    <w:p w14:paraId="3193D57C"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poskytováním zdravotních služeb / výkonem zdravotní péče, pro které pojištěný nebo osoby pro pojištěného činné nemají kvalifikaci ve smyslu příslušných právních předpisů,</w:t>
      </w:r>
    </w:p>
    <w:p w14:paraId="0F71C89F"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členy managementu poskytovatele sociálních služeb při jejich rozhodování, které není poskytováním zdravotních služeb / výkonem zdravotní péče,</w:t>
      </w:r>
      <w:r>
        <w:rPr>
          <w:rFonts w:ascii="Arial" w:hAnsi="Arial" w:cs="Arial"/>
        </w:rPr>
        <w:t xml:space="preserve"> </w:t>
      </w:r>
      <w:r w:rsidRPr="00AB2968">
        <w:rPr>
          <w:rFonts w:ascii="Arial" w:hAnsi="Arial" w:cs="Arial"/>
        </w:rPr>
        <w:t>porušením povinnosti mlčenlivosti,</w:t>
      </w:r>
    </w:p>
    <w:p w14:paraId="1B2A35AF"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lastRenderedPageBreak/>
        <w:t>činností krevní banky,</w:t>
      </w:r>
    </w:p>
    <w:p w14:paraId="3D5A3DB6"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lékařským a biologickým výzkumem včetně klinického hodnocení léčiv a zdravotnických prostředků,</w:t>
      </w:r>
    </w:p>
    <w:p w14:paraId="49FE3F5D"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při ověřování nových poznatků na živém člověku použitím metod dosud nezavedených v klinické praxi,</w:t>
      </w:r>
    </w:p>
    <w:p w14:paraId="39D1C13B"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genetickým poškozením jakéhokoli původu,</w:t>
      </w:r>
    </w:p>
    <w:p w14:paraId="3EEEC43C"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přenosem viru HIV,</w:t>
      </w:r>
    </w:p>
    <w:p w14:paraId="68EAF66E"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zářením všeho druhu; to však – bez ohledu na jiné výluky vyplývající z pojistných podmínek vztahujících se k pojištění odpovědnosti za škodu – neplatí, pokud došlo k nenadálé poruše ochranného zařízení sloužícího k vyšetřování nebo léčení, není-li ujednáno jinak,</w:t>
      </w:r>
    </w:p>
    <w:p w14:paraId="18FCC27D"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výkonem plastické nebo kosmetické chirurgie pouze pro estetické účely,</w:t>
      </w:r>
    </w:p>
    <w:p w14:paraId="33BDF7CC" w14:textId="77777777" w:rsidR="00AB2968" w:rsidRPr="00AB2968" w:rsidRDefault="00AB2968" w:rsidP="00AB2968">
      <w:pPr>
        <w:pStyle w:val="Zhlav"/>
        <w:numPr>
          <w:ilvl w:val="0"/>
          <w:numId w:val="17"/>
        </w:numPr>
        <w:tabs>
          <w:tab w:val="clear" w:pos="4536"/>
          <w:tab w:val="clear" w:pos="9072"/>
        </w:tabs>
        <w:autoSpaceDE/>
        <w:autoSpaceDN/>
        <w:spacing w:before="60" w:line="240" w:lineRule="auto"/>
        <w:rPr>
          <w:rFonts w:ascii="Arial" w:hAnsi="Arial" w:cs="Arial"/>
        </w:rPr>
      </w:pPr>
      <w:r w:rsidRPr="00AB2968">
        <w:rPr>
          <w:rFonts w:ascii="Arial" w:hAnsi="Arial" w:cs="Arial"/>
        </w:rPr>
        <w:t>umělým přerušením těhotenství, jedná-li se o zdravotní výkon neposkytovaný na základě zdravotního pojištění, tzn. výkon za přímou finanční úhradu.</w:t>
      </w:r>
    </w:p>
    <w:p w14:paraId="19D82467" w14:textId="77777777" w:rsidR="00AB2968" w:rsidRDefault="00AB2968" w:rsidP="00AB2968">
      <w:pPr>
        <w:pStyle w:val="Zhlav"/>
        <w:tabs>
          <w:tab w:val="clear" w:pos="4536"/>
          <w:tab w:val="clear" w:pos="9072"/>
        </w:tabs>
        <w:autoSpaceDE/>
        <w:autoSpaceDN/>
        <w:spacing w:before="60" w:line="240" w:lineRule="auto"/>
        <w:rPr>
          <w:rFonts w:ascii="Arial" w:hAnsi="Arial" w:cs="Arial"/>
        </w:rPr>
      </w:pPr>
    </w:p>
    <w:p w14:paraId="13F94E59" w14:textId="77777777" w:rsidR="00B44792" w:rsidRDefault="00B44792" w:rsidP="00B44792">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Pr>
          <w:rFonts w:ascii="Arial" w:hAnsi="Arial" w:cs="Arial"/>
        </w:rPr>
        <w:t xml:space="preserve">Pojištění se vztahuje i na případy, kdy stát nahradil škodu způsobenou nezákonným rozhodnutím nebo nesprávným úředním postupem Zlínského kraje při výkonu státní správy (přenesené působnosti) a požaduje regresní úhradu na Zlínském kraji, pokud škodu způsobil. Pojištění se vztahuje také na odpovědnost Zlínského kraje za škodu způsobenou při výkonu jeho samostatné působnosti nezákonným rozhodnutím nebo nesprávným úředním postupem.  </w:t>
      </w:r>
    </w:p>
    <w:p w14:paraId="5E3F7862" w14:textId="77777777" w:rsidR="00B44792" w:rsidRDefault="00B44792" w:rsidP="00B44792">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Pr>
          <w:rFonts w:ascii="Arial" w:hAnsi="Arial" w:cs="Arial"/>
          <w:szCs w:val="20"/>
        </w:rPr>
        <w:t>Pojištění se vztahuje na škody způsobené působením teploty, unikajících látek, vlhkosti a odpadů včetně pozvolně působících vlivů.</w:t>
      </w:r>
    </w:p>
    <w:p w14:paraId="43FA2F74" w14:textId="77777777" w:rsidR="00B44792" w:rsidRDefault="00B44792" w:rsidP="00B44792">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Pr>
          <w:rFonts w:ascii="Arial" w:hAnsi="Arial" w:cs="Arial"/>
        </w:rPr>
        <w:t xml:space="preserve">Pojištění se vztahuje i na odpovědnost za škodu způsobenou zavlečením nebo rozšířením nakažlivé choroby lidí, zvířat nebo rostlin. </w:t>
      </w:r>
    </w:p>
    <w:p w14:paraId="6FFB4589" w14:textId="77777777" w:rsidR="00B44792" w:rsidRDefault="00B44792" w:rsidP="00B44792">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Pr>
          <w:rFonts w:ascii="Arial" w:hAnsi="Arial" w:cs="Arial"/>
          <w:szCs w:val="20"/>
        </w:rPr>
        <w:t>Pojištění se vztahuje i na škody související s podáváním nápojů a stravy (např. škody na zdraví způsobené salmonelou apod.).</w:t>
      </w:r>
    </w:p>
    <w:p w14:paraId="15A79527" w14:textId="77777777" w:rsidR="00B44792" w:rsidRDefault="00B44792" w:rsidP="00B44792">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Pr>
          <w:rFonts w:ascii="Arial" w:hAnsi="Arial" w:cs="Arial"/>
        </w:rPr>
        <w:t xml:space="preserve">Pojištění se vztahuje i na škodu vzniklou v souvislosti s činností nebo vztahem pojištěného, jestliže za škodu odpovídá v důsledků svého jednání nebo vztahu. </w:t>
      </w:r>
    </w:p>
    <w:p w14:paraId="5911C0B9" w14:textId="01CB384D" w:rsidR="00B44792" w:rsidRDefault="00B44792" w:rsidP="00B44792">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Pr>
          <w:rFonts w:ascii="Arial" w:hAnsi="Arial" w:cs="Arial"/>
        </w:rPr>
        <w:t>V případě škod u souboru jízdních kol poskytne pojistitel plnění, budou</w:t>
      </w:r>
      <w:r w:rsidR="009326AE">
        <w:rPr>
          <w:rFonts w:ascii="Arial" w:hAnsi="Arial" w:cs="Arial"/>
        </w:rPr>
        <w:t>-</w:t>
      </w:r>
      <w:r>
        <w:rPr>
          <w:rFonts w:ascii="Arial" w:hAnsi="Arial" w:cs="Arial"/>
        </w:rPr>
        <w:t xml:space="preserve">li pojištěné věci zabezpečeny následovně: </w:t>
      </w:r>
    </w:p>
    <w:p w14:paraId="191B64F5" w14:textId="77777777" w:rsidR="00B44792" w:rsidRDefault="00B44792" w:rsidP="00B44792">
      <w:pPr>
        <w:pStyle w:val="Zhlav"/>
        <w:tabs>
          <w:tab w:val="clear" w:pos="4536"/>
          <w:tab w:val="clear" w:pos="9072"/>
        </w:tabs>
        <w:autoSpaceDE/>
        <w:autoSpaceDN/>
        <w:spacing w:before="60" w:line="240" w:lineRule="auto"/>
        <w:ind w:left="1077"/>
        <w:rPr>
          <w:rFonts w:ascii="Arial" w:hAnsi="Arial" w:cs="Arial"/>
        </w:rPr>
      </w:pPr>
      <w:r>
        <w:rPr>
          <w:rFonts w:ascii="Arial" w:hAnsi="Arial" w:cs="Arial"/>
        </w:rPr>
        <w:t xml:space="preserve">Místem pojištění je místo určené nebo obvyklé k odkládání pojištěné věci. Ujednává se, že budou-li pojištěné věci uloženy i mimo uzavřený prostor mimo oplocené </w:t>
      </w:r>
      <w:r w:rsidR="00346628">
        <w:rPr>
          <w:rFonts w:ascii="Arial" w:hAnsi="Arial" w:cs="Arial"/>
        </w:rPr>
        <w:t>prostranství v době</w:t>
      </w:r>
      <w:r>
        <w:rPr>
          <w:rFonts w:ascii="Arial" w:hAnsi="Arial" w:cs="Arial"/>
        </w:rPr>
        <w:t xml:space="preserve"> pojistné události, poskytne pojistitel plnění, budou-li prokazatelně uzamčeny lankovým nebo řetízkovým zámkem na zamykání jízdních kol k příslušenství budovy nebo ke stavebním součástem budovy, ke stojanům či jinak odolným konstrukcím takovým způsobem, aby ho nebylo možné </w:t>
      </w:r>
      <w:r w:rsidR="00423AA1">
        <w:rPr>
          <w:rFonts w:ascii="Arial" w:hAnsi="Arial" w:cs="Arial"/>
        </w:rPr>
        <w:t>odcizit, aniž</w:t>
      </w:r>
      <w:r>
        <w:rPr>
          <w:rFonts w:ascii="Arial" w:hAnsi="Arial" w:cs="Arial"/>
        </w:rPr>
        <w:t xml:space="preserve"> pachatel překonal zámek nebo závažným způsobem rozrušil pevný konstrukční díl samotného předmětu.</w:t>
      </w:r>
    </w:p>
    <w:p w14:paraId="4AFCC61F" w14:textId="77777777" w:rsidR="00B44792" w:rsidRDefault="00B44792" w:rsidP="00B44792">
      <w:pPr>
        <w:pStyle w:val="Zhlav"/>
        <w:numPr>
          <w:ilvl w:val="0"/>
          <w:numId w:val="12"/>
        </w:numPr>
        <w:tabs>
          <w:tab w:val="clear" w:pos="1494"/>
          <w:tab w:val="clear" w:pos="4536"/>
          <w:tab w:val="clear" w:pos="9072"/>
          <w:tab w:val="num" w:pos="1080"/>
        </w:tabs>
        <w:autoSpaceDE/>
        <w:autoSpaceDN/>
        <w:spacing w:before="60" w:line="240" w:lineRule="auto"/>
        <w:ind w:left="1080"/>
        <w:rPr>
          <w:rFonts w:ascii="Arial" w:hAnsi="Arial" w:cs="Arial"/>
        </w:rPr>
      </w:pPr>
      <w:r>
        <w:rPr>
          <w:rFonts w:ascii="Arial" w:hAnsi="Arial" w:cs="Arial"/>
        </w:rPr>
        <w:t>Ujednává se, že pojištění se vztahuje i na škody vzniklé při výkonu odborné praxe studujícího (žák, student apod.) a vyučujících (např. učitelů, mistrů apod.) u osob, se kterými mají školská zařízení uzavřeny smlouvy o výkonu odborné praxe.</w:t>
      </w:r>
    </w:p>
    <w:p w14:paraId="5E49792A" w14:textId="77777777" w:rsidR="00B44792" w:rsidRDefault="00B44792" w:rsidP="00B44792">
      <w:pPr>
        <w:pStyle w:val="Zhlav"/>
        <w:numPr>
          <w:ilvl w:val="0"/>
          <w:numId w:val="12"/>
        </w:numPr>
        <w:tabs>
          <w:tab w:val="clear" w:pos="1494"/>
          <w:tab w:val="clear" w:pos="4536"/>
          <w:tab w:val="clear" w:pos="9072"/>
          <w:tab w:val="num" w:pos="1080"/>
        </w:tabs>
        <w:autoSpaceDE/>
        <w:autoSpaceDN/>
        <w:spacing w:before="60" w:line="240" w:lineRule="auto"/>
        <w:ind w:left="1080"/>
        <w:rPr>
          <w:rFonts w:ascii="Arial" w:hAnsi="Arial" w:cs="Arial"/>
        </w:rPr>
      </w:pPr>
      <w:r>
        <w:rPr>
          <w:rFonts w:ascii="Arial" w:hAnsi="Arial" w:cs="Arial"/>
        </w:rPr>
        <w:t xml:space="preserve">Pojištěným v rozsahu krytí této smlouvy je i žák, student pojištěné organizace a to po dobu studia u pojištěné organizace. </w:t>
      </w:r>
    </w:p>
    <w:p w14:paraId="43BA1B4C" w14:textId="77777777" w:rsidR="00B44792" w:rsidRDefault="00B44792" w:rsidP="00B44792">
      <w:pPr>
        <w:pStyle w:val="Zhlav"/>
        <w:numPr>
          <w:ilvl w:val="0"/>
          <w:numId w:val="12"/>
        </w:numPr>
        <w:tabs>
          <w:tab w:val="clear" w:pos="1494"/>
          <w:tab w:val="clear" w:pos="4536"/>
          <w:tab w:val="clear" w:pos="9072"/>
          <w:tab w:val="num" w:pos="1080"/>
        </w:tabs>
        <w:autoSpaceDE/>
        <w:autoSpaceDN/>
        <w:spacing w:before="60" w:line="240" w:lineRule="auto"/>
        <w:ind w:left="1080"/>
        <w:rPr>
          <w:rFonts w:ascii="Arial" w:hAnsi="Arial" w:cs="Arial"/>
        </w:rPr>
      </w:pPr>
      <w:r>
        <w:rPr>
          <w:rFonts w:ascii="Arial" w:hAnsi="Arial" w:cs="Arial"/>
        </w:rPr>
        <w:t xml:space="preserve"> Ujednává se, že se pojištění vztahuje o na odpovědnost pojištěného za škodu na movitých věcech svěřených nebo užívaných při praktickém a teoretickém vyučování, pokud došlo k jejich poškození či zničení</w:t>
      </w:r>
      <w:r w:rsidR="009326AE">
        <w:rPr>
          <w:rFonts w:ascii="Arial" w:hAnsi="Arial" w:cs="Arial"/>
        </w:rPr>
        <w:t>.</w:t>
      </w:r>
    </w:p>
    <w:p w14:paraId="55B600AF" w14:textId="77777777" w:rsidR="00B44792" w:rsidRDefault="00B44792" w:rsidP="00B44792">
      <w:pPr>
        <w:pStyle w:val="Zhlav"/>
        <w:numPr>
          <w:ilvl w:val="0"/>
          <w:numId w:val="12"/>
        </w:numPr>
        <w:tabs>
          <w:tab w:val="clear" w:pos="1494"/>
          <w:tab w:val="clear" w:pos="4536"/>
          <w:tab w:val="clear" w:pos="9072"/>
          <w:tab w:val="num" w:pos="1080"/>
        </w:tabs>
        <w:autoSpaceDE/>
        <w:autoSpaceDN/>
        <w:spacing w:before="60" w:line="240" w:lineRule="auto"/>
        <w:ind w:left="1080"/>
        <w:rPr>
          <w:rFonts w:ascii="Arial" w:hAnsi="Arial" w:cs="Arial"/>
        </w:rPr>
      </w:pPr>
      <w:r>
        <w:rPr>
          <w:rFonts w:ascii="Arial" w:hAnsi="Arial" w:cs="Arial"/>
        </w:rPr>
        <w:t xml:space="preserve">Pojištění se vztahuje na odpovědnost za finanční škodu vzniklou vlastníkovi pozemní komunikace, resp. vlastníkovi nemovitosti, tím, že po právu poskytl třetí </w:t>
      </w:r>
      <w:r>
        <w:rPr>
          <w:rFonts w:ascii="Arial" w:hAnsi="Arial" w:cs="Arial"/>
        </w:rPr>
        <w:lastRenderedPageBreak/>
        <w:t>osobě náhradu škody vzniklou závadou ve sjízdnosti nebo závadou ve schůdnosti pozemní komunikace, jejíž sjízdnost nebo schůdnost je povinen udržovat pojištěný.</w:t>
      </w:r>
    </w:p>
    <w:p w14:paraId="42451DC1" w14:textId="77777777" w:rsidR="00B44792" w:rsidRDefault="00B44792" w:rsidP="00B44792">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Pr>
          <w:rFonts w:ascii="Arial" w:hAnsi="Arial" w:cs="Arial"/>
        </w:rPr>
        <w:t xml:space="preserve">Ujednává se, že pojištění se vztahuje na škodní události, ke kterým došlo a jejichž příčina vznikla v době mezi sjednaným retroaktivním datem a datem ukončení pojištění. Retroaktivním datem je </w:t>
      </w:r>
      <w:r>
        <w:rPr>
          <w:rFonts w:ascii="Arial" w:hAnsi="Arial" w:cs="Arial"/>
          <w:color w:val="000000"/>
        </w:rPr>
        <w:t>1. leden 2007.</w:t>
      </w:r>
      <w:r>
        <w:rPr>
          <w:rFonts w:ascii="Arial" w:hAnsi="Arial" w:cs="Arial"/>
        </w:rPr>
        <w:t xml:space="preserve">  </w:t>
      </w:r>
    </w:p>
    <w:p w14:paraId="70934954" w14:textId="77777777" w:rsidR="00B44792" w:rsidRDefault="00B44792" w:rsidP="00B44792">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Pr>
          <w:rFonts w:ascii="Arial" w:hAnsi="Arial" w:cs="Arial"/>
        </w:rPr>
        <w:t xml:space="preserve">Ujednává se i křížová odpovědnost mezi subjekty, které jsou majetkově propojeny Zlínský kraj a příspěvkové organizace.  </w:t>
      </w:r>
    </w:p>
    <w:p w14:paraId="5D712203" w14:textId="77777777" w:rsidR="00AB2968" w:rsidRDefault="0021670B" w:rsidP="00B44792">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Pr>
          <w:rFonts w:ascii="Arial" w:hAnsi="Arial" w:cs="Arial"/>
        </w:rPr>
        <w:t>Pojištění se vztahuje i na odpovědnost pojištěných uvedených na Příloze č.</w:t>
      </w:r>
      <w:r w:rsidR="00423AA1">
        <w:rPr>
          <w:rFonts w:ascii="Arial" w:hAnsi="Arial" w:cs="Arial"/>
        </w:rPr>
        <w:t xml:space="preserve"> </w:t>
      </w:r>
      <w:r>
        <w:rPr>
          <w:rFonts w:ascii="Arial" w:hAnsi="Arial" w:cs="Arial"/>
        </w:rPr>
        <w:t>2 za škodu či újmu způsobenou výkonem sociálně-právní ochrany dětí na základě zákona č. 359/1999 Sb</w:t>
      </w:r>
      <w:r w:rsidR="00EB023F">
        <w:rPr>
          <w:rFonts w:ascii="Arial" w:hAnsi="Arial" w:cs="Arial"/>
        </w:rPr>
        <w:t>., o sociálně právní ochraně dětí,</w:t>
      </w:r>
      <w:r>
        <w:rPr>
          <w:rFonts w:ascii="Arial" w:hAnsi="Arial" w:cs="Arial"/>
        </w:rPr>
        <w:t xml:space="preserve"> </w:t>
      </w:r>
      <w:r w:rsidR="00EB023F">
        <w:rPr>
          <w:rFonts w:ascii="Arial" w:hAnsi="Arial" w:cs="Arial"/>
        </w:rPr>
        <w:t>ve znění pozdějších předpisů,</w:t>
      </w:r>
      <w:r>
        <w:rPr>
          <w:rFonts w:ascii="Arial" w:hAnsi="Arial" w:cs="Arial"/>
        </w:rPr>
        <w:t xml:space="preserve"> a rozhodnutí</w:t>
      </w:r>
      <w:r w:rsidR="009326AE">
        <w:rPr>
          <w:rFonts w:ascii="Arial" w:hAnsi="Arial" w:cs="Arial"/>
        </w:rPr>
        <w:t>.</w:t>
      </w:r>
    </w:p>
    <w:p w14:paraId="5832A8BA" w14:textId="77777777" w:rsidR="0021670B" w:rsidRPr="0021670B" w:rsidRDefault="0021670B" w:rsidP="0021670B">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sidRPr="0021670B">
        <w:rPr>
          <w:rFonts w:ascii="Arial" w:hAnsi="Arial" w:cs="Arial"/>
        </w:rPr>
        <w:t>Pojištění se sjednává i pro případ právním předpisem stanovené odpovědnosti pojištěného Tauferova střední odborná škola veterinární, IČO: 63459086, za škodu vzniklou jinému v souvislosti s následující činností: aktivity s využitím koní. Pro vyloučení pochybností se ujednává, že se pojištění nesjednává pro případ odpovědnosti pojištěného uvedeného v předchozí větě za škodu vzniklou jinému v souvislosti s poskytováním zdravotních služeb ve smyslu zákona č. 372/2011 Sb., o zdravotních službách, bez ohledu na to, zda-li jsou takové služby poskytovány na základě příslušného oprávnění, či nikoliv.</w:t>
      </w:r>
    </w:p>
    <w:p w14:paraId="2A7FC708" w14:textId="77777777" w:rsidR="0021670B" w:rsidRPr="0021670B" w:rsidRDefault="0021670B" w:rsidP="0021670B">
      <w:pPr>
        <w:pStyle w:val="Zhlav"/>
        <w:tabs>
          <w:tab w:val="clear" w:pos="4536"/>
          <w:tab w:val="clear" w:pos="9072"/>
        </w:tabs>
        <w:autoSpaceDE/>
        <w:autoSpaceDN/>
        <w:spacing w:before="60" w:line="240" w:lineRule="auto"/>
        <w:ind w:left="1080"/>
        <w:rPr>
          <w:rFonts w:ascii="Arial" w:hAnsi="Arial" w:cs="Arial"/>
        </w:rPr>
      </w:pPr>
      <w:r w:rsidRPr="0021670B">
        <w:rPr>
          <w:rFonts w:ascii="Arial" w:hAnsi="Arial" w:cs="Arial"/>
        </w:rPr>
        <w:t>Aktivitami s využitím koní se pro účely tohoto pojištění rozumí metoda speciální pedagogiky a sociální práce a pedagogiky, využívající prostředí určeného pro chov koní a práci s nimi, kontaktu s koněm a interakce s ním jako prostředku k motivaci, aktivizaci, výchově a vzdělávání lidí se zdravotním nebo sociálním znevýhodněním nebo se specifickými potřebami.</w:t>
      </w:r>
    </w:p>
    <w:p w14:paraId="0303411F" w14:textId="7FFB92DC" w:rsidR="0021670B" w:rsidRPr="0021670B" w:rsidRDefault="0021670B" w:rsidP="0021670B">
      <w:pPr>
        <w:pStyle w:val="Zhlav"/>
        <w:numPr>
          <w:ilvl w:val="0"/>
          <w:numId w:val="12"/>
        </w:numPr>
        <w:tabs>
          <w:tab w:val="clear" w:pos="4536"/>
          <w:tab w:val="clear" w:pos="9072"/>
          <w:tab w:val="num" w:pos="1080"/>
        </w:tabs>
        <w:autoSpaceDE/>
        <w:autoSpaceDN/>
        <w:spacing w:before="60" w:line="240" w:lineRule="auto"/>
        <w:ind w:left="1080"/>
        <w:rPr>
          <w:rFonts w:ascii="Arial" w:hAnsi="Arial" w:cs="Arial"/>
        </w:rPr>
      </w:pPr>
      <w:r w:rsidRPr="0021670B">
        <w:rPr>
          <w:rFonts w:ascii="Arial" w:hAnsi="Arial" w:cs="Arial"/>
        </w:rPr>
        <w:t xml:space="preserve"> </w:t>
      </w:r>
      <w:r w:rsidR="009326AE">
        <w:rPr>
          <w:rFonts w:ascii="Arial" w:hAnsi="Arial" w:cs="Arial"/>
        </w:rPr>
        <w:t>S</w:t>
      </w:r>
      <w:r w:rsidRPr="0021670B">
        <w:rPr>
          <w:rFonts w:ascii="Arial" w:hAnsi="Arial" w:cs="Arial"/>
        </w:rPr>
        <w:t>jednává</w:t>
      </w:r>
      <w:r w:rsidR="009326AE">
        <w:rPr>
          <w:rFonts w:ascii="Arial" w:hAnsi="Arial" w:cs="Arial"/>
        </w:rPr>
        <w:t xml:space="preserve"> se</w:t>
      </w:r>
      <w:r w:rsidRPr="0021670B">
        <w:rPr>
          <w:rFonts w:ascii="Arial" w:hAnsi="Arial" w:cs="Arial"/>
        </w:rPr>
        <w:t xml:space="preserve"> pojištění odpovědnosti za škodu na majetku nebo na zdraví, kterou způsobí osoba vykonávající veřejnou službu ve prospěch pojištěného nebo která bude takové osobě při výkonu veřejné služby způsobena.</w:t>
      </w:r>
    </w:p>
    <w:p w14:paraId="2EE5F31E" w14:textId="77777777" w:rsidR="0021670B" w:rsidRPr="0021670B" w:rsidRDefault="0021670B" w:rsidP="0021670B">
      <w:pPr>
        <w:pStyle w:val="Zhlav"/>
        <w:tabs>
          <w:tab w:val="clear" w:pos="4536"/>
          <w:tab w:val="clear" w:pos="9072"/>
        </w:tabs>
        <w:autoSpaceDE/>
        <w:autoSpaceDN/>
        <w:spacing w:before="60" w:line="240" w:lineRule="auto"/>
        <w:ind w:left="1080"/>
        <w:rPr>
          <w:rFonts w:ascii="Arial" w:hAnsi="Arial" w:cs="Arial"/>
        </w:rPr>
      </w:pPr>
      <w:r w:rsidRPr="0021670B">
        <w:rPr>
          <w:rFonts w:ascii="Arial" w:hAnsi="Arial" w:cs="Arial"/>
        </w:rPr>
        <w:t>Pro účely tohoto pojištění odpovědnosti z výkonu veřejné služby je pojištěným také:</w:t>
      </w:r>
    </w:p>
    <w:p w14:paraId="46AC89DC" w14:textId="77777777" w:rsidR="0021670B" w:rsidRPr="0021670B" w:rsidRDefault="0021670B" w:rsidP="0021670B">
      <w:pPr>
        <w:pStyle w:val="Zhlav"/>
        <w:numPr>
          <w:ilvl w:val="0"/>
          <w:numId w:val="17"/>
        </w:numPr>
        <w:tabs>
          <w:tab w:val="clear" w:pos="4536"/>
          <w:tab w:val="clear" w:pos="9072"/>
        </w:tabs>
        <w:autoSpaceDE/>
        <w:autoSpaceDN/>
        <w:spacing w:before="60" w:line="240" w:lineRule="auto"/>
        <w:rPr>
          <w:rFonts w:ascii="Arial" w:hAnsi="Arial" w:cs="Arial"/>
        </w:rPr>
      </w:pPr>
      <w:r w:rsidRPr="0021670B">
        <w:rPr>
          <w:rFonts w:ascii="Arial" w:hAnsi="Arial" w:cs="Arial"/>
        </w:rPr>
        <w:t>Úřad práce České republiky (Česká republika),</w:t>
      </w:r>
    </w:p>
    <w:p w14:paraId="6431A419" w14:textId="77777777" w:rsidR="0021670B" w:rsidRPr="0021670B" w:rsidRDefault="0021670B" w:rsidP="0021670B">
      <w:pPr>
        <w:pStyle w:val="Zhlav"/>
        <w:numPr>
          <w:ilvl w:val="0"/>
          <w:numId w:val="17"/>
        </w:numPr>
        <w:tabs>
          <w:tab w:val="clear" w:pos="4536"/>
          <w:tab w:val="clear" w:pos="9072"/>
        </w:tabs>
        <w:autoSpaceDE/>
        <w:autoSpaceDN/>
        <w:spacing w:before="60" w:line="240" w:lineRule="auto"/>
        <w:rPr>
          <w:rFonts w:ascii="Arial" w:hAnsi="Arial" w:cs="Arial"/>
        </w:rPr>
      </w:pPr>
      <w:r w:rsidRPr="0021670B">
        <w:rPr>
          <w:rFonts w:ascii="Arial" w:hAnsi="Arial" w:cs="Arial"/>
        </w:rPr>
        <w:t>osoba vykonávající veřejnou službu ve prospěch pojištěného, na kterého se vztahuje toto pojištění odpovědnosti z výkonu veřejné služby.</w:t>
      </w:r>
    </w:p>
    <w:p w14:paraId="5F71317D" w14:textId="77777777" w:rsidR="0021670B" w:rsidRPr="0021670B" w:rsidRDefault="0021670B" w:rsidP="0021670B">
      <w:pPr>
        <w:pStyle w:val="Zhlav"/>
        <w:tabs>
          <w:tab w:val="clear" w:pos="4536"/>
          <w:tab w:val="clear" w:pos="9072"/>
        </w:tabs>
        <w:autoSpaceDE/>
        <w:autoSpaceDN/>
        <w:spacing w:before="60" w:line="240" w:lineRule="auto"/>
        <w:ind w:left="1080"/>
        <w:rPr>
          <w:rFonts w:ascii="Arial" w:hAnsi="Arial" w:cs="Arial"/>
        </w:rPr>
      </w:pPr>
      <w:r w:rsidRPr="0021670B">
        <w:rPr>
          <w:rFonts w:ascii="Arial" w:hAnsi="Arial" w:cs="Arial"/>
        </w:rPr>
        <w:t xml:space="preserve">     Sublimit plnění činí 10 000 000 Kč.</w:t>
      </w:r>
    </w:p>
    <w:p w14:paraId="14848385" w14:textId="77777777" w:rsidR="00B44792" w:rsidRDefault="0021670B" w:rsidP="00400FFC">
      <w:pPr>
        <w:pStyle w:val="Zhlav"/>
        <w:tabs>
          <w:tab w:val="clear" w:pos="4536"/>
          <w:tab w:val="clear" w:pos="9072"/>
        </w:tabs>
        <w:autoSpaceDE/>
        <w:autoSpaceDN/>
        <w:spacing w:before="60" w:line="240" w:lineRule="auto"/>
        <w:ind w:left="1080"/>
      </w:pPr>
      <w:r w:rsidRPr="0021670B">
        <w:rPr>
          <w:rFonts w:ascii="Arial" w:hAnsi="Arial" w:cs="Arial"/>
        </w:rPr>
        <w:t xml:space="preserve">     Spoluúčast pojištěného pro toto pojistné nebezpečí činí 1 000 Kč</w:t>
      </w:r>
      <w:r w:rsidR="009326AE">
        <w:rPr>
          <w:rFonts w:ascii="Arial" w:hAnsi="Arial" w:cs="Arial"/>
        </w:rPr>
        <w:t>.</w:t>
      </w:r>
    </w:p>
    <w:p w14:paraId="3AB64980" w14:textId="77777777" w:rsidR="00B44792" w:rsidRDefault="00B44792" w:rsidP="00B44792">
      <w:pPr>
        <w:pStyle w:val="Nadpis1"/>
        <w:numPr>
          <w:ilvl w:val="0"/>
          <w:numId w:val="3"/>
        </w:numPr>
      </w:pPr>
      <w:bookmarkStart w:id="13" w:name="_Toc176074471"/>
      <w:r>
        <w:t>Ostatní ujednání</w:t>
      </w:r>
      <w:bookmarkEnd w:id="13"/>
    </w:p>
    <w:p w14:paraId="7E2E9893" w14:textId="77777777" w:rsidR="00B44792" w:rsidRDefault="00B44792" w:rsidP="00B44792">
      <w:pPr>
        <w:pStyle w:val="Zkladntextodsazen"/>
        <w:numPr>
          <w:ilvl w:val="0"/>
          <w:numId w:val="13"/>
        </w:numPr>
        <w:tabs>
          <w:tab w:val="num" w:pos="1080"/>
        </w:tabs>
        <w:spacing w:before="60"/>
        <w:ind w:left="1080" w:right="-142"/>
        <w:rPr>
          <w:rFonts w:ascii="Arial" w:hAnsi="Arial" w:cs="Arial"/>
        </w:rPr>
      </w:pPr>
      <w:r>
        <w:rPr>
          <w:rFonts w:ascii="Arial" w:hAnsi="Arial" w:cs="Arial"/>
        </w:rPr>
        <w:t>Pro účely tohoto pojištění se za jinou osobu považují i osoby uvedené v </w:t>
      </w:r>
      <w:r>
        <w:rPr>
          <w:rFonts w:ascii="Arial" w:hAnsi="Arial" w:cs="Arial"/>
          <w:color w:val="000000"/>
        </w:rPr>
        <w:t>této</w:t>
      </w:r>
      <w:r>
        <w:rPr>
          <w:rFonts w:ascii="Arial" w:hAnsi="Arial" w:cs="Arial"/>
          <w:color w:val="FF0000"/>
        </w:rPr>
        <w:t xml:space="preserve"> </w:t>
      </w:r>
      <w:r>
        <w:rPr>
          <w:rFonts w:ascii="Arial" w:hAnsi="Arial" w:cs="Arial"/>
        </w:rPr>
        <w:t xml:space="preserve">pojistné smlouvě. </w:t>
      </w:r>
    </w:p>
    <w:p w14:paraId="5CA040E1" w14:textId="77777777" w:rsidR="00B44792" w:rsidRDefault="00B44792" w:rsidP="00B44792">
      <w:pPr>
        <w:pStyle w:val="Zkladntextodsazen2"/>
        <w:numPr>
          <w:ilvl w:val="0"/>
          <w:numId w:val="13"/>
        </w:numPr>
        <w:tabs>
          <w:tab w:val="num" w:pos="1080"/>
        </w:tabs>
        <w:spacing w:before="60"/>
        <w:ind w:left="1080"/>
        <w:rPr>
          <w:rFonts w:ascii="Arial" w:hAnsi="Arial" w:cs="Arial"/>
        </w:rPr>
      </w:pPr>
      <w:r>
        <w:rPr>
          <w:rFonts w:ascii="Arial" w:hAnsi="Arial" w:cs="Arial"/>
        </w:rPr>
        <w:t>Ujednává se, že se pojištění vztahuje i na:</w:t>
      </w:r>
    </w:p>
    <w:p w14:paraId="0AE5CCC9" w14:textId="77777777" w:rsidR="00B44792" w:rsidRDefault="00B44792" w:rsidP="00B44792">
      <w:pPr>
        <w:pStyle w:val="Zkladntextodsazen2"/>
        <w:numPr>
          <w:ilvl w:val="0"/>
          <w:numId w:val="10"/>
        </w:numPr>
        <w:tabs>
          <w:tab w:val="num" w:pos="1440"/>
        </w:tabs>
        <w:ind w:left="1434" w:hanging="357"/>
        <w:rPr>
          <w:rFonts w:ascii="Arial" w:hAnsi="Arial" w:cs="Arial"/>
        </w:rPr>
      </w:pPr>
      <w:r>
        <w:rPr>
          <w:rFonts w:ascii="Arial" w:hAnsi="Arial" w:cs="Arial"/>
        </w:rPr>
        <w:t>odpovědnost za škodu</w:t>
      </w:r>
      <w:r w:rsidR="00AB2968">
        <w:rPr>
          <w:rFonts w:ascii="Arial" w:hAnsi="Arial" w:cs="Arial"/>
        </w:rPr>
        <w:t xml:space="preserve"> či </w:t>
      </w:r>
      <w:r w:rsidR="00423AA1">
        <w:rPr>
          <w:rFonts w:ascii="Arial" w:hAnsi="Arial" w:cs="Arial"/>
        </w:rPr>
        <w:t>újmu,</w:t>
      </w:r>
    </w:p>
    <w:p w14:paraId="2CEDF4B7" w14:textId="713E0E69" w:rsidR="00B44792" w:rsidRDefault="00B44792" w:rsidP="00B44792">
      <w:pPr>
        <w:pStyle w:val="Zkladntextodsazen2"/>
        <w:spacing w:before="60"/>
        <w:ind w:left="1080" w:firstLine="0"/>
        <w:rPr>
          <w:rFonts w:ascii="Arial" w:hAnsi="Arial" w:cs="Arial"/>
        </w:rPr>
      </w:pPr>
      <w:r>
        <w:rPr>
          <w:rFonts w:ascii="Arial" w:hAnsi="Arial" w:cs="Arial"/>
        </w:rPr>
        <w:t>vzniklou subjektu, ve kterém má pojistník nebo pojištěný majetkovou účast.</w:t>
      </w:r>
    </w:p>
    <w:p w14:paraId="3FD1E513" w14:textId="77777777" w:rsidR="00B44792" w:rsidRDefault="00B44792" w:rsidP="00B44792">
      <w:pPr>
        <w:numPr>
          <w:ilvl w:val="0"/>
          <w:numId w:val="13"/>
        </w:numPr>
        <w:tabs>
          <w:tab w:val="num" w:pos="1080"/>
        </w:tabs>
        <w:spacing w:before="60"/>
        <w:ind w:left="1080"/>
        <w:rPr>
          <w:rFonts w:cs="Arial"/>
          <w:szCs w:val="22"/>
        </w:rPr>
      </w:pPr>
      <w:r>
        <w:rPr>
          <w:rFonts w:cs="Arial"/>
          <w:szCs w:val="22"/>
        </w:rPr>
        <w:t>Ujednává se, že pokud pojistitel najme externí společnost za účelem zjišťování škod a přípravy dokumentace ke škodní události, vyžádá si předchozí souhlas pojistníka. Pokud pojistník souhlas neudělí, provede pojistitel šetření samostatně.</w:t>
      </w:r>
    </w:p>
    <w:p w14:paraId="724DE683" w14:textId="77777777" w:rsidR="00B44792" w:rsidRDefault="00B44792" w:rsidP="00B44792">
      <w:pPr>
        <w:numPr>
          <w:ilvl w:val="0"/>
          <w:numId w:val="13"/>
        </w:numPr>
        <w:tabs>
          <w:tab w:val="num" w:pos="1080"/>
        </w:tabs>
        <w:spacing w:before="60"/>
        <w:ind w:left="1080"/>
        <w:rPr>
          <w:rFonts w:cs="Arial"/>
          <w:color w:val="000000"/>
          <w:szCs w:val="22"/>
        </w:rPr>
      </w:pPr>
      <w:r>
        <w:rPr>
          <w:rFonts w:cs="Arial"/>
          <w:szCs w:val="22"/>
        </w:rPr>
        <w:t xml:space="preserve">Platby pojistného budou hrazeny na účet zplnomocněného </w:t>
      </w:r>
      <w:r>
        <w:rPr>
          <w:rFonts w:cs="Arial"/>
          <w:color w:val="000000"/>
          <w:szCs w:val="22"/>
        </w:rPr>
        <w:t>makléře, neurčí–li pojistník jinak.</w:t>
      </w:r>
    </w:p>
    <w:p w14:paraId="31911CE9" w14:textId="77777777" w:rsidR="00B44792" w:rsidRDefault="00B44792" w:rsidP="00B44792">
      <w:pPr>
        <w:tabs>
          <w:tab w:val="num" w:pos="1080"/>
        </w:tabs>
        <w:spacing w:before="60"/>
        <w:rPr>
          <w:rFonts w:cs="Arial"/>
          <w:color w:val="000000"/>
          <w:szCs w:val="22"/>
        </w:rPr>
      </w:pPr>
    </w:p>
    <w:p w14:paraId="270EF116" w14:textId="77777777" w:rsidR="00B44792" w:rsidRDefault="00B44792" w:rsidP="00B44792">
      <w:pPr>
        <w:tabs>
          <w:tab w:val="num" w:pos="1080"/>
        </w:tabs>
        <w:spacing w:before="60"/>
        <w:rPr>
          <w:rFonts w:cs="Arial"/>
          <w:color w:val="000000"/>
          <w:szCs w:val="22"/>
        </w:rPr>
      </w:pPr>
    </w:p>
    <w:p w14:paraId="034395B0" w14:textId="77777777" w:rsidR="00B44792" w:rsidRDefault="00B44792" w:rsidP="00B44792">
      <w:pPr>
        <w:pStyle w:val="Nadpis1"/>
        <w:numPr>
          <w:ilvl w:val="0"/>
          <w:numId w:val="3"/>
        </w:numPr>
      </w:pPr>
      <w:bookmarkStart w:id="14" w:name="_Toc176074472"/>
      <w:r>
        <w:t>Výklad pojmů</w:t>
      </w:r>
      <w:bookmarkEnd w:id="14"/>
    </w:p>
    <w:p w14:paraId="52D2395C" w14:textId="77777777" w:rsidR="00B44792" w:rsidRDefault="00B44792" w:rsidP="00B44792">
      <w:pPr>
        <w:pStyle w:val="Zkladntext3"/>
        <w:spacing w:before="60"/>
        <w:ind w:left="720"/>
        <w:rPr>
          <w:rFonts w:ascii="Arial" w:hAnsi="Arial" w:cs="Arial"/>
          <w:b/>
          <w:bCs/>
          <w:color w:val="000000"/>
        </w:rPr>
      </w:pPr>
      <w:r>
        <w:rPr>
          <w:rFonts w:ascii="Arial" w:hAnsi="Arial" w:cs="Arial"/>
          <w:color w:val="000000"/>
          <w:u w:val="single"/>
        </w:rPr>
        <w:t>Pojistným obdobím</w:t>
      </w:r>
      <w:r>
        <w:rPr>
          <w:rFonts w:ascii="Arial" w:hAnsi="Arial" w:cs="Arial"/>
          <w:color w:val="000000"/>
        </w:rPr>
        <w:t xml:space="preserve"> je doba 12 měsíců.</w:t>
      </w:r>
    </w:p>
    <w:p w14:paraId="65EF4FA5" w14:textId="77777777" w:rsidR="00B44792" w:rsidRDefault="00B44792" w:rsidP="00B44792">
      <w:pPr>
        <w:pStyle w:val="Zkladntext3"/>
        <w:spacing w:before="60"/>
        <w:ind w:left="720"/>
        <w:rPr>
          <w:rFonts w:ascii="Arial" w:hAnsi="Arial" w:cs="Arial"/>
        </w:rPr>
      </w:pPr>
      <w:r>
        <w:rPr>
          <w:rFonts w:ascii="Arial" w:hAnsi="Arial" w:cs="Arial"/>
          <w:u w:val="single"/>
        </w:rPr>
        <w:lastRenderedPageBreak/>
        <w:t>Pojistný rok</w:t>
      </w:r>
      <w:r>
        <w:rPr>
          <w:rFonts w:ascii="Arial" w:hAnsi="Arial" w:cs="Arial"/>
        </w:rPr>
        <w:t xml:space="preserve"> je doba 12 měsíců; první pojistný rok začíná dnem určeným v pojistné smlouvě jako počátek pojištění.</w:t>
      </w:r>
    </w:p>
    <w:p w14:paraId="28CF59E4" w14:textId="77777777" w:rsidR="00B44792" w:rsidRDefault="00B44792" w:rsidP="00B44792">
      <w:pPr>
        <w:widowControl w:val="0"/>
        <w:spacing w:before="60"/>
        <w:ind w:left="720"/>
        <w:rPr>
          <w:rFonts w:cs="Arial"/>
          <w:szCs w:val="22"/>
        </w:rPr>
      </w:pPr>
      <w:r>
        <w:rPr>
          <w:rFonts w:cs="Arial"/>
          <w:szCs w:val="22"/>
          <w:u w:val="single"/>
        </w:rPr>
        <w:t>Předmětem pojištění</w:t>
      </w:r>
      <w:r>
        <w:rPr>
          <w:rFonts w:cs="Arial"/>
          <w:szCs w:val="22"/>
        </w:rPr>
        <w:t xml:space="preserve"> jsou jednotlivé věci movité a nemovité nebo jejich soubory.</w:t>
      </w:r>
    </w:p>
    <w:p w14:paraId="35B8375A" w14:textId="77777777" w:rsidR="00B44792" w:rsidRDefault="00B44792" w:rsidP="00B44792">
      <w:pPr>
        <w:spacing w:before="60"/>
        <w:ind w:left="720"/>
        <w:rPr>
          <w:rFonts w:cs="Arial"/>
          <w:szCs w:val="22"/>
        </w:rPr>
      </w:pPr>
      <w:r>
        <w:rPr>
          <w:rFonts w:cs="Arial"/>
          <w:szCs w:val="22"/>
          <w:u w:val="single"/>
        </w:rPr>
        <w:t>Pojistná hodnota</w:t>
      </w:r>
      <w:r>
        <w:rPr>
          <w:rFonts w:cs="Arial"/>
          <w:szCs w:val="22"/>
        </w:rPr>
        <w:t xml:space="preserve"> je hodnota věci rozhodná pro stanovení pojistné částky.</w:t>
      </w:r>
    </w:p>
    <w:p w14:paraId="77304205" w14:textId="77777777" w:rsidR="00B44792" w:rsidRDefault="00B44792" w:rsidP="00B44792">
      <w:pPr>
        <w:widowControl w:val="0"/>
        <w:spacing w:before="60"/>
        <w:ind w:left="720"/>
        <w:rPr>
          <w:rFonts w:cs="Arial"/>
          <w:szCs w:val="22"/>
        </w:rPr>
      </w:pPr>
      <w:r>
        <w:rPr>
          <w:rFonts w:cs="Arial"/>
          <w:szCs w:val="22"/>
          <w:u w:val="single"/>
        </w:rPr>
        <w:t>Pojistná částka</w:t>
      </w:r>
      <w:r>
        <w:rPr>
          <w:rFonts w:cs="Arial"/>
          <w:szCs w:val="22"/>
        </w:rPr>
        <w:t xml:space="preserve"> je částka jako nejvyšší možná hranice plnění pojistitele za jednu a všechny pojistné události, které nastaly v jednom pojistném roce. </w:t>
      </w:r>
    </w:p>
    <w:p w14:paraId="1161C137" w14:textId="77777777" w:rsidR="00B44792" w:rsidRDefault="00B44792" w:rsidP="00B44792">
      <w:pPr>
        <w:widowControl w:val="0"/>
        <w:spacing w:before="60"/>
        <w:ind w:left="720"/>
        <w:rPr>
          <w:rFonts w:cs="Arial"/>
          <w:szCs w:val="22"/>
        </w:rPr>
      </w:pPr>
      <w:r>
        <w:rPr>
          <w:rFonts w:cs="Arial"/>
          <w:szCs w:val="22"/>
          <w:u w:val="single"/>
        </w:rPr>
        <w:t>Hranice pojistného plnění</w:t>
      </w:r>
      <w:r>
        <w:rPr>
          <w:rFonts w:cs="Arial"/>
          <w:szCs w:val="22"/>
        </w:rPr>
        <w:t xml:space="preserve"> se vztahuje na jednu pojistnou událost.</w:t>
      </w:r>
    </w:p>
    <w:p w14:paraId="6E3E1725" w14:textId="77777777" w:rsidR="00B44792" w:rsidRDefault="00B44792" w:rsidP="00B44792">
      <w:pPr>
        <w:pStyle w:val="Zkladntextodsazen"/>
        <w:spacing w:before="60"/>
        <w:ind w:left="720"/>
        <w:rPr>
          <w:rFonts w:ascii="Arial" w:hAnsi="Arial" w:cs="Arial"/>
        </w:rPr>
      </w:pPr>
      <w:r>
        <w:rPr>
          <w:rFonts w:ascii="Arial" w:hAnsi="Arial" w:cs="Arial"/>
          <w:u w:val="single"/>
        </w:rPr>
        <w:t>Pojištění na první riziko</w:t>
      </w:r>
      <w:r>
        <w:rPr>
          <w:rFonts w:ascii="Arial" w:hAnsi="Arial" w:cs="Arial"/>
        </w:rPr>
        <w:t xml:space="preserve"> je pojistná částka stanovená pojistníkem (pojištěným). Pojistitel tuto pojistnou částku akceptuje a nebude namítat podpojištění.</w:t>
      </w:r>
    </w:p>
    <w:p w14:paraId="5F0AE12C" w14:textId="77777777" w:rsidR="00B44792" w:rsidRDefault="00B44792" w:rsidP="00B44792">
      <w:pPr>
        <w:widowControl w:val="0"/>
        <w:spacing w:before="60"/>
        <w:ind w:left="720"/>
        <w:rPr>
          <w:rFonts w:cs="Arial"/>
          <w:szCs w:val="22"/>
        </w:rPr>
      </w:pPr>
      <w:r>
        <w:rPr>
          <w:rFonts w:cs="Arial"/>
          <w:szCs w:val="22"/>
          <w:u w:val="single"/>
        </w:rPr>
        <w:t>Limit plnění</w:t>
      </w:r>
      <w:r>
        <w:rPr>
          <w:rFonts w:cs="Arial"/>
          <w:szCs w:val="22"/>
        </w:rPr>
        <w:t xml:space="preserve"> je částka jako nejvyšší možná hranice plnění pojistitele při jedné </w:t>
      </w:r>
      <w:r w:rsidR="00423AA1">
        <w:rPr>
          <w:rFonts w:cs="Arial"/>
          <w:szCs w:val="22"/>
        </w:rPr>
        <w:t>pojistné události</w:t>
      </w:r>
      <w:r>
        <w:rPr>
          <w:rFonts w:cs="Arial"/>
          <w:szCs w:val="22"/>
        </w:rPr>
        <w:t>, za jednu a všechny pojistné události, které nastaly v jednom pojistném roce.</w:t>
      </w:r>
    </w:p>
    <w:p w14:paraId="3F6D4334" w14:textId="77777777" w:rsidR="00B44792" w:rsidRDefault="00B44792" w:rsidP="00B44792">
      <w:pPr>
        <w:spacing w:before="60"/>
        <w:ind w:left="720"/>
        <w:rPr>
          <w:rFonts w:cs="Arial"/>
          <w:szCs w:val="22"/>
        </w:rPr>
      </w:pPr>
      <w:r>
        <w:rPr>
          <w:rFonts w:cs="Arial"/>
          <w:szCs w:val="22"/>
          <w:u w:val="single"/>
        </w:rPr>
        <w:t>Pojistnou událostí</w:t>
      </w:r>
      <w:r>
        <w:rPr>
          <w:rFonts w:cs="Arial"/>
          <w:szCs w:val="22"/>
        </w:rPr>
        <w:t xml:space="preserve"> je nahodilá skutečnost blíže označená v pojistné smlouvě, se kterou je spojen vznik povinnosti pojistitele poskytnout pojistné plnění.</w:t>
      </w:r>
    </w:p>
    <w:p w14:paraId="5DB80325" w14:textId="77777777" w:rsidR="00B44792" w:rsidRDefault="00B44792" w:rsidP="00B44792">
      <w:pPr>
        <w:spacing w:before="60"/>
        <w:ind w:left="720"/>
        <w:rPr>
          <w:rFonts w:cs="Arial"/>
          <w:szCs w:val="22"/>
        </w:rPr>
      </w:pPr>
      <w:r>
        <w:rPr>
          <w:rFonts w:cs="Arial"/>
          <w:szCs w:val="22"/>
          <w:u w:val="single"/>
        </w:rPr>
        <w:t>Škodnou událostí</w:t>
      </w:r>
      <w:r>
        <w:rPr>
          <w:rFonts w:cs="Arial"/>
          <w:szCs w:val="22"/>
        </w:rPr>
        <w:t xml:space="preserve"> je skutečnost, ze které vznikla škoda a která by mohla být </w:t>
      </w:r>
      <w:r w:rsidR="00423AA1">
        <w:rPr>
          <w:rFonts w:cs="Arial"/>
          <w:szCs w:val="22"/>
        </w:rPr>
        <w:t>důvodem vzniku</w:t>
      </w:r>
      <w:r>
        <w:rPr>
          <w:rFonts w:cs="Arial"/>
          <w:szCs w:val="22"/>
        </w:rPr>
        <w:t xml:space="preserve"> práva na pojistné plnění. </w:t>
      </w:r>
    </w:p>
    <w:p w14:paraId="775D99CD" w14:textId="77777777" w:rsidR="00B44792" w:rsidRDefault="00B44792" w:rsidP="00B44792">
      <w:pPr>
        <w:spacing w:before="60"/>
        <w:ind w:left="720"/>
        <w:rPr>
          <w:rFonts w:cs="Arial"/>
          <w:szCs w:val="22"/>
        </w:rPr>
      </w:pPr>
      <w:r>
        <w:rPr>
          <w:rFonts w:cs="Arial"/>
          <w:szCs w:val="22"/>
          <w:u w:val="single"/>
        </w:rPr>
        <w:t>Pojištěním škodovým</w:t>
      </w:r>
      <w:r>
        <w:rPr>
          <w:rFonts w:cs="Arial"/>
          <w:szCs w:val="22"/>
        </w:rPr>
        <w:t xml:space="preserve"> se rozumí pojištění, jehož účelem je náhrada škody vzniklé v důsledku pojistné události.</w:t>
      </w:r>
    </w:p>
    <w:p w14:paraId="5CE234DF" w14:textId="77777777" w:rsidR="00B44792" w:rsidRDefault="00B44792" w:rsidP="00B44792">
      <w:pPr>
        <w:spacing w:before="60"/>
        <w:ind w:left="720"/>
        <w:rPr>
          <w:rFonts w:cs="Arial"/>
          <w:szCs w:val="22"/>
        </w:rPr>
      </w:pPr>
      <w:r>
        <w:rPr>
          <w:rFonts w:cs="Arial"/>
          <w:szCs w:val="22"/>
          <w:u w:val="single"/>
        </w:rPr>
        <w:t xml:space="preserve">Za jednu pojistnou </w:t>
      </w:r>
      <w:r w:rsidR="00423AA1">
        <w:rPr>
          <w:rFonts w:cs="Arial"/>
          <w:szCs w:val="22"/>
          <w:u w:val="single"/>
        </w:rPr>
        <w:t>událost</w:t>
      </w:r>
      <w:r w:rsidR="00423AA1">
        <w:rPr>
          <w:rFonts w:cs="Arial"/>
          <w:szCs w:val="22"/>
        </w:rPr>
        <w:t xml:space="preserve"> se</w:t>
      </w:r>
      <w:r>
        <w:rPr>
          <w:rFonts w:cs="Arial"/>
          <w:szCs w:val="22"/>
        </w:rPr>
        <w:t xml:space="preserve"> považuje pojistná událost vzniklá z jedné a stejné příčiny. </w:t>
      </w:r>
    </w:p>
    <w:p w14:paraId="6D134253" w14:textId="77777777" w:rsidR="00B44792" w:rsidRDefault="00B44792" w:rsidP="00B44792">
      <w:pPr>
        <w:spacing w:before="60"/>
        <w:ind w:left="720"/>
        <w:rPr>
          <w:rFonts w:cs="Arial"/>
          <w:szCs w:val="22"/>
        </w:rPr>
      </w:pPr>
      <w:r>
        <w:rPr>
          <w:rFonts w:cs="Arial"/>
          <w:szCs w:val="22"/>
          <w:u w:val="single"/>
        </w:rPr>
        <w:t>Spoluúčast</w:t>
      </w:r>
      <w:r>
        <w:rPr>
          <w:rFonts w:cs="Arial"/>
          <w:szCs w:val="22"/>
        </w:rPr>
        <w:t xml:space="preserve"> je částka dohodnutá v pojistné smlouvě, kterou se oprávněná osoba podílí na pojistném plnění. Spoluúčast je vyjádřena pevnou částkou v Kč (není-li ve smlouvě uvedeno jinak, není spoluúčast sjednána, tj. činí 0,- Kč).</w:t>
      </w:r>
    </w:p>
    <w:p w14:paraId="16E458E6" w14:textId="77777777" w:rsidR="00B44792" w:rsidRDefault="00B44792" w:rsidP="00B44792">
      <w:pPr>
        <w:pStyle w:val="Zkladntextodsazen"/>
        <w:spacing w:before="60"/>
        <w:ind w:left="720"/>
        <w:rPr>
          <w:rFonts w:ascii="Arial" w:hAnsi="Arial" w:cs="Arial"/>
        </w:rPr>
      </w:pPr>
      <w:r>
        <w:rPr>
          <w:rFonts w:ascii="Arial" w:hAnsi="Arial" w:cs="Arial"/>
          <w:u w:val="single"/>
        </w:rPr>
        <w:t>Cizí věci převzaté</w:t>
      </w:r>
      <w:r>
        <w:rPr>
          <w:rFonts w:ascii="Arial" w:hAnsi="Arial" w:cs="Arial"/>
        </w:rPr>
        <w:t xml:space="preserve"> jsou věci, které pojištěný na základě písemné smlouvy převzal za účelem provedení objednané činnosti.</w:t>
      </w:r>
    </w:p>
    <w:p w14:paraId="51333503" w14:textId="77777777" w:rsidR="00B44792" w:rsidRDefault="00B44792" w:rsidP="00B44792">
      <w:pPr>
        <w:pStyle w:val="Zkladntextodsazen"/>
        <w:spacing w:before="60"/>
        <w:ind w:left="720"/>
        <w:rPr>
          <w:rFonts w:ascii="Arial" w:hAnsi="Arial" w:cs="Arial"/>
        </w:rPr>
      </w:pPr>
      <w:r>
        <w:rPr>
          <w:rFonts w:ascii="Arial" w:hAnsi="Arial" w:cs="Arial"/>
          <w:u w:val="single"/>
        </w:rPr>
        <w:t>Cizí věci užívané</w:t>
      </w:r>
      <w:r>
        <w:rPr>
          <w:rFonts w:ascii="Arial" w:hAnsi="Arial" w:cs="Arial"/>
        </w:rPr>
        <w:t xml:space="preserve"> jsou věci, které pojištěný po právu užívá na základě smlouvy.</w:t>
      </w:r>
    </w:p>
    <w:p w14:paraId="34859C8A" w14:textId="77777777" w:rsidR="00DE7775" w:rsidRDefault="00B44792" w:rsidP="00C955DC">
      <w:pPr>
        <w:pStyle w:val="Zkladntextodsazen"/>
        <w:spacing w:before="60"/>
        <w:ind w:left="720"/>
        <w:rPr>
          <w:rFonts w:ascii="Arial" w:hAnsi="Arial" w:cs="Arial"/>
        </w:rPr>
      </w:pPr>
      <w:r>
        <w:rPr>
          <w:rFonts w:ascii="Arial" w:hAnsi="Arial" w:cs="Arial"/>
          <w:u w:val="single"/>
        </w:rPr>
        <w:t>Cizí věc</w:t>
      </w:r>
      <w:r>
        <w:rPr>
          <w:rFonts w:ascii="Arial" w:hAnsi="Arial" w:cs="Arial"/>
        </w:rPr>
        <w:t xml:space="preserve">, je věc, která je pojištěným nebo pojistníkem oprávněně užívaná na základě písemné smlouvy. </w:t>
      </w:r>
    </w:p>
    <w:p w14:paraId="04D33BEB" w14:textId="77777777" w:rsidR="00B44792" w:rsidRDefault="00B44792" w:rsidP="00B44792">
      <w:pPr>
        <w:pStyle w:val="Zkladntextodsazen"/>
        <w:spacing w:before="60"/>
        <w:rPr>
          <w:rFonts w:ascii="Arial" w:hAnsi="Arial" w:cs="Arial"/>
        </w:rPr>
      </w:pPr>
    </w:p>
    <w:p w14:paraId="36AE5B6C" w14:textId="77777777" w:rsidR="00B44792" w:rsidRDefault="00B44792" w:rsidP="00B44792">
      <w:pPr>
        <w:pStyle w:val="Nadpis1"/>
        <w:numPr>
          <w:ilvl w:val="0"/>
          <w:numId w:val="3"/>
        </w:numPr>
      </w:pPr>
      <w:bookmarkStart w:id="15" w:name="_Toc176074473"/>
      <w:r>
        <w:t>Místo pojištění</w:t>
      </w:r>
      <w:bookmarkEnd w:id="15"/>
    </w:p>
    <w:p w14:paraId="59F608C9" w14:textId="77777777" w:rsidR="00B44792" w:rsidRDefault="00B44792" w:rsidP="00B44792">
      <w:pPr>
        <w:ind w:left="720"/>
        <w:rPr>
          <w:rFonts w:cs="Arial"/>
          <w:szCs w:val="22"/>
        </w:rPr>
      </w:pPr>
      <w:r>
        <w:rPr>
          <w:rFonts w:cs="Arial"/>
          <w:szCs w:val="22"/>
        </w:rPr>
        <w:t xml:space="preserve">Pojistitel akceptuje pro sjednání pojistné smlouvy jako místo pojištění území </w:t>
      </w:r>
      <w:r w:rsidR="00423AA1">
        <w:rPr>
          <w:rFonts w:cs="Arial"/>
          <w:szCs w:val="22"/>
        </w:rPr>
        <w:t>Evropy, pokud</w:t>
      </w:r>
      <w:r>
        <w:rPr>
          <w:rFonts w:cs="Arial"/>
          <w:szCs w:val="22"/>
        </w:rPr>
        <w:t xml:space="preserve"> není v těchto obchodních podmínkách specifikováno jinak </w:t>
      </w:r>
    </w:p>
    <w:p w14:paraId="4EBBFCF5" w14:textId="77777777" w:rsidR="00B44792" w:rsidRDefault="00B44792" w:rsidP="00B44792">
      <w:pPr>
        <w:ind w:left="720"/>
        <w:rPr>
          <w:rFonts w:cs="Arial"/>
          <w:szCs w:val="22"/>
        </w:rPr>
      </w:pPr>
    </w:p>
    <w:p w14:paraId="1CE41919" w14:textId="77777777" w:rsidR="00B44792" w:rsidRDefault="00B44792" w:rsidP="00B44792">
      <w:pPr>
        <w:pStyle w:val="Nadpis1"/>
        <w:numPr>
          <w:ilvl w:val="0"/>
          <w:numId w:val="3"/>
        </w:numPr>
      </w:pPr>
      <w:r>
        <w:t xml:space="preserve"> </w:t>
      </w:r>
      <w:bookmarkStart w:id="16" w:name="_Toc176074474"/>
      <w:r>
        <w:t>Makléřská doložka</w:t>
      </w:r>
      <w:bookmarkEnd w:id="16"/>
    </w:p>
    <w:p w14:paraId="75A3A29B" w14:textId="77777777" w:rsidR="00B44792" w:rsidRDefault="00B44792" w:rsidP="00B44792">
      <w:pPr>
        <w:pStyle w:val="Zkladntext"/>
        <w:autoSpaceDE/>
        <w:autoSpaceDN/>
        <w:spacing w:before="120"/>
        <w:ind w:left="720"/>
        <w:rPr>
          <w:rFonts w:ascii="Arial" w:hAnsi="Arial" w:cs="Arial"/>
          <w:szCs w:val="24"/>
        </w:rPr>
      </w:pPr>
      <w:r>
        <w:rPr>
          <w:rFonts w:ascii="Arial" w:hAnsi="Arial" w:cs="Arial"/>
          <w:szCs w:val="24"/>
        </w:rPr>
        <w:t>Pojištěný pověřuje pojišťovací makléřskou společnost RENOMIA, a.s. vedením (řízením) a zpracováním jeho pojistného zájmu. Obchodní styk, který se bude týkat této pojistné smlouvy, bude prováděn výhradně prostřednictvím zplnomocněného makléře. Pouze zplnomocněný makléř je oprávněn přijímat rozhodnutí smluvních partnerů. Toto pověření je odvolatelné na základě rozhodnutí pojistníka.</w:t>
      </w:r>
    </w:p>
    <w:p w14:paraId="21A1FBF0" w14:textId="5799DD39" w:rsidR="00DD28A8" w:rsidRDefault="00DD28A8" w:rsidP="00B44792">
      <w:pPr>
        <w:pStyle w:val="Zkladntext"/>
        <w:autoSpaceDE/>
        <w:autoSpaceDN/>
        <w:spacing w:before="120"/>
        <w:ind w:left="720"/>
        <w:rPr>
          <w:rFonts w:ascii="Arial" w:hAnsi="Arial" w:cs="Arial"/>
          <w:szCs w:val="24"/>
        </w:rPr>
      </w:pPr>
      <w:r>
        <w:rPr>
          <w:rFonts w:ascii="Arial" w:hAnsi="Arial" w:cs="Arial"/>
          <w:szCs w:val="24"/>
        </w:rPr>
        <w:t xml:space="preserve">Pokud v důsledku pověření vedením (řízením) a zpracováním pojistného zájmu pojištěného pojišťovací makléřskou společností RENOMIA, a.s., poskytne pojistitel tomuto zplnomocněnému makléři peněžitou úplatu, zavazuje se, že její celková výše za  dobu 48 po sobě následujících měsíců nepřekročí částku </w:t>
      </w:r>
      <w:r w:rsidR="009D62FB">
        <w:rPr>
          <w:rFonts w:ascii="Arial" w:hAnsi="Arial" w:cs="Arial"/>
          <w:szCs w:val="24"/>
        </w:rPr>
        <w:t xml:space="preserve">1.048.000 </w:t>
      </w:r>
      <w:r>
        <w:rPr>
          <w:rFonts w:ascii="Arial" w:hAnsi="Arial" w:cs="Arial"/>
          <w:szCs w:val="24"/>
        </w:rPr>
        <w:t>Kč</w:t>
      </w:r>
      <w:r w:rsidR="009D62FB">
        <w:rPr>
          <w:rFonts w:ascii="Arial" w:hAnsi="Arial" w:cs="Arial"/>
          <w:szCs w:val="24"/>
        </w:rPr>
        <w:t xml:space="preserve"> bez DPH</w:t>
      </w:r>
      <w:r>
        <w:rPr>
          <w:rFonts w:ascii="Arial" w:hAnsi="Arial" w:cs="Arial"/>
          <w:szCs w:val="24"/>
        </w:rPr>
        <w:t xml:space="preserve">. </w:t>
      </w:r>
    </w:p>
    <w:p w14:paraId="5E4AE1C1" w14:textId="77777777" w:rsidR="00B44792" w:rsidRDefault="00B44792" w:rsidP="00B44792">
      <w:pPr>
        <w:pStyle w:val="Zkladntext"/>
        <w:autoSpaceDE/>
        <w:autoSpaceDN/>
        <w:spacing w:before="120"/>
        <w:rPr>
          <w:rFonts w:ascii="Arial" w:hAnsi="Arial" w:cs="Arial"/>
          <w:szCs w:val="24"/>
        </w:rPr>
      </w:pPr>
    </w:p>
    <w:p w14:paraId="79C39276" w14:textId="77777777" w:rsidR="00B44792" w:rsidRDefault="00B44792" w:rsidP="00B44792">
      <w:pPr>
        <w:pStyle w:val="Nadpis1"/>
        <w:numPr>
          <w:ilvl w:val="0"/>
          <w:numId w:val="3"/>
        </w:numPr>
        <w:rPr>
          <w:color w:val="000000"/>
        </w:rPr>
      </w:pPr>
      <w:r>
        <w:t xml:space="preserve"> </w:t>
      </w:r>
      <w:bookmarkStart w:id="17" w:name="_Toc176074475"/>
      <w:r>
        <w:t>Změna rozsahu pojištěni</w:t>
      </w:r>
      <w:bookmarkEnd w:id="17"/>
    </w:p>
    <w:p w14:paraId="5ED6A18A" w14:textId="77777777" w:rsidR="00B44792" w:rsidRDefault="00B44792" w:rsidP="00B44792">
      <w:pPr>
        <w:pStyle w:val="Zkladntext"/>
        <w:ind w:left="720"/>
        <w:rPr>
          <w:rFonts w:ascii="Arial" w:hAnsi="Arial" w:cs="Arial"/>
          <w:color w:val="000000"/>
        </w:rPr>
      </w:pPr>
      <w:r>
        <w:rPr>
          <w:rFonts w:ascii="Arial" w:hAnsi="Arial" w:cs="Arial"/>
          <w:color w:val="000000"/>
        </w:rPr>
        <w:t xml:space="preserve">Ujednává se, že pojistník může kdykoliv dle svých pojistných potřeb změnit </w:t>
      </w:r>
      <w:r w:rsidR="00423AA1">
        <w:rPr>
          <w:rFonts w:ascii="Arial" w:hAnsi="Arial" w:cs="Arial"/>
          <w:color w:val="000000"/>
        </w:rPr>
        <w:t>rozsah pojištění</w:t>
      </w:r>
      <w:r>
        <w:rPr>
          <w:rFonts w:ascii="Arial" w:hAnsi="Arial" w:cs="Arial"/>
          <w:color w:val="000000"/>
        </w:rPr>
        <w:t xml:space="preserve">, pokud dojde ke změně vlastnických či jiných vztahů či důvodů majících vliv na rozsah pojištění. </w:t>
      </w:r>
    </w:p>
    <w:p w14:paraId="6B0021E4" w14:textId="77777777" w:rsidR="00B44792" w:rsidRDefault="00B44792" w:rsidP="00B44792">
      <w:pPr>
        <w:pStyle w:val="Zkladntext"/>
        <w:ind w:left="720"/>
        <w:rPr>
          <w:rFonts w:ascii="Arial" w:hAnsi="Arial" w:cs="Arial"/>
          <w:color w:val="000000"/>
        </w:rPr>
      </w:pPr>
      <w:r>
        <w:rPr>
          <w:rFonts w:ascii="Arial" w:hAnsi="Arial" w:cs="Arial"/>
          <w:color w:val="000000"/>
        </w:rPr>
        <w:lastRenderedPageBreak/>
        <w:t xml:space="preserve">Případné nespotřebované pojistné pojistitel vrátí na účet pojistníka nejpozději do jednoho měsíce od ukončení pojištění daného pojištěného majetku či </w:t>
      </w:r>
      <w:r w:rsidR="00423AA1">
        <w:rPr>
          <w:rFonts w:ascii="Arial" w:hAnsi="Arial" w:cs="Arial"/>
          <w:color w:val="000000"/>
        </w:rPr>
        <w:t>subjektu, nebude</w:t>
      </w:r>
      <w:r>
        <w:rPr>
          <w:rFonts w:ascii="Arial" w:hAnsi="Arial" w:cs="Arial"/>
          <w:color w:val="000000"/>
        </w:rPr>
        <w:t>-li dohodnuto jinak.</w:t>
      </w:r>
    </w:p>
    <w:p w14:paraId="7F212435" w14:textId="77777777" w:rsidR="00B44792" w:rsidRDefault="00B44792" w:rsidP="00B44792">
      <w:pPr>
        <w:pStyle w:val="Zkladntext"/>
        <w:ind w:left="720"/>
        <w:rPr>
          <w:rFonts w:ascii="Arial" w:hAnsi="Arial" w:cs="Arial"/>
          <w:color w:val="000000"/>
        </w:rPr>
      </w:pPr>
    </w:p>
    <w:p w14:paraId="3576F32D" w14:textId="77777777" w:rsidR="00B44792" w:rsidRDefault="00B44792" w:rsidP="00B44792">
      <w:pPr>
        <w:pStyle w:val="Nadpis1"/>
        <w:numPr>
          <w:ilvl w:val="0"/>
          <w:numId w:val="3"/>
        </w:numPr>
      </w:pPr>
      <w:bookmarkStart w:id="18" w:name="_Toc176074476"/>
      <w:r>
        <w:t>Doba, na kterou se uzavírá pojistná smlouva (doba trvání pojištění), pojistné období</w:t>
      </w:r>
      <w:bookmarkEnd w:id="18"/>
    </w:p>
    <w:p w14:paraId="2F5BCACF" w14:textId="77777777" w:rsidR="00B44792" w:rsidRDefault="00B44792" w:rsidP="00B44792">
      <w:pPr>
        <w:pStyle w:val="Zkladntext"/>
        <w:ind w:left="720"/>
        <w:rPr>
          <w:rFonts w:ascii="Arial" w:hAnsi="Arial" w:cs="Arial"/>
          <w:i/>
          <w:iCs/>
        </w:rPr>
      </w:pPr>
      <w:r>
        <w:rPr>
          <w:rFonts w:ascii="Arial" w:hAnsi="Arial" w:cs="Arial"/>
        </w:rPr>
        <w:t>Pojistná smlouva se uzavírá na dobu pojištění od 1.</w:t>
      </w:r>
      <w:r w:rsidR="0092236B">
        <w:rPr>
          <w:rFonts w:ascii="Arial" w:hAnsi="Arial" w:cs="Arial"/>
        </w:rPr>
        <w:t>3</w:t>
      </w:r>
      <w:r>
        <w:rPr>
          <w:rFonts w:ascii="Arial" w:hAnsi="Arial" w:cs="Arial"/>
        </w:rPr>
        <w:t>.20</w:t>
      </w:r>
      <w:r w:rsidR="009B421C">
        <w:rPr>
          <w:rFonts w:ascii="Arial" w:hAnsi="Arial" w:cs="Arial"/>
        </w:rPr>
        <w:t>19</w:t>
      </w:r>
      <w:r>
        <w:rPr>
          <w:rFonts w:ascii="Arial" w:hAnsi="Arial" w:cs="Arial"/>
        </w:rPr>
        <w:t xml:space="preserve"> </w:t>
      </w:r>
      <w:r w:rsidR="0092236B">
        <w:rPr>
          <w:rFonts w:ascii="Arial" w:hAnsi="Arial" w:cs="Arial"/>
        </w:rPr>
        <w:t xml:space="preserve">na dobu </w:t>
      </w:r>
      <w:r w:rsidR="00423AA1">
        <w:rPr>
          <w:rFonts w:ascii="Arial" w:hAnsi="Arial" w:cs="Arial"/>
        </w:rPr>
        <w:t>neurčitou</w:t>
      </w:r>
      <w:r>
        <w:rPr>
          <w:rFonts w:ascii="Arial" w:hAnsi="Arial" w:cs="Arial"/>
        </w:rPr>
        <w:t xml:space="preserve">. Pojistné období se sjednává v délce 12 měsíců. </w:t>
      </w:r>
      <w:r>
        <w:rPr>
          <w:rFonts w:ascii="Arial" w:hAnsi="Arial" w:cs="Arial"/>
          <w:i/>
          <w:iCs/>
        </w:rPr>
        <w:t>(Pokud z jakýchkoliv důvodů na straně zadavatele nebude možné termín předpokládaného zahájení služeb dodržet, zejména prodloužením doby trvání zadávacího řízení, je zadavatel oprávněn jednostranně změnit předpokládaný termín zahájení.)</w:t>
      </w:r>
    </w:p>
    <w:p w14:paraId="6F802949" w14:textId="77777777" w:rsidR="00B44792" w:rsidRDefault="00B44792" w:rsidP="00B44792">
      <w:pPr>
        <w:pStyle w:val="Zkladntext"/>
        <w:ind w:left="720"/>
        <w:rPr>
          <w:rFonts w:ascii="Arial" w:hAnsi="Arial" w:cs="Arial"/>
          <w:i/>
          <w:iCs/>
        </w:rPr>
      </w:pPr>
      <w:r>
        <w:rPr>
          <w:rFonts w:ascii="Arial" w:hAnsi="Arial" w:cs="Arial"/>
          <w:i/>
          <w:iCs/>
        </w:rPr>
        <w:t>.</w:t>
      </w:r>
    </w:p>
    <w:p w14:paraId="22BCB74E" w14:textId="77777777" w:rsidR="00B44792" w:rsidRDefault="00B44792" w:rsidP="00B44792">
      <w:pPr>
        <w:pStyle w:val="Nadpis1"/>
        <w:numPr>
          <w:ilvl w:val="0"/>
          <w:numId w:val="3"/>
        </w:numPr>
      </w:pPr>
      <w:bookmarkStart w:id="19" w:name="_Toc171304286"/>
      <w:bookmarkStart w:id="20" w:name="_Toc171840829"/>
      <w:bookmarkStart w:id="21" w:name="_Toc173567948"/>
      <w:r>
        <w:t xml:space="preserve">   </w:t>
      </w:r>
      <w:bookmarkStart w:id="22" w:name="_Toc176074477"/>
      <w:r>
        <w:t>Cena a platební podmínky</w:t>
      </w:r>
      <w:bookmarkEnd w:id="19"/>
      <w:bookmarkEnd w:id="20"/>
      <w:bookmarkEnd w:id="21"/>
      <w:bookmarkEnd w:id="22"/>
    </w:p>
    <w:p w14:paraId="3CD0E076" w14:textId="77777777" w:rsidR="00B44792" w:rsidRDefault="00B44792" w:rsidP="00B44792">
      <w:pPr>
        <w:spacing w:before="120"/>
        <w:ind w:left="720"/>
        <w:rPr>
          <w:rFonts w:cs="Arial"/>
        </w:rPr>
      </w:pPr>
      <w:r>
        <w:rPr>
          <w:rFonts w:cs="Arial"/>
        </w:rPr>
        <w:t xml:space="preserve">Výše pojistného je platná po celou dobu trvání </w:t>
      </w:r>
      <w:r w:rsidR="00423AA1">
        <w:rPr>
          <w:rFonts w:cs="Arial"/>
        </w:rPr>
        <w:t>pojištění, tj.</w:t>
      </w:r>
      <w:r>
        <w:rPr>
          <w:rFonts w:cs="Arial"/>
        </w:rPr>
        <w:t xml:space="preserve"> na dobu neurčitou Změna výše pojistného v důsledku vývoje cen </w:t>
      </w:r>
      <w:r w:rsidR="00423AA1">
        <w:rPr>
          <w:rFonts w:cs="Arial"/>
        </w:rPr>
        <w:t>pojištění je</w:t>
      </w:r>
      <w:r>
        <w:rPr>
          <w:rFonts w:cs="Arial"/>
        </w:rPr>
        <w:t xml:space="preserve"> nepřípustná.</w:t>
      </w:r>
    </w:p>
    <w:p w14:paraId="343FE064" w14:textId="77777777" w:rsidR="00B44792" w:rsidRDefault="00423AA1" w:rsidP="00B44792">
      <w:pPr>
        <w:spacing w:before="120"/>
        <w:ind w:left="720"/>
        <w:rPr>
          <w:rFonts w:cs="Arial"/>
        </w:rPr>
      </w:pPr>
      <w:r>
        <w:rPr>
          <w:rFonts w:cs="Arial"/>
        </w:rPr>
        <w:t>Výše pojistného</w:t>
      </w:r>
      <w:r w:rsidR="00B44792">
        <w:rPr>
          <w:rFonts w:cs="Arial"/>
        </w:rPr>
        <w:t xml:space="preserve"> je překročitelné pouze při změně rozsahu pojistného krytí resp. při zvýšení pojistné částky.</w:t>
      </w:r>
    </w:p>
    <w:p w14:paraId="119027C9" w14:textId="74BBC229" w:rsidR="00B44792" w:rsidRDefault="00B44792" w:rsidP="00B44792">
      <w:pPr>
        <w:spacing w:before="120"/>
        <w:ind w:left="720"/>
        <w:rPr>
          <w:rFonts w:cs="Arial"/>
        </w:rPr>
      </w:pPr>
      <w:r>
        <w:rPr>
          <w:rFonts w:cs="Arial"/>
        </w:rPr>
        <w:t>Úhrada bude prováděna v české měně, vždy na základě ustanovení pojistné smlouvy vybraného uchazeče na účet zplnomocněného makléře ve čtvrtletních splátkách splatných v daném pojistném období, neurčí</w:t>
      </w:r>
      <w:r w:rsidR="00911D1D">
        <w:rPr>
          <w:rFonts w:cs="Arial"/>
        </w:rPr>
        <w:t>-li</w:t>
      </w:r>
      <w:r>
        <w:rPr>
          <w:rFonts w:cs="Arial"/>
        </w:rPr>
        <w:t xml:space="preserve"> pojistník jinak.</w:t>
      </w:r>
    </w:p>
    <w:p w14:paraId="6252FA1F" w14:textId="77777777" w:rsidR="00B44792" w:rsidRDefault="00B44792" w:rsidP="00B44792">
      <w:pPr>
        <w:pStyle w:val="Zkladntext"/>
        <w:ind w:left="720"/>
        <w:rPr>
          <w:rFonts w:ascii="Arial" w:hAnsi="Arial" w:cs="Arial"/>
        </w:rPr>
      </w:pPr>
      <w:r>
        <w:rPr>
          <w:rFonts w:ascii="Arial" w:hAnsi="Arial" w:cs="Arial"/>
        </w:rPr>
        <w:t>Pojistitel může v průběhu doby trvání pojištění snížit pojistné sazby</w:t>
      </w:r>
      <w:r w:rsidR="00911D1D">
        <w:rPr>
          <w:rFonts w:ascii="Arial" w:hAnsi="Arial" w:cs="Arial"/>
        </w:rPr>
        <w:t>.</w:t>
      </w:r>
    </w:p>
    <w:p w14:paraId="245268A1" w14:textId="77777777" w:rsidR="00B44792" w:rsidRDefault="00B44792" w:rsidP="00B44792">
      <w:pPr>
        <w:pStyle w:val="Zkladntext"/>
        <w:ind w:left="720"/>
        <w:rPr>
          <w:rFonts w:ascii="Arial" w:hAnsi="Arial" w:cs="Arial"/>
          <w:i/>
          <w:iCs/>
        </w:rPr>
      </w:pPr>
    </w:p>
    <w:p w14:paraId="0884BB83" w14:textId="77777777" w:rsidR="00B44792" w:rsidRDefault="00B44792" w:rsidP="00B44792">
      <w:pPr>
        <w:pStyle w:val="Nadpis1"/>
        <w:numPr>
          <w:ilvl w:val="0"/>
          <w:numId w:val="3"/>
        </w:numPr>
      </w:pPr>
      <w:bookmarkStart w:id="23" w:name="_Toc173567949"/>
      <w:r>
        <w:t xml:space="preserve">   </w:t>
      </w:r>
      <w:bookmarkStart w:id="24" w:name="_Toc176074478"/>
      <w:r>
        <w:t>Změny smluvních podmínek</w:t>
      </w:r>
      <w:bookmarkEnd w:id="23"/>
      <w:bookmarkEnd w:id="24"/>
    </w:p>
    <w:p w14:paraId="671A4DF4" w14:textId="77777777" w:rsidR="00B44792" w:rsidRDefault="00B44792" w:rsidP="00B44792">
      <w:pPr>
        <w:spacing w:before="120"/>
        <w:ind w:left="720"/>
        <w:rPr>
          <w:rFonts w:cs="Arial"/>
        </w:rPr>
      </w:pPr>
      <w:r>
        <w:rPr>
          <w:rFonts w:cs="Arial"/>
        </w:rPr>
        <w:t>Veškeré změny a doplnění lze realizovat pouze formou písemných dodatků smlouvy, které budou vzestupně očíslovány, výslovně prohlášeny za dodatek této smlouvy a podepsány oprávněnými zástupci smluvních stran.</w:t>
      </w:r>
    </w:p>
    <w:p w14:paraId="772D80C6" w14:textId="77777777" w:rsidR="00B44792" w:rsidRDefault="00B44792" w:rsidP="00B44792">
      <w:pPr>
        <w:pStyle w:val="Zkladntextodsazen"/>
        <w:rPr>
          <w:rFonts w:ascii="Arial" w:hAnsi="Arial" w:cs="Arial"/>
        </w:rPr>
      </w:pPr>
    </w:p>
    <w:p w14:paraId="27B224CA" w14:textId="77777777" w:rsidR="00B44792" w:rsidRDefault="00B44792" w:rsidP="00B44792">
      <w:pPr>
        <w:pStyle w:val="Zkladntextodsazen"/>
        <w:rPr>
          <w:rFonts w:ascii="Arial" w:hAnsi="Arial" w:cs="Arial"/>
        </w:rPr>
      </w:pPr>
    </w:p>
    <w:p w14:paraId="783A32C5" w14:textId="77777777" w:rsidR="00B44792" w:rsidRDefault="00B44792" w:rsidP="00B44792">
      <w:pPr>
        <w:pStyle w:val="Nadpis1"/>
        <w:numPr>
          <w:ilvl w:val="0"/>
          <w:numId w:val="3"/>
        </w:numPr>
      </w:pPr>
      <w:bookmarkStart w:id="25" w:name="_Toc176074479"/>
      <w:r>
        <w:t>Sleva za příznivý škodní průběh</w:t>
      </w:r>
      <w:bookmarkEnd w:id="25"/>
    </w:p>
    <w:p w14:paraId="6BBAA427" w14:textId="77777777" w:rsidR="00B44792" w:rsidRDefault="00B44792" w:rsidP="00B44792">
      <w:pPr>
        <w:pStyle w:val="Zkladntextodsazen"/>
        <w:ind w:left="709"/>
        <w:rPr>
          <w:rFonts w:ascii="Arial" w:hAnsi="Arial" w:cs="Arial"/>
          <w:b/>
          <w:bCs/>
          <w:u w:val="single"/>
        </w:rPr>
      </w:pPr>
      <w:r>
        <w:rPr>
          <w:rFonts w:ascii="Arial" w:hAnsi="Arial" w:cs="Arial"/>
          <w:b/>
          <w:bCs/>
          <w:u w:val="single"/>
        </w:rPr>
        <w:t xml:space="preserve">Škodný průběh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Výše slevy</w:t>
      </w:r>
    </w:p>
    <w:p w14:paraId="72385E48" w14:textId="77777777" w:rsidR="00B44792" w:rsidRDefault="00B44792" w:rsidP="00B44792">
      <w:pPr>
        <w:pStyle w:val="Zkladntextodsazen"/>
        <w:ind w:left="709"/>
        <w:rPr>
          <w:rFonts w:ascii="Arial" w:hAnsi="Arial" w:cs="Arial"/>
          <w:b/>
          <w:bCs/>
        </w:rPr>
      </w:pPr>
    </w:p>
    <w:p w14:paraId="7785E292" w14:textId="77777777" w:rsidR="00B44792" w:rsidRDefault="00B44792" w:rsidP="00B44792">
      <w:pPr>
        <w:pStyle w:val="Zkladntextodsazen"/>
        <w:ind w:left="709"/>
        <w:rPr>
          <w:rFonts w:ascii="Arial" w:hAnsi="Arial" w:cs="Arial"/>
          <w:b/>
          <w:bCs/>
        </w:rPr>
      </w:pPr>
      <w:r>
        <w:rPr>
          <w:rFonts w:ascii="Arial" w:hAnsi="Arial" w:cs="Arial"/>
          <w:b/>
          <w:bCs/>
        </w:rPr>
        <w:t>0 % do 20 %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15 %</w:t>
      </w:r>
    </w:p>
    <w:p w14:paraId="6651E2F6" w14:textId="77777777" w:rsidR="00B44792" w:rsidRDefault="00B44792" w:rsidP="00B44792">
      <w:pPr>
        <w:pStyle w:val="Zkladntextodsazen"/>
        <w:ind w:left="709"/>
        <w:rPr>
          <w:rFonts w:ascii="Arial" w:hAnsi="Arial" w:cs="Arial"/>
          <w:b/>
          <w:bCs/>
        </w:rPr>
      </w:pPr>
      <w:r>
        <w:rPr>
          <w:rFonts w:ascii="Arial" w:hAnsi="Arial" w:cs="Arial"/>
          <w:b/>
          <w:bCs/>
        </w:rPr>
        <w:t>více než 20 % do 30 %</w:t>
      </w:r>
      <w:r>
        <w:rPr>
          <w:rFonts w:ascii="Arial" w:hAnsi="Arial" w:cs="Arial"/>
          <w:b/>
          <w:bCs/>
        </w:rPr>
        <w:tab/>
      </w:r>
      <w:r>
        <w:rPr>
          <w:rFonts w:ascii="Arial" w:hAnsi="Arial" w:cs="Arial"/>
          <w:b/>
          <w:bCs/>
        </w:rPr>
        <w:tab/>
      </w:r>
      <w:r>
        <w:rPr>
          <w:rFonts w:ascii="Arial" w:hAnsi="Arial" w:cs="Arial"/>
          <w:b/>
          <w:bCs/>
        </w:rPr>
        <w:tab/>
        <w:t xml:space="preserve">        10 %</w:t>
      </w:r>
    </w:p>
    <w:p w14:paraId="6E7CF52B" w14:textId="77777777" w:rsidR="00B44792" w:rsidRDefault="00B44792" w:rsidP="00B44792">
      <w:pPr>
        <w:pStyle w:val="Zkladntextodsazen"/>
        <w:ind w:left="709"/>
        <w:rPr>
          <w:rFonts w:ascii="Arial" w:hAnsi="Arial" w:cs="Arial"/>
          <w:b/>
          <w:bCs/>
        </w:rPr>
      </w:pPr>
      <w:r>
        <w:rPr>
          <w:rFonts w:ascii="Arial" w:hAnsi="Arial" w:cs="Arial"/>
          <w:b/>
          <w:bCs/>
        </w:rPr>
        <w:t>více než 30 % do 50%</w:t>
      </w:r>
      <w:r>
        <w:rPr>
          <w:rFonts w:ascii="Arial" w:hAnsi="Arial" w:cs="Arial"/>
          <w:b/>
          <w:bCs/>
        </w:rPr>
        <w:tab/>
      </w:r>
      <w:r>
        <w:rPr>
          <w:rFonts w:ascii="Arial" w:hAnsi="Arial" w:cs="Arial"/>
          <w:b/>
          <w:bCs/>
        </w:rPr>
        <w:tab/>
      </w:r>
      <w:r>
        <w:rPr>
          <w:rFonts w:ascii="Arial" w:hAnsi="Arial" w:cs="Arial"/>
          <w:b/>
          <w:bCs/>
        </w:rPr>
        <w:tab/>
        <w:t xml:space="preserve">          5%</w:t>
      </w:r>
    </w:p>
    <w:p w14:paraId="4AD671D9" w14:textId="77777777" w:rsidR="00B44792" w:rsidRDefault="00B44792" w:rsidP="00B44792">
      <w:pPr>
        <w:autoSpaceDE w:val="0"/>
        <w:autoSpaceDN w:val="0"/>
        <w:adjustRightInd w:val="0"/>
        <w:spacing w:after="120"/>
        <w:ind w:left="720" w:right="23"/>
        <w:rPr>
          <w:rFonts w:cs="Arial"/>
          <w:szCs w:val="22"/>
          <w:u w:val="single"/>
        </w:rPr>
      </w:pPr>
    </w:p>
    <w:p w14:paraId="1FDA7C28" w14:textId="77777777" w:rsidR="00B44792" w:rsidRDefault="00B44792" w:rsidP="00B44792">
      <w:pPr>
        <w:autoSpaceDE w:val="0"/>
        <w:autoSpaceDN w:val="0"/>
        <w:adjustRightInd w:val="0"/>
        <w:spacing w:after="120"/>
        <w:ind w:left="720" w:right="23"/>
        <w:rPr>
          <w:rFonts w:cs="Arial"/>
          <w:szCs w:val="22"/>
          <w:u w:val="single"/>
        </w:rPr>
      </w:pPr>
      <w:r>
        <w:rPr>
          <w:rFonts w:cs="Arial"/>
          <w:szCs w:val="22"/>
          <w:u w:val="single"/>
        </w:rPr>
        <w:t>Škodným průběhem se rozumí:</w:t>
      </w:r>
    </w:p>
    <w:p w14:paraId="1BD9DAB5" w14:textId="77777777" w:rsidR="00B44792" w:rsidRDefault="00B44792" w:rsidP="00B44792">
      <w:pPr>
        <w:autoSpaceDE w:val="0"/>
        <w:autoSpaceDN w:val="0"/>
        <w:adjustRightInd w:val="0"/>
        <w:spacing w:after="120"/>
        <w:ind w:left="720" w:right="23"/>
        <w:rPr>
          <w:rFonts w:cs="Arial"/>
          <w:szCs w:val="22"/>
        </w:rPr>
      </w:pPr>
      <w:r>
        <w:rPr>
          <w:rFonts w:cs="Arial"/>
          <w:szCs w:val="22"/>
        </w:rPr>
        <w:t>Škodný průběh = (VPU + RBNS)/UP x 100</w:t>
      </w:r>
    </w:p>
    <w:p w14:paraId="0FA812DF" w14:textId="77777777" w:rsidR="00B44792" w:rsidRDefault="00B44792" w:rsidP="00B44792">
      <w:pPr>
        <w:autoSpaceDE w:val="0"/>
        <w:autoSpaceDN w:val="0"/>
        <w:adjustRightInd w:val="0"/>
        <w:spacing w:after="80"/>
        <w:ind w:left="720" w:right="23"/>
        <w:rPr>
          <w:rFonts w:cs="Arial"/>
          <w:szCs w:val="22"/>
        </w:rPr>
      </w:pPr>
      <w:r>
        <w:rPr>
          <w:rFonts w:cs="Arial"/>
          <w:szCs w:val="22"/>
        </w:rPr>
        <w:t>VPU</w:t>
      </w:r>
      <w:r>
        <w:rPr>
          <w:rFonts w:cs="Arial"/>
          <w:szCs w:val="22"/>
        </w:rPr>
        <w:tab/>
        <w:t>- vyplacená pojistná plnění z pojistných událostí vzniklých v hodnoceném pojistném období dle pojistné smlouvy</w:t>
      </w:r>
    </w:p>
    <w:p w14:paraId="3DE8A292" w14:textId="77777777" w:rsidR="00B44792" w:rsidRDefault="00B44792" w:rsidP="00B44792">
      <w:pPr>
        <w:autoSpaceDE w:val="0"/>
        <w:autoSpaceDN w:val="0"/>
        <w:adjustRightInd w:val="0"/>
        <w:spacing w:after="80"/>
        <w:ind w:left="720" w:right="23"/>
        <w:rPr>
          <w:rFonts w:cs="Arial"/>
          <w:szCs w:val="22"/>
        </w:rPr>
      </w:pPr>
      <w:r>
        <w:rPr>
          <w:rFonts w:cs="Arial"/>
          <w:szCs w:val="22"/>
        </w:rPr>
        <w:t>RBNS</w:t>
      </w:r>
      <w:r>
        <w:rPr>
          <w:rFonts w:cs="Arial"/>
          <w:szCs w:val="22"/>
        </w:rPr>
        <w:tab/>
        <w:t>- rezervy na nahlášené škody vzniklé v hodnoceném pojistném období dle pojistné smlouvy</w:t>
      </w:r>
    </w:p>
    <w:p w14:paraId="20B17F4D" w14:textId="77777777" w:rsidR="00B44792" w:rsidRDefault="00B44792" w:rsidP="00B44792">
      <w:pPr>
        <w:pStyle w:val="Textvbloku"/>
      </w:pPr>
      <w:r>
        <w:t>UP</w:t>
      </w:r>
      <w:r>
        <w:tab/>
        <w:t>- uhrazené pojistné předepsané za hodnocené pojistné období dle pojistné smlouvy včetně dodatků</w:t>
      </w:r>
    </w:p>
    <w:p w14:paraId="546D72A8" w14:textId="77777777" w:rsidR="00B44792" w:rsidRDefault="00B44792" w:rsidP="00B44792">
      <w:pPr>
        <w:autoSpaceDE w:val="0"/>
        <w:autoSpaceDN w:val="0"/>
        <w:adjustRightInd w:val="0"/>
        <w:spacing w:after="120"/>
        <w:ind w:left="720" w:right="23"/>
        <w:rPr>
          <w:rFonts w:cs="Arial"/>
          <w:szCs w:val="22"/>
        </w:rPr>
      </w:pPr>
      <w:r>
        <w:rPr>
          <w:rFonts w:cs="Arial"/>
          <w:szCs w:val="22"/>
        </w:rPr>
        <w:t xml:space="preserve">Sleva bude zohledněna při stanovení ročního pojistného pro aktuální pojistné období (pojistný rok). V případě, že pojistník (pojištěný) po poskytnutí slevy nahlásí pojišťovně </w:t>
      </w:r>
      <w:r>
        <w:rPr>
          <w:rFonts w:cs="Arial"/>
          <w:szCs w:val="22"/>
        </w:rPr>
        <w:lastRenderedPageBreak/>
        <w:t>pojistnou událost, která by rušila nárok na poskytnutí slevy, anebo by měnila jeho výši, provede pojišťovna formou dodatku k pojistné smlouvě revizi podmínek poskytnuté slevy včetně příslušné úpravy pojistného.</w:t>
      </w:r>
    </w:p>
    <w:p w14:paraId="05D46E07" w14:textId="77777777" w:rsidR="00B44792" w:rsidRDefault="00B44792" w:rsidP="00B44792">
      <w:pPr>
        <w:pStyle w:val="Zkladntextodsazen"/>
        <w:ind w:left="720"/>
        <w:rPr>
          <w:rFonts w:ascii="Arial" w:hAnsi="Arial" w:cs="Arial"/>
        </w:rPr>
      </w:pPr>
      <w:r>
        <w:rPr>
          <w:rFonts w:ascii="Arial" w:hAnsi="Arial" w:cs="Arial"/>
        </w:rPr>
        <w:t xml:space="preserve">Poskytnutí slevy za poslední pojistné období (hodnocené období pojistného roku) sjednané doby pojištění bude realizováno formou jednorázové výplaty (bonifikace) ve výši jejího nároku na účet pojistníka po vyhodnocení škodního průběhu za hodnocené období (pojistný rok) nejpozději do třech měsíců po ukončení doby pojištění. V případě, že pojistník (pojištěný po výplatě („bonifikace“) nahlásí pojišťovně pojistnou událost, která by rušila nárok na její </w:t>
      </w:r>
      <w:r w:rsidR="00A2095E">
        <w:rPr>
          <w:rFonts w:ascii="Arial" w:hAnsi="Arial" w:cs="Arial"/>
        </w:rPr>
        <w:t>poskytnutí, anebo by</w:t>
      </w:r>
      <w:r>
        <w:rPr>
          <w:rFonts w:ascii="Arial" w:hAnsi="Arial" w:cs="Arial"/>
        </w:rPr>
        <w:t xml:space="preserve"> měnila jeho výši, vrátí pojistník přeplacenou částku „bonifikace“ na účet pojišťovny nejpozději do tří měsíců od data, kdy je k tomu poprvé pojišťovnou písemně vyzván.</w:t>
      </w:r>
    </w:p>
    <w:p w14:paraId="418DB199" w14:textId="77777777" w:rsidR="005C7B19" w:rsidRDefault="005C7B19" w:rsidP="00B44792">
      <w:pPr>
        <w:pStyle w:val="Zkladntextodsazen"/>
        <w:ind w:left="720"/>
        <w:rPr>
          <w:rFonts w:ascii="Arial" w:hAnsi="Arial" w:cs="Arial"/>
        </w:rPr>
      </w:pPr>
    </w:p>
    <w:p w14:paraId="73E3171E" w14:textId="77777777" w:rsidR="005C7B19" w:rsidRPr="008E17A0" w:rsidRDefault="005C7B19" w:rsidP="00400FFC">
      <w:pPr>
        <w:pStyle w:val="Nadpis1"/>
      </w:pPr>
      <w:r>
        <w:t>Výpověd pojistné smlouvy</w:t>
      </w:r>
    </w:p>
    <w:p w14:paraId="69FAC040" w14:textId="2D362181" w:rsidR="005C7B19" w:rsidRDefault="00234962" w:rsidP="005C7B19">
      <w:pPr>
        <w:pStyle w:val="Zkladntextodsazen"/>
        <w:ind w:left="720"/>
        <w:rPr>
          <w:rFonts w:ascii="Arial" w:hAnsi="Arial" w:cs="Arial"/>
        </w:rPr>
      </w:pPr>
      <w:r>
        <w:rPr>
          <w:rFonts w:ascii="Arial" w:hAnsi="Arial" w:cs="Arial"/>
        </w:rPr>
        <w:t>Ujednává se</w:t>
      </w:r>
      <w:r w:rsidR="005C7B19">
        <w:rPr>
          <w:rFonts w:ascii="Arial" w:hAnsi="Arial" w:cs="Arial"/>
        </w:rPr>
        <w:t xml:space="preserve">, že v případě výpovědi pojistné smlouvy ze strany pojistitele nebo pojistníka po pojistné události je výpovědní lhůta v délce </w:t>
      </w:r>
      <w:r w:rsidR="00132FE0">
        <w:rPr>
          <w:rFonts w:ascii="Arial" w:hAnsi="Arial" w:cs="Arial"/>
        </w:rPr>
        <w:t xml:space="preserve">9 </w:t>
      </w:r>
      <w:r w:rsidR="005C7B19">
        <w:rPr>
          <w:rFonts w:ascii="Arial" w:hAnsi="Arial" w:cs="Arial"/>
        </w:rPr>
        <w:t xml:space="preserve">měsíců. V případě výpovědi před koncem pojistného období se ujednává, že výpověď musí být doručena nejpozději </w:t>
      </w:r>
      <w:r w:rsidR="00B56DAF">
        <w:rPr>
          <w:rFonts w:ascii="Arial" w:hAnsi="Arial" w:cs="Arial"/>
        </w:rPr>
        <w:t xml:space="preserve">9 </w:t>
      </w:r>
      <w:r w:rsidR="005C7B19">
        <w:rPr>
          <w:rFonts w:ascii="Arial" w:hAnsi="Arial" w:cs="Arial"/>
        </w:rPr>
        <w:t xml:space="preserve">měsíců před jeho koncem.  </w:t>
      </w:r>
    </w:p>
    <w:p w14:paraId="53AE35E2" w14:textId="77777777" w:rsidR="005C7B19" w:rsidRDefault="005C7B19" w:rsidP="00B44792">
      <w:pPr>
        <w:pStyle w:val="Zkladntextodsazen"/>
        <w:ind w:left="720"/>
        <w:rPr>
          <w:rFonts w:ascii="Arial" w:hAnsi="Arial" w:cs="Arial"/>
        </w:rPr>
      </w:pPr>
    </w:p>
    <w:p w14:paraId="5D5608C0" w14:textId="77777777" w:rsidR="00B44792" w:rsidRDefault="00B44792" w:rsidP="00B44792">
      <w:pPr>
        <w:pStyle w:val="Zkladntextodsazen"/>
        <w:ind w:left="709"/>
        <w:rPr>
          <w:rFonts w:ascii="Arial" w:hAnsi="Arial" w:cs="Arial"/>
        </w:rPr>
      </w:pPr>
    </w:p>
    <w:p w14:paraId="489A8BEF" w14:textId="77777777" w:rsidR="00B44792" w:rsidRDefault="00B44792" w:rsidP="00B44792">
      <w:pPr>
        <w:pStyle w:val="Nadpis1"/>
        <w:numPr>
          <w:ilvl w:val="0"/>
          <w:numId w:val="3"/>
        </w:numPr>
      </w:pPr>
      <w:bookmarkStart w:id="26" w:name="_Toc176074480"/>
      <w:r>
        <w:t>Přílohy</w:t>
      </w:r>
      <w:bookmarkEnd w:id="26"/>
    </w:p>
    <w:p w14:paraId="6BF73606" w14:textId="77777777" w:rsidR="00B44792" w:rsidRDefault="00B44792" w:rsidP="00B44792"/>
    <w:p w14:paraId="05E07B18" w14:textId="77777777" w:rsidR="00B44792" w:rsidRDefault="00B44792" w:rsidP="00B44792">
      <w:r>
        <w:t xml:space="preserve">Příloha č.1 – Seznam pojištěných subjektů </w:t>
      </w:r>
    </w:p>
    <w:p w14:paraId="0FDF0563" w14:textId="77777777" w:rsidR="00B44792" w:rsidRDefault="00DE7775" w:rsidP="00B44792">
      <w:pPr>
        <w:spacing w:before="120"/>
        <w:rPr>
          <w:rFonts w:cs="Arial"/>
          <w:szCs w:val="22"/>
        </w:rPr>
      </w:pPr>
      <w:r>
        <w:rPr>
          <w:rFonts w:cs="Arial"/>
          <w:szCs w:val="22"/>
        </w:rPr>
        <w:t>Příloha č.2 – Seznam pojištěných subjektů</w:t>
      </w:r>
    </w:p>
    <w:p w14:paraId="79DE6D3F" w14:textId="77777777" w:rsidR="00B44792" w:rsidRDefault="00B44792" w:rsidP="00B44792">
      <w:pPr>
        <w:spacing w:before="120"/>
        <w:rPr>
          <w:rFonts w:cs="Arial"/>
          <w:szCs w:val="22"/>
        </w:rPr>
      </w:pPr>
    </w:p>
    <w:p w14:paraId="6511F243" w14:textId="77777777" w:rsidR="00B44792" w:rsidRDefault="00B44792" w:rsidP="00B44792">
      <w:pPr>
        <w:rPr>
          <w:rFonts w:cs="Arial"/>
        </w:rPr>
      </w:pPr>
    </w:p>
    <w:p w14:paraId="7C87CF39" w14:textId="77777777" w:rsidR="00B44792" w:rsidRDefault="00B44792" w:rsidP="00B44792">
      <w:pPr>
        <w:spacing w:before="120"/>
        <w:ind w:left="360"/>
        <w:rPr>
          <w:rFonts w:cs="Arial"/>
          <w:color w:val="FF0000"/>
          <w:szCs w:val="22"/>
        </w:rPr>
      </w:pPr>
    </w:p>
    <w:p w14:paraId="0125CA94" w14:textId="77777777" w:rsidR="00B44792" w:rsidRDefault="00B44792" w:rsidP="00B44792">
      <w:pPr>
        <w:spacing w:before="120"/>
        <w:ind w:left="360"/>
        <w:rPr>
          <w:rFonts w:cs="Arial"/>
          <w:color w:val="FF0000"/>
          <w:szCs w:val="22"/>
        </w:rPr>
      </w:pPr>
    </w:p>
    <w:p w14:paraId="21D92F76" w14:textId="77777777" w:rsidR="00B44792" w:rsidRDefault="00B44792" w:rsidP="00B44792">
      <w:pPr>
        <w:spacing w:before="120"/>
        <w:rPr>
          <w:rFonts w:cs="Arial"/>
          <w:color w:val="FF0000"/>
          <w:szCs w:val="22"/>
        </w:rPr>
      </w:pPr>
    </w:p>
    <w:p w14:paraId="23FE9557" w14:textId="77777777" w:rsidR="00B44792" w:rsidRDefault="00B44792" w:rsidP="00B44792">
      <w:pPr>
        <w:spacing w:before="120"/>
        <w:rPr>
          <w:rFonts w:cs="Arial"/>
          <w:color w:val="FF0000"/>
          <w:szCs w:val="22"/>
        </w:rPr>
      </w:pPr>
    </w:p>
    <w:p w14:paraId="78B3F6EB" w14:textId="77777777" w:rsidR="00B44792" w:rsidRDefault="00B44792" w:rsidP="00B44792">
      <w:pPr>
        <w:spacing w:before="120"/>
        <w:rPr>
          <w:rFonts w:cs="Arial"/>
          <w:color w:val="FF0000"/>
          <w:szCs w:val="22"/>
        </w:rPr>
      </w:pPr>
    </w:p>
    <w:p w14:paraId="2B14826E" w14:textId="77777777" w:rsidR="00B44792" w:rsidRDefault="00B44792" w:rsidP="00B44792">
      <w:pPr>
        <w:spacing w:before="120"/>
        <w:rPr>
          <w:rFonts w:cs="Arial"/>
          <w:color w:val="FF0000"/>
          <w:szCs w:val="22"/>
        </w:rPr>
      </w:pPr>
    </w:p>
    <w:p w14:paraId="4CDC8B27" w14:textId="77777777" w:rsidR="00B44792" w:rsidRDefault="00B44792" w:rsidP="00B44792">
      <w:pPr>
        <w:spacing w:before="120"/>
        <w:rPr>
          <w:rFonts w:cs="Arial"/>
          <w:color w:val="FF0000"/>
          <w:szCs w:val="22"/>
        </w:rPr>
      </w:pPr>
    </w:p>
    <w:p w14:paraId="43D3452A" w14:textId="77777777" w:rsidR="008524B9" w:rsidRDefault="008524B9"/>
    <w:sectPr w:rsidR="008524B9">
      <w:headerReference w:type="even" r:id="rId7"/>
      <w:headerReference w:type="default" r:id="rId8"/>
      <w:footerReference w:type="even" r:id="rId9"/>
      <w:footerReference w:type="default" r:id="rId10"/>
      <w:headerReference w:type="first" r:id="rId11"/>
      <w:footerReference w:type="first" r:id="rId12"/>
      <w:pgSz w:w="11906" w:h="16838" w:code="9"/>
      <w:pgMar w:top="1797" w:right="1418" w:bottom="1079" w:left="1418" w:header="709" w:footer="0" w:gutter="0"/>
      <w:cols w:space="709"/>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2E7E5" w14:textId="77777777" w:rsidR="00413531" w:rsidRDefault="00413531">
      <w:r>
        <w:separator/>
      </w:r>
    </w:p>
  </w:endnote>
  <w:endnote w:type="continuationSeparator" w:id="0">
    <w:p w14:paraId="3DB294AF" w14:textId="77777777" w:rsidR="00413531" w:rsidRDefault="0041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4310" w14:textId="77777777" w:rsidR="00B44792" w:rsidRDefault="00B447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9872E9" w14:textId="77777777" w:rsidR="00B44792" w:rsidRDefault="00B447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D327" w14:textId="77777777" w:rsidR="00B44792" w:rsidRDefault="00B44792">
    <w:pPr>
      <w:pStyle w:val="Zpat"/>
      <w:framePr w:wrap="around" w:vAnchor="text" w:hAnchor="margin" w:xAlign="center" w:y="1"/>
      <w:rPr>
        <w:rStyle w:val="slostrnky"/>
      </w:rPr>
    </w:pPr>
  </w:p>
  <w:p w14:paraId="1A4E3425" w14:textId="77777777" w:rsidR="00B44792" w:rsidRDefault="00B44792">
    <w:pPr>
      <w:pStyle w:val="Zpat"/>
      <w:jc w:val="right"/>
      <w:rPr>
        <w:color w:val="808080"/>
      </w:rPr>
    </w:pPr>
    <w:r>
      <w:rPr>
        <w:rStyle w:val="slostrnky"/>
        <w:rFonts w:ascii="Arial" w:hAnsi="Arial" w:cs="Arial"/>
        <w:color w:val="808080"/>
        <w:sz w:val="20"/>
      </w:rPr>
      <w:fldChar w:fldCharType="begin"/>
    </w:r>
    <w:r>
      <w:rPr>
        <w:rStyle w:val="slostrnky"/>
        <w:rFonts w:ascii="Arial" w:hAnsi="Arial" w:cs="Arial"/>
        <w:color w:val="808080"/>
        <w:sz w:val="20"/>
      </w:rPr>
      <w:instrText xml:space="preserve"> PAGE </w:instrText>
    </w:r>
    <w:r>
      <w:rPr>
        <w:rStyle w:val="slostrnky"/>
        <w:rFonts w:ascii="Arial" w:hAnsi="Arial" w:cs="Arial"/>
        <w:color w:val="808080"/>
        <w:sz w:val="20"/>
      </w:rPr>
      <w:fldChar w:fldCharType="separate"/>
    </w:r>
    <w:r w:rsidR="00594B0C">
      <w:rPr>
        <w:rStyle w:val="slostrnky"/>
        <w:rFonts w:ascii="Arial" w:hAnsi="Arial" w:cs="Arial"/>
        <w:noProof/>
        <w:color w:val="808080"/>
        <w:sz w:val="20"/>
      </w:rPr>
      <w:t>12</w:t>
    </w:r>
    <w:r>
      <w:rPr>
        <w:rStyle w:val="slostrnky"/>
        <w:rFonts w:ascii="Arial" w:hAnsi="Arial" w:cs="Arial"/>
        <w:color w:val="808080"/>
        <w:sz w:val="20"/>
      </w:rPr>
      <w:fldChar w:fldCharType="end"/>
    </w:r>
    <w:r>
      <w:rPr>
        <w:rStyle w:val="slostrnky"/>
        <w:rFonts w:ascii="Arial" w:hAnsi="Arial" w:cs="Arial"/>
        <w:color w:val="808080"/>
        <w:sz w:val="20"/>
      </w:rPr>
      <w:t xml:space="preserve"> / </w:t>
    </w:r>
    <w:r>
      <w:rPr>
        <w:rStyle w:val="slostrnky"/>
        <w:rFonts w:ascii="Arial" w:hAnsi="Arial" w:cs="Arial"/>
        <w:color w:val="808080"/>
        <w:sz w:val="20"/>
      </w:rPr>
      <w:fldChar w:fldCharType="begin"/>
    </w:r>
    <w:r>
      <w:rPr>
        <w:rStyle w:val="slostrnky"/>
        <w:rFonts w:ascii="Arial" w:hAnsi="Arial" w:cs="Arial"/>
        <w:color w:val="808080"/>
        <w:sz w:val="20"/>
      </w:rPr>
      <w:instrText xml:space="preserve"> NUMPAGES </w:instrText>
    </w:r>
    <w:r>
      <w:rPr>
        <w:rStyle w:val="slostrnky"/>
        <w:rFonts w:ascii="Arial" w:hAnsi="Arial" w:cs="Arial"/>
        <w:color w:val="808080"/>
        <w:sz w:val="20"/>
      </w:rPr>
      <w:fldChar w:fldCharType="separate"/>
    </w:r>
    <w:r w:rsidR="00594B0C">
      <w:rPr>
        <w:rStyle w:val="slostrnky"/>
        <w:rFonts w:ascii="Arial" w:hAnsi="Arial" w:cs="Arial"/>
        <w:noProof/>
        <w:color w:val="808080"/>
        <w:sz w:val="20"/>
      </w:rPr>
      <w:t>12</w:t>
    </w:r>
    <w:r>
      <w:rPr>
        <w:rStyle w:val="slostrnky"/>
        <w:rFonts w:ascii="Arial" w:hAnsi="Arial" w:cs="Arial"/>
        <w:color w:val="808080"/>
        <w:sz w:val="20"/>
      </w:rPr>
      <w:fldChar w:fldCharType="end"/>
    </w:r>
  </w:p>
  <w:p w14:paraId="45333307" w14:textId="77777777" w:rsidR="00B44792" w:rsidRDefault="003505EA">
    <w:pPr>
      <w:rPr>
        <w:color w:val="808080"/>
      </w:rPr>
    </w:pPr>
    <w:r>
      <w:rPr>
        <w:rFonts w:cs="Arial"/>
        <w:noProof/>
        <w:color w:val="808080"/>
        <w:sz w:val="20"/>
      </w:rPr>
      <mc:AlternateContent>
        <mc:Choice Requires="wps">
          <w:drawing>
            <wp:anchor distT="0" distB="0" distL="114300" distR="114300" simplePos="0" relativeHeight="251658240" behindDoc="0" locked="0" layoutInCell="1" allowOverlap="1" wp14:anchorId="40B4C267" wp14:editId="7192CA26">
              <wp:simplePos x="0" y="0"/>
              <wp:positionH relativeFrom="column">
                <wp:posOffset>-17145</wp:posOffset>
              </wp:positionH>
              <wp:positionV relativeFrom="paragraph">
                <wp:posOffset>-285115</wp:posOffset>
              </wp:positionV>
              <wp:extent cx="5846445" cy="0"/>
              <wp:effectExtent l="11430" t="10160" r="952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3175">
                        <a:solidFill>
                          <a:srgbClr val="2831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A04004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45pt" to="45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" strokecolor="#283164" strokeweight=".25pt">
              <w10:wrap type="topAndBottom"/>
            </v:line>
          </w:pict>
        </mc:Fallback>
      </mc:AlternateContent>
    </w:r>
  </w:p>
  <w:p w14:paraId="5839673D" w14:textId="77777777" w:rsidR="00B44792" w:rsidRDefault="00B447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8121" w14:textId="77777777" w:rsidR="002071A3" w:rsidRDefault="002071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D61BE" w14:textId="77777777" w:rsidR="00413531" w:rsidRDefault="00413531">
      <w:r>
        <w:separator/>
      </w:r>
    </w:p>
  </w:footnote>
  <w:footnote w:type="continuationSeparator" w:id="0">
    <w:p w14:paraId="1908EB4B" w14:textId="77777777" w:rsidR="00413531" w:rsidRDefault="0041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D88E" w14:textId="77777777" w:rsidR="002071A3" w:rsidRDefault="00207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6DF8" w14:textId="4A5C4E89" w:rsidR="00B44792" w:rsidRDefault="00B44792">
    <w:pPr>
      <w:pStyle w:val="Zhlav"/>
      <w:rPr>
        <w:rFonts w:ascii="Arial" w:hAnsi="Arial" w:cs="Arial"/>
        <w:color w:val="808080"/>
        <w:sz w:val="20"/>
      </w:rPr>
    </w:pPr>
    <w:r>
      <w:rPr>
        <w:rFonts w:ascii="Arial" w:hAnsi="Arial" w:cs="Arial"/>
        <w:color w:val="808080"/>
        <w:sz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8622" w14:textId="4E3C0225" w:rsidR="00AE3BB8" w:rsidRPr="002071A3" w:rsidRDefault="00AE3BB8">
    <w:pPr>
      <w:pStyle w:val="Zhlav"/>
      <w:rPr>
        <w:rFonts w:ascii="Arial" w:hAnsi="Arial" w:cs="Arial"/>
        <w:b/>
        <w:sz w:val="24"/>
      </w:rPr>
    </w:pPr>
    <w:r>
      <w:tab/>
    </w:r>
    <w:r>
      <w:tab/>
    </w:r>
    <w:r w:rsidR="002071A3" w:rsidRPr="002071A3">
      <w:rPr>
        <w:rFonts w:ascii="Arial" w:hAnsi="Arial" w:cs="Arial"/>
        <w:b/>
        <w:sz w:val="24"/>
      </w:rPr>
      <w:t>Příloha č. 0121-19-P15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8ECE7A8"/>
    <w:lvl w:ilvl="0">
      <w:start w:val="1"/>
      <w:numFmt w:val="decimal"/>
      <w:pStyle w:val="Text11"/>
      <w:lvlText w:val="%1."/>
      <w:lvlJc w:val="left"/>
      <w:pPr>
        <w:tabs>
          <w:tab w:val="num" w:pos="643"/>
        </w:tabs>
        <w:ind w:left="643" w:hanging="360"/>
      </w:pPr>
    </w:lvl>
  </w:abstractNum>
  <w:abstractNum w:abstractNumId="1" w15:restartNumberingAfterBreak="0">
    <w:nsid w:val="FFFFFF88"/>
    <w:multiLevelType w:val="singleLevel"/>
    <w:tmpl w:val="695EAA3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86C8B44"/>
    <w:lvl w:ilvl="0">
      <w:start w:val="1"/>
      <w:numFmt w:val="bullet"/>
      <w:pStyle w:val="Seznamsodrkami"/>
      <w:lvlText w:val=""/>
      <w:lvlJc w:val="left"/>
      <w:pPr>
        <w:tabs>
          <w:tab w:val="num" w:pos="360"/>
        </w:tabs>
        <w:ind w:left="360" w:hanging="360"/>
      </w:pPr>
      <w:rPr>
        <w:rFonts w:ascii="Wingdings" w:hAnsi="Wingdings" w:hint="default"/>
        <w:sz w:val="24"/>
      </w:rPr>
    </w:lvl>
  </w:abstractNum>
  <w:abstractNum w:abstractNumId="3" w15:restartNumberingAfterBreak="0">
    <w:nsid w:val="15046E87"/>
    <w:multiLevelType w:val="hybridMultilevel"/>
    <w:tmpl w:val="F3081DCA"/>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72C165E"/>
    <w:multiLevelType w:val="hybridMultilevel"/>
    <w:tmpl w:val="0AA6C0CC"/>
    <w:lvl w:ilvl="0" w:tplc="04050017">
      <w:start w:val="17"/>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97B8E"/>
    <w:multiLevelType w:val="hybridMultilevel"/>
    <w:tmpl w:val="940CFECA"/>
    <w:lvl w:ilvl="0" w:tplc="ECBA5AE4">
      <w:start w:val="1"/>
      <w:numFmt w:val="lowerLetter"/>
      <w:lvlText w:val="%1)"/>
      <w:lvlJc w:val="left"/>
      <w:pPr>
        <w:tabs>
          <w:tab w:val="num" w:pos="1494"/>
        </w:tabs>
        <w:ind w:left="1494"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0274DD"/>
    <w:multiLevelType w:val="multilevel"/>
    <w:tmpl w:val="271CCF9A"/>
    <w:lvl w:ilvl="0">
      <w:start w:val="1"/>
      <w:numFmt w:val="decimal"/>
      <w:lvlText w:val="%1)"/>
      <w:lvlJc w:val="left"/>
      <w:pPr>
        <w:tabs>
          <w:tab w:val="num" w:pos="643"/>
        </w:tabs>
        <w:ind w:left="643" w:hanging="360"/>
      </w:pPr>
      <w:rPr>
        <w:rFonts w:hint="default"/>
      </w:rPr>
    </w:lvl>
    <w:lvl w:ilvl="1">
      <w:start w:val="1"/>
      <w:numFmt w:val="lowerLetter"/>
      <w:pStyle w:val="slovanseznam2"/>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numFmt w:val="none"/>
      <w:lvlText w:val=""/>
      <w:lvlJc w:val="left"/>
      <w:pPr>
        <w:tabs>
          <w:tab w:val="num" w:pos="360"/>
        </w:tabs>
      </w:p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7" w15:restartNumberingAfterBreak="0">
    <w:nsid w:val="287B1FFD"/>
    <w:multiLevelType w:val="hybridMultilevel"/>
    <w:tmpl w:val="30081416"/>
    <w:lvl w:ilvl="0" w:tplc="0D84EAE6">
      <w:numFmt w:val="bullet"/>
      <w:lvlText w:val="-"/>
      <w:lvlJc w:val="left"/>
      <w:pPr>
        <w:ind w:left="1437" w:hanging="360"/>
      </w:pPr>
      <w:rPr>
        <w:rFonts w:ascii="Arial" w:eastAsia="Times New Roman" w:hAnsi="Arial" w:cs="Aria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8" w15:restartNumberingAfterBreak="0">
    <w:nsid w:val="29560428"/>
    <w:multiLevelType w:val="multilevel"/>
    <w:tmpl w:val="E7CC3C2E"/>
    <w:lvl w:ilvl="0">
      <w:start w:val="1"/>
      <w:numFmt w:val="decimal"/>
      <w:pStyle w:val="Nadpis1"/>
      <w:suff w:val="space"/>
      <w:lvlText w:val="%1. "/>
      <w:lvlJc w:val="left"/>
      <w:pPr>
        <w:ind w:left="432" w:hanging="432"/>
      </w:pPr>
      <w:rPr>
        <w:rFonts w:hint="default"/>
      </w:rPr>
    </w:lvl>
    <w:lvl w:ilvl="1">
      <w:start w:val="1"/>
      <w:numFmt w:val="decimal"/>
      <w:pStyle w:val="Nadpis2"/>
      <w:suff w:val="space"/>
      <w:lvlText w:val="%1.%2 "/>
      <w:lvlJc w:val="left"/>
      <w:pPr>
        <w:ind w:left="576" w:hanging="576"/>
      </w:pPr>
      <w:rPr>
        <w:rFonts w:hint="default"/>
      </w:rPr>
    </w:lvl>
    <w:lvl w:ilvl="2">
      <w:start w:val="1"/>
      <w:numFmt w:val="decimal"/>
      <w:pStyle w:val="Nadpis3"/>
      <w:suff w:val="space"/>
      <w:lvlText w:val="%1.%2.%3 "/>
      <w:lvlJc w:val="left"/>
      <w:pPr>
        <w:ind w:left="720" w:hanging="720"/>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
      <w:lvlJc w:val="left"/>
      <w:pPr>
        <w:ind w:left="1008" w:hanging="1008"/>
      </w:pPr>
      <w:rPr>
        <w:rFonts w:hint="default"/>
      </w:rPr>
    </w:lvl>
    <w:lvl w:ilvl="5">
      <w:start w:val="1"/>
      <w:numFmt w:val="decimal"/>
      <w:suff w:val="space"/>
      <w:lvlText w:val="%1.%2.%3.%4.%5.%6 "/>
      <w:lvlJc w:val="left"/>
      <w:pPr>
        <w:ind w:left="1152" w:hanging="1152"/>
      </w:pPr>
      <w:rPr>
        <w:rFonts w:hint="default"/>
      </w:rPr>
    </w:lvl>
    <w:lvl w:ilvl="6">
      <w:start w:val="1"/>
      <w:numFmt w:val="decimal"/>
      <w:suff w:val="space"/>
      <w:lvlText w:val="%1.%2.%3.%4.%5.%6.%7 "/>
      <w:lvlJc w:val="left"/>
      <w:pPr>
        <w:ind w:left="1296" w:hanging="1296"/>
      </w:pPr>
      <w:rPr>
        <w:rFonts w:hint="default"/>
      </w:rPr>
    </w:lvl>
    <w:lvl w:ilvl="7">
      <w:start w:val="1"/>
      <w:numFmt w:val="decimal"/>
      <w:suff w:val="space"/>
      <w:lvlText w:val="%1.%2.%3.%4.%5.%6.%7.%8 "/>
      <w:lvlJc w:val="left"/>
      <w:pPr>
        <w:ind w:left="1440" w:hanging="1440"/>
      </w:pPr>
      <w:rPr>
        <w:rFonts w:hint="default"/>
      </w:rPr>
    </w:lvl>
    <w:lvl w:ilvl="8">
      <w:start w:val="1"/>
      <w:numFmt w:val="decimal"/>
      <w:suff w:val="space"/>
      <w:lvlText w:val="%1.%2.%3.%4.%5.%6.%7.%8.%9 "/>
      <w:lvlJc w:val="left"/>
      <w:pPr>
        <w:ind w:left="1584" w:hanging="1584"/>
      </w:pPr>
      <w:rPr>
        <w:rFonts w:hint="default"/>
      </w:rPr>
    </w:lvl>
  </w:abstractNum>
  <w:abstractNum w:abstractNumId="9" w15:restartNumberingAfterBreak="0">
    <w:nsid w:val="36EC328A"/>
    <w:multiLevelType w:val="hybridMultilevel"/>
    <w:tmpl w:val="FBF8069E"/>
    <w:lvl w:ilvl="0" w:tplc="7E702392">
      <w:start w:val="1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25CB7"/>
    <w:multiLevelType w:val="hybridMultilevel"/>
    <w:tmpl w:val="2ED29CF6"/>
    <w:lvl w:ilvl="0" w:tplc="08EC9BA8">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631EC"/>
    <w:multiLevelType w:val="multilevel"/>
    <w:tmpl w:val="63EE06D6"/>
    <w:lvl w:ilvl="0">
      <w:start w:val="1"/>
      <w:numFmt w:val="decimal"/>
      <w:pStyle w:val="slovanseznam"/>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C71246"/>
    <w:multiLevelType w:val="hybridMultilevel"/>
    <w:tmpl w:val="96D60A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1DA510E"/>
    <w:multiLevelType w:val="hybridMultilevel"/>
    <w:tmpl w:val="896ED068"/>
    <w:lvl w:ilvl="0" w:tplc="E3FCBAB0">
      <w:start w:val="1"/>
      <w:numFmt w:val="lowerLetter"/>
      <w:lvlText w:val="%1)"/>
      <w:lvlJc w:val="left"/>
      <w:pPr>
        <w:tabs>
          <w:tab w:val="num" w:pos="720"/>
        </w:tabs>
        <w:ind w:left="720" w:hanging="360"/>
      </w:pPr>
      <w:rPr>
        <w:rFonts w:cs="Times New Roman" w:hint="default"/>
      </w:rPr>
    </w:lvl>
    <w:lvl w:ilvl="1" w:tplc="0B40EF42">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3D38F4"/>
    <w:multiLevelType w:val="hybridMultilevel"/>
    <w:tmpl w:val="6B7C12C2"/>
    <w:lvl w:ilvl="0" w:tplc="ECBA5AE4">
      <w:start w:val="1"/>
      <w:numFmt w:val="lowerLetter"/>
      <w:lvlText w:val="%1)"/>
      <w:lvlJc w:val="left"/>
      <w:pPr>
        <w:tabs>
          <w:tab w:val="num" w:pos="1494"/>
        </w:tabs>
        <w:ind w:left="1494" w:hanging="36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A1517B1"/>
    <w:multiLevelType w:val="hybridMultilevel"/>
    <w:tmpl w:val="B4B077E0"/>
    <w:lvl w:ilvl="0" w:tplc="D8B8C1B4">
      <w:start w:val="1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594EFE"/>
    <w:multiLevelType w:val="hybridMultilevel"/>
    <w:tmpl w:val="596256F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CA1656A"/>
    <w:multiLevelType w:val="hybridMultilevel"/>
    <w:tmpl w:val="B58C508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5D3217DF"/>
    <w:multiLevelType w:val="hybridMultilevel"/>
    <w:tmpl w:val="48FE925A"/>
    <w:lvl w:ilvl="0" w:tplc="04050017">
      <w:start w:val="18"/>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B50BB5"/>
    <w:multiLevelType w:val="hybridMultilevel"/>
    <w:tmpl w:val="23189E7E"/>
    <w:lvl w:ilvl="0" w:tplc="6D0CD034">
      <w:start w:val="4"/>
      <w:numFmt w:val="bullet"/>
      <w:lvlText w:val="-"/>
      <w:lvlJc w:val="left"/>
      <w:pPr>
        <w:tabs>
          <w:tab w:val="num" w:pos="720"/>
        </w:tabs>
        <w:ind w:left="720" w:hanging="360"/>
      </w:pPr>
      <w:rPr>
        <w:rFonts w:ascii="Times New Roman" w:eastAsia="Times New Roman" w:hAnsi="Times New Roman" w:cs="Times New Roman" w:hint="default"/>
      </w:rPr>
    </w:lvl>
    <w:lvl w:ilvl="1" w:tplc="B754A870">
      <w:start w:val="1"/>
      <w:numFmt w:val="lowerLetter"/>
      <w:lvlText w:val="%2)"/>
      <w:lvlJc w:val="left"/>
      <w:pPr>
        <w:tabs>
          <w:tab w:val="num" w:pos="1440"/>
        </w:tabs>
        <w:ind w:left="1440" w:hanging="360"/>
      </w:pPr>
      <w:rPr>
        <w:rFonts w:ascii="Arial" w:hAnsi="Arial" w:cs="Arial" w:hint="default"/>
        <w:b w:val="0"/>
        <w:i w:val="0"/>
        <w:sz w:val="22"/>
        <w:szCs w:val="22"/>
      </w:rPr>
    </w:lvl>
    <w:lvl w:ilvl="2" w:tplc="E0ACAED4">
      <w:start w:val="14"/>
      <w:numFmt w:val="decimal"/>
      <w:lvlText w:val="%3."/>
      <w:lvlJc w:val="left"/>
      <w:pPr>
        <w:tabs>
          <w:tab w:val="num" w:pos="2250"/>
        </w:tabs>
        <w:ind w:left="2250" w:hanging="45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8"/>
  </w:num>
  <w:num w:numId="5">
    <w:abstractNumId w:val="8"/>
  </w:num>
  <w:num w:numId="6">
    <w:abstractNumId w:val="0"/>
  </w:num>
  <w:num w:numId="7">
    <w:abstractNumId w:val="6"/>
  </w:num>
  <w:num w:numId="8">
    <w:abstractNumId w:val="2"/>
  </w:num>
  <w:num w:numId="9">
    <w:abstractNumId w:val="2"/>
  </w:num>
  <w:num w:numId="10">
    <w:abstractNumId w:val="3"/>
  </w:num>
  <w:num w:numId="11">
    <w:abstractNumId w:val="5"/>
  </w:num>
  <w:num w:numId="12">
    <w:abstractNumId w:val="14"/>
  </w:num>
  <w:num w:numId="13">
    <w:abstractNumId w:val="12"/>
  </w:num>
  <w:num w:numId="14">
    <w:abstractNumId w:val="16"/>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8"/>
  </w:num>
  <w:num w:numId="20">
    <w:abstractNumId w:val="9"/>
  </w:num>
  <w:num w:numId="21">
    <w:abstractNumId w:val="15"/>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92"/>
    <w:rsid w:val="00003285"/>
    <w:rsid w:val="00055BA3"/>
    <w:rsid w:val="000A04CB"/>
    <w:rsid w:val="000E365F"/>
    <w:rsid w:val="000F6949"/>
    <w:rsid w:val="00132FE0"/>
    <w:rsid w:val="00140DAC"/>
    <w:rsid w:val="0015110A"/>
    <w:rsid w:val="001A6F0E"/>
    <w:rsid w:val="002071A3"/>
    <w:rsid w:val="0021670B"/>
    <w:rsid w:val="00221158"/>
    <w:rsid w:val="0023480B"/>
    <w:rsid w:val="00234962"/>
    <w:rsid w:val="00243850"/>
    <w:rsid w:val="002776E5"/>
    <w:rsid w:val="002A6400"/>
    <w:rsid w:val="00317016"/>
    <w:rsid w:val="0033774D"/>
    <w:rsid w:val="00346628"/>
    <w:rsid w:val="003505EA"/>
    <w:rsid w:val="00370E0E"/>
    <w:rsid w:val="003B17E5"/>
    <w:rsid w:val="003D4888"/>
    <w:rsid w:val="00400FFC"/>
    <w:rsid w:val="00405FF5"/>
    <w:rsid w:val="00413531"/>
    <w:rsid w:val="00423AA1"/>
    <w:rsid w:val="00497D94"/>
    <w:rsid w:val="004A5503"/>
    <w:rsid w:val="00550DCA"/>
    <w:rsid w:val="00552BE4"/>
    <w:rsid w:val="00594B0C"/>
    <w:rsid w:val="005B70EC"/>
    <w:rsid w:val="005C7B19"/>
    <w:rsid w:val="005F387C"/>
    <w:rsid w:val="006A38DE"/>
    <w:rsid w:val="006B399C"/>
    <w:rsid w:val="006D1EDA"/>
    <w:rsid w:val="006E55E7"/>
    <w:rsid w:val="00716DF9"/>
    <w:rsid w:val="007428B0"/>
    <w:rsid w:val="00744F9C"/>
    <w:rsid w:val="0075458E"/>
    <w:rsid w:val="007853AA"/>
    <w:rsid w:val="0078618E"/>
    <w:rsid w:val="007D4C11"/>
    <w:rsid w:val="007F2D34"/>
    <w:rsid w:val="00842785"/>
    <w:rsid w:val="008524B9"/>
    <w:rsid w:val="008C0745"/>
    <w:rsid w:val="008F57E7"/>
    <w:rsid w:val="008F61AF"/>
    <w:rsid w:val="008F79D1"/>
    <w:rsid w:val="00911D1D"/>
    <w:rsid w:val="0092236B"/>
    <w:rsid w:val="009326AE"/>
    <w:rsid w:val="00965AE6"/>
    <w:rsid w:val="00983075"/>
    <w:rsid w:val="0098544B"/>
    <w:rsid w:val="009B421C"/>
    <w:rsid w:val="009D62FB"/>
    <w:rsid w:val="00A2095E"/>
    <w:rsid w:val="00A3678A"/>
    <w:rsid w:val="00A43AD8"/>
    <w:rsid w:val="00A549CD"/>
    <w:rsid w:val="00AB2968"/>
    <w:rsid w:val="00AC5820"/>
    <w:rsid w:val="00AE3BB8"/>
    <w:rsid w:val="00B04C99"/>
    <w:rsid w:val="00B44792"/>
    <w:rsid w:val="00B538D3"/>
    <w:rsid w:val="00B56DAF"/>
    <w:rsid w:val="00BF4294"/>
    <w:rsid w:val="00C955DC"/>
    <w:rsid w:val="00C962D8"/>
    <w:rsid w:val="00CB5B04"/>
    <w:rsid w:val="00CE2AF6"/>
    <w:rsid w:val="00D21F1B"/>
    <w:rsid w:val="00D22418"/>
    <w:rsid w:val="00DD28A8"/>
    <w:rsid w:val="00DD609B"/>
    <w:rsid w:val="00DE7775"/>
    <w:rsid w:val="00EB023F"/>
    <w:rsid w:val="00F200B0"/>
    <w:rsid w:val="00F33279"/>
    <w:rsid w:val="00F541D4"/>
    <w:rsid w:val="00F845C2"/>
    <w:rsid w:val="00FD0067"/>
    <w:rsid w:val="00FD2B40"/>
    <w:rsid w:val="00FF48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3A3C8"/>
  <w15:chartTrackingRefBased/>
  <w15:docId w15:val="{2B71CEF5-6F83-4E0B-8020-E39BB438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792"/>
    <w:pPr>
      <w:jc w:val="both"/>
    </w:pPr>
    <w:rPr>
      <w:rFonts w:ascii="Arial" w:hAnsi="Arial"/>
      <w:sz w:val="22"/>
      <w:szCs w:val="24"/>
    </w:rPr>
  </w:style>
  <w:style w:type="paragraph" w:styleId="Nadpis1">
    <w:name w:val="heading 1"/>
    <w:basedOn w:val="Normln"/>
    <w:next w:val="Normln"/>
    <w:qFormat/>
    <w:rsid w:val="008524B9"/>
    <w:pPr>
      <w:widowControl w:val="0"/>
      <w:numPr>
        <w:numId w:val="5"/>
      </w:numPr>
      <w:spacing w:after="220"/>
      <w:jc w:val="left"/>
      <w:outlineLvl w:val="0"/>
    </w:pPr>
    <w:rPr>
      <w:rFonts w:cs="Arial"/>
      <w:b/>
      <w:noProof/>
      <w:color w:val="283164"/>
      <w:sz w:val="32"/>
      <w:szCs w:val="20"/>
    </w:rPr>
  </w:style>
  <w:style w:type="paragraph" w:styleId="Nadpis2">
    <w:name w:val="heading 2"/>
    <w:basedOn w:val="Normln"/>
    <w:next w:val="Normln"/>
    <w:qFormat/>
    <w:rsid w:val="008524B9"/>
    <w:pPr>
      <w:widowControl w:val="0"/>
      <w:numPr>
        <w:ilvl w:val="1"/>
        <w:numId w:val="5"/>
      </w:numPr>
      <w:spacing w:before="220" w:after="220"/>
      <w:outlineLvl w:val="1"/>
    </w:pPr>
    <w:rPr>
      <w:b/>
      <w:color w:val="283164"/>
      <w:sz w:val="28"/>
      <w:szCs w:val="20"/>
    </w:rPr>
  </w:style>
  <w:style w:type="paragraph" w:styleId="Nadpis3">
    <w:name w:val="heading 3"/>
    <w:aliases w:val="Podpodkapitola,adpis 3"/>
    <w:basedOn w:val="Normln"/>
    <w:next w:val="Normln"/>
    <w:qFormat/>
    <w:rsid w:val="008524B9"/>
    <w:pPr>
      <w:keepNext/>
      <w:numPr>
        <w:ilvl w:val="2"/>
        <w:numId w:val="5"/>
      </w:numPr>
      <w:spacing w:before="220" w:after="220"/>
      <w:outlineLvl w:val="2"/>
    </w:pPr>
    <w:rPr>
      <w:b/>
      <w:color w:val="28316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lovanseznam">
    <w:name w:val="List Number"/>
    <w:basedOn w:val="Normln"/>
    <w:rsid w:val="008524B9"/>
    <w:pPr>
      <w:numPr>
        <w:numId w:val="2"/>
      </w:numPr>
    </w:pPr>
  </w:style>
  <w:style w:type="paragraph" w:styleId="Nzev">
    <w:name w:val="Title"/>
    <w:basedOn w:val="Normln"/>
    <w:next w:val="Normln"/>
    <w:qFormat/>
    <w:rsid w:val="008524B9"/>
    <w:pPr>
      <w:spacing w:before="120"/>
      <w:jc w:val="center"/>
    </w:pPr>
    <w:rPr>
      <w:b/>
      <w:color w:val="283164"/>
      <w:sz w:val="32"/>
      <w:szCs w:val="28"/>
    </w:rPr>
  </w:style>
  <w:style w:type="paragraph" w:styleId="slovanseznam2">
    <w:name w:val="List Number 2"/>
    <w:basedOn w:val="Normln"/>
    <w:rsid w:val="008524B9"/>
    <w:pPr>
      <w:numPr>
        <w:ilvl w:val="1"/>
        <w:numId w:val="7"/>
      </w:numPr>
    </w:pPr>
  </w:style>
  <w:style w:type="paragraph" w:styleId="Seznamsodrkami">
    <w:name w:val="List Bullet"/>
    <w:basedOn w:val="Normln"/>
    <w:rsid w:val="008524B9"/>
    <w:pPr>
      <w:numPr>
        <w:numId w:val="9"/>
      </w:numPr>
    </w:pPr>
  </w:style>
  <w:style w:type="paragraph" w:styleId="Obsah1">
    <w:name w:val="toc 1"/>
    <w:basedOn w:val="Normln"/>
    <w:next w:val="Normln"/>
    <w:autoRedefine/>
    <w:semiHidden/>
    <w:rsid w:val="00B44792"/>
    <w:pPr>
      <w:jc w:val="left"/>
    </w:pPr>
    <w:rPr>
      <w:rFonts w:ascii="Times New Roman" w:hAnsi="Times New Roman"/>
      <w:sz w:val="24"/>
    </w:rPr>
  </w:style>
  <w:style w:type="paragraph" w:styleId="Zkladntext">
    <w:name w:val="Body Text"/>
    <w:basedOn w:val="Normln"/>
    <w:rsid w:val="00B44792"/>
    <w:pPr>
      <w:autoSpaceDE w:val="0"/>
      <w:autoSpaceDN w:val="0"/>
    </w:pPr>
    <w:rPr>
      <w:rFonts w:ascii="Times New Roman" w:hAnsi="Times New Roman"/>
      <w:szCs w:val="22"/>
    </w:rPr>
  </w:style>
  <w:style w:type="character" w:styleId="Hypertextovodkaz">
    <w:name w:val="Hyperlink"/>
    <w:rsid w:val="00B44792"/>
    <w:rPr>
      <w:color w:val="0000FF"/>
      <w:u w:val="single"/>
    </w:rPr>
  </w:style>
  <w:style w:type="paragraph" w:styleId="Obsah2">
    <w:name w:val="toc 2"/>
    <w:basedOn w:val="Normln"/>
    <w:next w:val="Normln"/>
    <w:autoRedefine/>
    <w:semiHidden/>
    <w:rsid w:val="00B44792"/>
    <w:pPr>
      <w:tabs>
        <w:tab w:val="left" w:pos="960"/>
        <w:tab w:val="right" w:leader="dot" w:pos="9060"/>
      </w:tabs>
      <w:spacing w:line="360" w:lineRule="auto"/>
      <w:ind w:left="238"/>
      <w:jc w:val="left"/>
    </w:pPr>
    <w:rPr>
      <w:rFonts w:cs="Arial"/>
      <w:noProof/>
      <w:szCs w:val="28"/>
    </w:rPr>
  </w:style>
  <w:style w:type="paragraph" w:styleId="Zhlav">
    <w:name w:val="header"/>
    <w:basedOn w:val="Normln"/>
    <w:rsid w:val="00B44792"/>
    <w:pPr>
      <w:tabs>
        <w:tab w:val="center" w:pos="4536"/>
        <w:tab w:val="right" w:pos="9072"/>
      </w:tabs>
      <w:autoSpaceDE w:val="0"/>
      <w:autoSpaceDN w:val="0"/>
      <w:spacing w:before="120" w:line="240" w:lineRule="atLeast"/>
    </w:pPr>
    <w:rPr>
      <w:rFonts w:ascii="Times New Roman" w:hAnsi="Times New Roman"/>
      <w:szCs w:val="22"/>
    </w:rPr>
  </w:style>
  <w:style w:type="paragraph" w:styleId="Zkladntextodsazen">
    <w:name w:val="Body Text Indent"/>
    <w:basedOn w:val="Normln"/>
    <w:rsid w:val="00B44792"/>
    <w:pPr>
      <w:autoSpaceDE w:val="0"/>
      <w:autoSpaceDN w:val="0"/>
    </w:pPr>
    <w:rPr>
      <w:rFonts w:ascii="Times New Roman" w:hAnsi="Times New Roman"/>
      <w:szCs w:val="22"/>
    </w:rPr>
  </w:style>
  <w:style w:type="paragraph" w:styleId="Zkladntextodsazen2">
    <w:name w:val="Body Text Indent 2"/>
    <w:basedOn w:val="Normln"/>
    <w:rsid w:val="00B44792"/>
    <w:pPr>
      <w:autoSpaceDE w:val="0"/>
      <w:autoSpaceDN w:val="0"/>
      <w:ind w:left="705" w:hanging="705"/>
    </w:pPr>
    <w:rPr>
      <w:rFonts w:ascii="Times New Roman" w:hAnsi="Times New Roman"/>
      <w:szCs w:val="22"/>
    </w:rPr>
  </w:style>
  <w:style w:type="paragraph" w:styleId="Zkladntext3">
    <w:name w:val="Body Text 3"/>
    <w:basedOn w:val="Normln"/>
    <w:rsid w:val="00B44792"/>
    <w:pPr>
      <w:autoSpaceDE w:val="0"/>
      <w:autoSpaceDN w:val="0"/>
    </w:pPr>
    <w:rPr>
      <w:rFonts w:ascii="Times New Roman" w:hAnsi="Times New Roman"/>
      <w:szCs w:val="22"/>
    </w:rPr>
  </w:style>
  <w:style w:type="character" w:styleId="slostrnky">
    <w:name w:val="page number"/>
    <w:basedOn w:val="Standardnpsmoodstavce"/>
    <w:rsid w:val="00B44792"/>
  </w:style>
  <w:style w:type="paragraph" w:styleId="Zpat">
    <w:name w:val="footer"/>
    <w:basedOn w:val="Normln"/>
    <w:rsid w:val="00B44792"/>
    <w:pPr>
      <w:tabs>
        <w:tab w:val="center" w:pos="4536"/>
        <w:tab w:val="right" w:pos="9072"/>
      </w:tabs>
      <w:autoSpaceDE w:val="0"/>
      <w:autoSpaceDN w:val="0"/>
    </w:pPr>
    <w:rPr>
      <w:rFonts w:ascii="Times New Roman" w:hAnsi="Times New Roman"/>
      <w:szCs w:val="22"/>
    </w:rPr>
  </w:style>
  <w:style w:type="paragraph" w:customStyle="1" w:styleId="Odrazky">
    <w:name w:val="Odrazky"/>
    <w:basedOn w:val="Normln"/>
    <w:rsid w:val="00B44792"/>
    <w:pPr>
      <w:widowControl w:val="0"/>
      <w:tabs>
        <w:tab w:val="left" w:pos="360"/>
      </w:tabs>
      <w:spacing w:after="120"/>
      <w:ind w:left="360" w:hanging="360"/>
    </w:pPr>
    <w:rPr>
      <w:rFonts w:ascii="Times New Roman" w:hAnsi="Times New Roman"/>
      <w:sz w:val="24"/>
      <w:szCs w:val="20"/>
    </w:rPr>
  </w:style>
  <w:style w:type="paragraph" w:styleId="Textvbloku">
    <w:name w:val="Block Text"/>
    <w:basedOn w:val="Normln"/>
    <w:rsid w:val="00B44792"/>
    <w:pPr>
      <w:autoSpaceDE w:val="0"/>
      <w:autoSpaceDN w:val="0"/>
      <w:adjustRightInd w:val="0"/>
      <w:spacing w:after="120"/>
      <w:ind w:left="720" w:right="23"/>
    </w:pPr>
    <w:rPr>
      <w:rFonts w:cs="Arial"/>
      <w:szCs w:val="22"/>
    </w:rPr>
  </w:style>
  <w:style w:type="paragraph" w:customStyle="1" w:styleId="Text11">
    <w:name w:val="Text 1.1."/>
    <w:next w:val="Zkladntext"/>
    <w:rsid w:val="00B44792"/>
    <w:pPr>
      <w:widowControl w:val="0"/>
      <w:numPr>
        <w:ilvl w:val="1"/>
        <w:numId w:val="6"/>
      </w:numPr>
      <w:spacing w:before="80" w:after="60"/>
      <w:jc w:val="both"/>
    </w:pPr>
    <w:rPr>
      <w:rFonts w:ascii="Arial" w:hAnsi="Arial"/>
      <w:b/>
      <w:caps/>
      <w:snapToGrid w:val="0"/>
      <w:color w:val="000000"/>
      <w:sz w:val="26"/>
    </w:rPr>
  </w:style>
  <w:style w:type="paragraph" w:styleId="Zkladntextodsazen3">
    <w:name w:val="Body Text Indent 3"/>
    <w:basedOn w:val="Normln"/>
    <w:rsid w:val="00B44792"/>
    <w:pPr>
      <w:spacing w:before="80" w:after="60"/>
      <w:ind w:left="1080"/>
    </w:pPr>
    <w:rPr>
      <w:rFonts w:cs="Arial"/>
      <w:szCs w:val="22"/>
    </w:rPr>
  </w:style>
  <w:style w:type="character" w:styleId="Odkaznakoment">
    <w:name w:val="annotation reference"/>
    <w:rsid w:val="00055BA3"/>
    <w:rPr>
      <w:sz w:val="16"/>
      <w:szCs w:val="16"/>
    </w:rPr>
  </w:style>
  <w:style w:type="paragraph" w:styleId="Textkomente">
    <w:name w:val="annotation text"/>
    <w:basedOn w:val="Normln"/>
    <w:link w:val="TextkomenteChar"/>
    <w:rsid w:val="00055BA3"/>
    <w:rPr>
      <w:sz w:val="20"/>
      <w:szCs w:val="20"/>
    </w:rPr>
  </w:style>
  <w:style w:type="character" w:customStyle="1" w:styleId="TextkomenteChar">
    <w:name w:val="Text komentáře Char"/>
    <w:link w:val="Textkomente"/>
    <w:rsid w:val="00055BA3"/>
    <w:rPr>
      <w:rFonts w:ascii="Arial" w:hAnsi="Arial"/>
    </w:rPr>
  </w:style>
  <w:style w:type="paragraph" w:styleId="Pedmtkomente">
    <w:name w:val="annotation subject"/>
    <w:basedOn w:val="Textkomente"/>
    <w:next w:val="Textkomente"/>
    <w:link w:val="PedmtkomenteChar"/>
    <w:rsid w:val="00055BA3"/>
    <w:rPr>
      <w:b/>
      <w:bCs/>
    </w:rPr>
  </w:style>
  <w:style w:type="character" w:customStyle="1" w:styleId="PedmtkomenteChar">
    <w:name w:val="Předmět komentáře Char"/>
    <w:link w:val="Pedmtkomente"/>
    <w:rsid w:val="00055BA3"/>
    <w:rPr>
      <w:rFonts w:ascii="Arial" w:hAnsi="Arial"/>
      <w:b/>
      <w:bCs/>
    </w:rPr>
  </w:style>
  <w:style w:type="paragraph" w:styleId="Textbubliny">
    <w:name w:val="Balloon Text"/>
    <w:basedOn w:val="Normln"/>
    <w:link w:val="TextbublinyChar"/>
    <w:rsid w:val="00055BA3"/>
    <w:rPr>
      <w:rFonts w:ascii="Segoe UI" w:hAnsi="Segoe UI" w:cs="Segoe UI"/>
      <w:sz w:val="18"/>
      <w:szCs w:val="18"/>
    </w:rPr>
  </w:style>
  <w:style w:type="character" w:customStyle="1" w:styleId="TextbublinyChar">
    <w:name w:val="Text bubliny Char"/>
    <w:link w:val="Textbubliny"/>
    <w:rsid w:val="00055BA3"/>
    <w:rPr>
      <w:rFonts w:ascii="Segoe UI" w:hAnsi="Segoe UI" w:cs="Segoe UI"/>
      <w:sz w:val="18"/>
      <w:szCs w:val="18"/>
    </w:rPr>
  </w:style>
  <w:style w:type="paragraph" w:styleId="Revize">
    <w:name w:val="Revision"/>
    <w:hidden/>
    <w:uiPriority w:val="99"/>
    <w:semiHidden/>
    <w:rsid w:val="00400FF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5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4052</Words>
  <Characters>23907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RENOMIA</Company>
  <LinksUpToDate>false</LinksUpToDate>
  <CharactersWithSpaces>27904</CharactersWithSpaces>
  <SharedDoc>false</SharedDoc>
  <HLinks>
    <vt:vector size="102" baseType="variant">
      <vt:variant>
        <vt:i4>1835060</vt:i4>
      </vt:variant>
      <vt:variant>
        <vt:i4>89</vt:i4>
      </vt:variant>
      <vt:variant>
        <vt:i4>0</vt:i4>
      </vt:variant>
      <vt:variant>
        <vt:i4>5</vt:i4>
      </vt:variant>
      <vt:variant>
        <vt:lpwstr/>
      </vt:variant>
      <vt:variant>
        <vt:lpwstr>_Toc176074480</vt:lpwstr>
      </vt:variant>
      <vt:variant>
        <vt:i4>1245236</vt:i4>
      </vt:variant>
      <vt:variant>
        <vt:i4>83</vt:i4>
      </vt:variant>
      <vt:variant>
        <vt:i4>0</vt:i4>
      </vt:variant>
      <vt:variant>
        <vt:i4>5</vt:i4>
      </vt:variant>
      <vt:variant>
        <vt:lpwstr/>
      </vt:variant>
      <vt:variant>
        <vt:lpwstr>_Toc176074479</vt:lpwstr>
      </vt:variant>
      <vt:variant>
        <vt:i4>1245236</vt:i4>
      </vt:variant>
      <vt:variant>
        <vt:i4>77</vt:i4>
      </vt:variant>
      <vt:variant>
        <vt:i4>0</vt:i4>
      </vt:variant>
      <vt:variant>
        <vt:i4>5</vt:i4>
      </vt:variant>
      <vt:variant>
        <vt:lpwstr/>
      </vt:variant>
      <vt:variant>
        <vt:lpwstr>_Toc176074478</vt:lpwstr>
      </vt:variant>
      <vt:variant>
        <vt:i4>1245236</vt:i4>
      </vt:variant>
      <vt:variant>
        <vt:i4>71</vt:i4>
      </vt:variant>
      <vt:variant>
        <vt:i4>0</vt:i4>
      </vt:variant>
      <vt:variant>
        <vt:i4>5</vt:i4>
      </vt:variant>
      <vt:variant>
        <vt:lpwstr/>
      </vt:variant>
      <vt:variant>
        <vt:lpwstr>_Toc176074477</vt:lpwstr>
      </vt:variant>
      <vt:variant>
        <vt:i4>1245236</vt:i4>
      </vt:variant>
      <vt:variant>
        <vt:i4>65</vt:i4>
      </vt:variant>
      <vt:variant>
        <vt:i4>0</vt:i4>
      </vt:variant>
      <vt:variant>
        <vt:i4>5</vt:i4>
      </vt:variant>
      <vt:variant>
        <vt:lpwstr/>
      </vt:variant>
      <vt:variant>
        <vt:lpwstr>_Toc176074476</vt:lpwstr>
      </vt:variant>
      <vt:variant>
        <vt:i4>1245236</vt:i4>
      </vt:variant>
      <vt:variant>
        <vt:i4>59</vt:i4>
      </vt:variant>
      <vt:variant>
        <vt:i4>0</vt:i4>
      </vt:variant>
      <vt:variant>
        <vt:i4>5</vt:i4>
      </vt:variant>
      <vt:variant>
        <vt:lpwstr/>
      </vt:variant>
      <vt:variant>
        <vt:lpwstr>_Toc176074475</vt:lpwstr>
      </vt:variant>
      <vt:variant>
        <vt:i4>1245236</vt:i4>
      </vt:variant>
      <vt:variant>
        <vt:i4>53</vt:i4>
      </vt:variant>
      <vt:variant>
        <vt:i4>0</vt:i4>
      </vt:variant>
      <vt:variant>
        <vt:i4>5</vt:i4>
      </vt:variant>
      <vt:variant>
        <vt:lpwstr/>
      </vt:variant>
      <vt:variant>
        <vt:lpwstr>_Toc176074474</vt:lpwstr>
      </vt:variant>
      <vt:variant>
        <vt:i4>1245236</vt:i4>
      </vt:variant>
      <vt:variant>
        <vt:i4>47</vt:i4>
      </vt:variant>
      <vt:variant>
        <vt:i4>0</vt:i4>
      </vt:variant>
      <vt:variant>
        <vt:i4>5</vt:i4>
      </vt:variant>
      <vt:variant>
        <vt:lpwstr/>
      </vt:variant>
      <vt:variant>
        <vt:lpwstr>_Toc176074473</vt:lpwstr>
      </vt:variant>
      <vt:variant>
        <vt:i4>1245236</vt:i4>
      </vt:variant>
      <vt:variant>
        <vt:i4>41</vt:i4>
      </vt:variant>
      <vt:variant>
        <vt:i4>0</vt:i4>
      </vt:variant>
      <vt:variant>
        <vt:i4>5</vt:i4>
      </vt:variant>
      <vt:variant>
        <vt:lpwstr/>
      </vt:variant>
      <vt:variant>
        <vt:lpwstr>_Toc176074472</vt:lpwstr>
      </vt:variant>
      <vt:variant>
        <vt:i4>1114164</vt:i4>
      </vt:variant>
      <vt:variant>
        <vt:i4>38</vt:i4>
      </vt:variant>
      <vt:variant>
        <vt:i4>0</vt:i4>
      </vt:variant>
      <vt:variant>
        <vt:i4>5</vt:i4>
      </vt:variant>
      <vt:variant>
        <vt:lpwstr/>
      </vt:variant>
      <vt:variant>
        <vt:lpwstr>_Toc176074459</vt:lpwstr>
      </vt:variant>
      <vt:variant>
        <vt:i4>1114164</vt:i4>
      </vt:variant>
      <vt:variant>
        <vt:i4>32</vt:i4>
      </vt:variant>
      <vt:variant>
        <vt:i4>0</vt:i4>
      </vt:variant>
      <vt:variant>
        <vt:i4>5</vt:i4>
      </vt:variant>
      <vt:variant>
        <vt:lpwstr/>
      </vt:variant>
      <vt:variant>
        <vt:lpwstr>_Toc176074458</vt:lpwstr>
      </vt:variant>
      <vt:variant>
        <vt:i4>1114164</vt:i4>
      </vt:variant>
      <vt:variant>
        <vt:i4>26</vt:i4>
      </vt:variant>
      <vt:variant>
        <vt:i4>0</vt:i4>
      </vt:variant>
      <vt:variant>
        <vt:i4>5</vt:i4>
      </vt:variant>
      <vt:variant>
        <vt:lpwstr/>
      </vt:variant>
      <vt:variant>
        <vt:lpwstr>_Toc176074457</vt:lpwstr>
      </vt:variant>
      <vt:variant>
        <vt:i4>1114164</vt:i4>
      </vt:variant>
      <vt:variant>
        <vt:i4>20</vt:i4>
      </vt:variant>
      <vt:variant>
        <vt:i4>0</vt:i4>
      </vt:variant>
      <vt:variant>
        <vt:i4>5</vt:i4>
      </vt:variant>
      <vt:variant>
        <vt:lpwstr/>
      </vt:variant>
      <vt:variant>
        <vt:lpwstr>_Toc176074456</vt:lpwstr>
      </vt:variant>
      <vt:variant>
        <vt:i4>1114164</vt:i4>
      </vt:variant>
      <vt:variant>
        <vt:i4>14</vt:i4>
      </vt:variant>
      <vt:variant>
        <vt:i4>0</vt:i4>
      </vt:variant>
      <vt:variant>
        <vt:i4>5</vt:i4>
      </vt:variant>
      <vt:variant>
        <vt:lpwstr/>
      </vt:variant>
      <vt:variant>
        <vt:lpwstr>_Toc176074455</vt:lpwstr>
      </vt:variant>
      <vt:variant>
        <vt:i4>1376308</vt:i4>
      </vt:variant>
      <vt:variant>
        <vt:i4>11</vt:i4>
      </vt:variant>
      <vt:variant>
        <vt:i4>0</vt:i4>
      </vt:variant>
      <vt:variant>
        <vt:i4>5</vt:i4>
      </vt:variant>
      <vt:variant>
        <vt:lpwstr/>
      </vt:variant>
      <vt:variant>
        <vt:lpwstr>_Toc176074418</vt:lpwstr>
      </vt:variant>
      <vt:variant>
        <vt:i4>1376308</vt:i4>
      </vt:variant>
      <vt:variant>
        <vt:i4>8</vt:i4>
      </vt:variant>
      <vt:variant>
        <vt:i4>0</vt:i4>
      </vt:variant>
      <vt:variant>
        <vt:i4>5</vt:i4>
      </vt:variant>
      <vt:variant>
        <vt:lpwstr/>
      </vt:variant>
      <vt:variant>
        <vt:lpwstr>_Toc176074417</vt:lpwstr>
      </vt:variant>
      <vt:variant>
        <vt:i4>1376308</vt:i4>
      </vt:variant>
      <vt:variant>
        <vt:i4>2</vt:i4>
      </vt:variant>
      <vt:variant>
        <vt:i4>0</vt:i4>
      </vt:variant>
      <vt:variant>
        <vt:i4>5</vt:i4>
      </vt:variant>
      <vt:variant>
        <vt:lpwstr/>
      </vt:variant>
      <vt:variant>
        <vt:lpwstr>_Toc176074416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Kocfelda</dc:creator>
  <cp:keywords/>
  <dc:description/>
  <cp:lastModifiedBy>Sedláčková Ivana</cp:lastModifiedBy>
  <cp:revision>2</cp:revision>
  <cp:lastPrinted>2019-02-05T12:54:00Z</cp:lastPrinted>
  <dcterms:created xsi:type="dcterms:W3CDTF">2019-02-28T09:15:00Z</dcterms:created>
  <dcterms:modified xsi:type="dcterms:W3CDTF">2019-02-28T09:15:00Z</dcterms:modified>
</cp:coreProperties>
</file>