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4260D550"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646914">
        <w:rPr>
          <w:rFonts w:ascii="Arial Narrow" w:hAnsi="Arial Narrow"/>
          <w:sz w:val="24"/>
          <w:szCs w:val="24"/>
        </w:rPr>
        <w:t>t</w:t>
      </w:r>
      <w:r>
        <w:rPr>
          <w:rFonts w:ascii="Arial Narrow" w:hAnsi="Arial Narrow"/>
          <w:sz w:val="24"/>
          <w:szCs w:val="24"/>
        </w:rPr>
        <w:t>rem Chudomelem, MBA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776EC9D4" w:rsidR="00482E9F" w:rsidRDefault="00F63191" w:rsidP="00482E9F">
      <w:pPr>
        <w:spacing w:after="0"/>
        <w:rPr>
          <w:rFonts w:ascii="Arial Narrow" w:hAnsi="Arial Narrow"/>
          <w:sz w:val="24"/>
          <w:szCs w:val="24"/>
        </w:rPr>
      </w:pPr>
      <w:r>
        <w:rPr>
          <w:rFonts w:ascii="Arial Narrow" w:hAnsi="Arial Narrow"/>
          <w:sz w:val="24"/>
          <w:szCs w:val="24"/>
        </w:rPr>
        <w:t xml:space="preserve">č. účtu: </w:t>
      </w:r>
    </w:p>
    <w:p w14:paraId="09BECC59" w14:textId="77777777" w:rsidR="00467E68" w:rsidRPr="00927FCF" w:rsidRDefault="00467E68" w:rsidP="00467E6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77B235B1" w14:textId="77777777" w:rsidR="00482E9F" w:rsidRDefault="00482E9F" w:rsidP="00482E9F">
      <w:pPr>
        <w:spacing w:after="0"/>
        <w:rPr>
          <w:rFonts w:ascii="Arial Narrow" w:hAnsi="Arial Narrow"/>
          <w:sz w:val="24"/>
          <w:szCs w:val="24"/>
        </w:rPr>
      </w:pP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23CB4495"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Pr>
          <w:rFonts w:ascii="Arial Narrow" w:hAnsi="Arial Narrow"/>
          <w:b/>
          <w:sz w:val="24"/>
          <w:szCs w:val="24"/>
        </w:rPr>
        <w:t xml:space="preserve"> </w:t>
      </w:r>
      <w:proofErr w:type="spellStart"/>
      <w:r w:rsidR="00F63191">
        <w:rPr>
          <w:rFonts w:ascii="Arial Narrow" w:hAnsi="Arial Narrow"/>
          <w:b/>
          <w:sz w:val="24"/>
          <w:szCs w:val="24"/>
        </w:rPr>
        <w:t>Stargen</w:t>
      </w:r>
      <w:proofErr w:type="spellEnd"/>
      <w:r w:rsidR="00F63191">
        <w:rPr>
          <w:rFonts w:ascii="Arial Narrow" w:hAnsi="Arial Narrow"/>
          <w:b/>
          <w:sz w:val="24"/>
          <w:szCs w:val="24"/>
        </w:rPr>
        <w:t xml:space="preserve"> EU s.r.o.</w:t>
      </w:r>
    </w:p>
    <w:p w14:paraId="2DEF98D1" w14:textId="625B10AF"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00F63191">
        <w:rPr>
          <w:rFonts w:ascii="Arial Narrow" w:hAnsi="Arial Narrow"/>
          <w:sz w:val="24"/>
          <w:szCs w:val="24"/>
        </w:rPr>
        <w:t xml:space="preserve">v obchodním </w:t>
      </w:r>
      <w:proofErr w:type="spellStart"/>
      <w:r w:rsidR="00F63191">
        <w:rPr>
          <w:rFonts w:ascii="Arial Narrow" w:hAnsi="Arial Narrow"/>
          <w:sz w:val="24"/>
          <w:szCs w:val="24"/>
        </w:rPr>
        <w:t>restříku</w:t>
      </w:r>
      <w:proofErr w:type="spellEnd"/>
      <w:r w:rsidR="00F63191">
        <w:rPr>
          <w:rFonts w:ascii="Arial Narrow" w:hAnsi="Arial Narrow"/>
          <w:sz w:val="24"/>
          <w:szCs w:val="24"/>
        </w:rPr>
        <w:t xml:space="preserve"> vedeného Městským soudem v Praze, v oddíle C vložce 145163</w:t>
      </w:r>
    </w:p>
    <w:p w14:paraId="5BC64BC9" w14:textId="16DDF9FD" w:rsidR="00482E9F" w:rsidRPr="00F63191"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F63191" w:rsidRPr="00F63191">
        <w:rPr>
          <w:rFonts w:ascii="Arial Narrow" w:hAnsi="Arial Narrow"/>
          <w:sz w:val="24"/>
          <w:szCs w:val="24"/>
        </w:rPr>
        <w:t>Malešická 2251/51,  130 00 Praha 3</w:t>
      </w:r>
    </w:p>
    <w:p w14:paraId="61565142" w14:textId="1DB0C1C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F63191">
        <w:rPr>
          <w:rFonts w:ascii="Arial Narrow" w:hAnsi="Arial Narrow"/>
          <w:sz w:val="24"/>
          <w:szCs w:val="24"/>
        </w:rPr>
        <w:t>28487150</w:t>
      </w:r>
    </w:p>
    <w:p w14:paraId="477838C1" w14:textId="54E38E00"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F63191">
        <w:rPr>
          <w:rFonts w:ascii="Arial Narrow" w:hAnsi="Arial Narrow"/>
          <w:sz w:val="24"/>
          <w:szCs w:val="24"/>
        </w:rPr>
        <w:t>CZ28487150</w:t>
      </w:r>
    </w:p>
    <w:p w14:paraId="6A260D8A" w14:textId="4FA22894"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F63191">
        <w:rPr>
          <w:rFonts w:ascii="Arial Narrow" w:hAnsi="Arial Narrow"/>
          <w:sz w:val="24"/>
          <w:szCs w:val="24"/>
        </w:rPr>
        <w:t xml:space="preserve">Ing. Martin </w:t>
      </w:r>
      <w:proofErr w:type="spellStart"/>
      <w:r w:rsidR="00F63191">
        <w:rPr>
          <w:rFonts w:ascii="Arial Narrow" w:hAnsi="Arial Narrow"/>
          <w:sz w:val="24"/>
          <w:szCs w:val="24"/>
        </w:rPr>
        <w:t>Kaloš</w:t>
      </w:r>
      <w:proofErr w:type="spellEnd"/>
      <w:r w:rsidR="00F63191">
        <w:rPr>
          <w:rFonts w:ascii="Arial Narrow" w:hAnsi="Arial Narrow"/>
          <w:sz w:val="24"/>
          <w:szCs w:val="24"/>
        </w:rPr>
        <w:t>, jednatel</w:t>
      </w:r>
    </w:p>
    <w:p w14:paraId="50E267A2" w14:textId="06C14154"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77A4F09D" w14:textId="524CCD59" w:rsidR="00482E9F"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CC6498">
        <w:rPr>
          <w:rFonts w:ascii="Arial Narrow" w:hAnsi="Arial Narrow"/>
          <w:sz w:val="24"/>
          <w:szCs w:val="24"/>
        </w:rPr>
        <w:t>znění (dále jen „</w:t>
      </w:r>
      <w:r w:rsidRPr="00CC6498">
        <w:rPr>
          <w:rFonts w:ascii="Arial Narrow" w:hAnsi="Arial Narrow"/>
          <w:b/>
          <w:sz w:val="24"/>
          <w:szCs w:val="24"/>
        </w:rPr>
        <w:t>občanský zákoník</w:t>
      </w:r>
      <w:r w:rsidRPr="00CC6498">
        <w:rPr>
          <w:rFonts w:ascii="Arial Narrow" w:hAnsi="Arial Narrow"/>
          <w:sz w:val="24"/>
          <w:szCs w:val="24"/>
        </w:rPr>
        <w:t xml:space="preserve">“), jako výsledek </w:t>
      </w:r>
      <w:r w:rsidR="003D7EE2" w:rsidRPr="00CC6498">
        <w:rPr>
          <w:rFonts w:ascii="Arial Narrow" w:hAnsi="Arial Narrow"/>
          <w:sz w:val="24"/>
          <w:szCs w:val="24"/>
        </w:rPr>
        <w:t xml:space="preserve">otevřeného </w:t>
      </w:r>
      <w:r w:rsidRPr="00CC6498">
        <w:rPr>
          <w:rFonts w:ascii="Arial Narrow" w:hAnsi="Arial Narrow"/>
          <w:sz w:val="24"/>
          <w:szCs w:val="24"/>
        </w:rPr>
        <w:t>zadávacího řízení na realizaci</w:t>
      </w:r>
      <w:r w:rsidR="001C7E73" w:rsidRPr="00CC6498">
        <w:rPr>
          <w:rFonts w:ascii="Arial Narrow" w:hAnsi="Arial Narrow"/>
          <w:sz w:val="24"/>
          <w:szCs w:val="24"/>
        </w:rPr>
        <w:t xml:space="preserve"> </w:t>
      </w:r>
      <w:r w:rsidR="003044BE" w:rsidRPr="00CC6498">
        <w:rPr>
          <w:rFonts w:ascii="Arial Narrow" w:hAnsi="Arial Narrow"/>
          <w:b/>
          <w:sz w:val="24"/>
          <w:szCs w:val="24"/>
          <w:u w:val="single"/>
        </w:rPr>
        <w:t>Části 1</w:t>
      </w:r>
      <w:r w:rsidR="003044BE" w:rsidRPr="00CC6498">
        <w:rPr>
          <w:rFonts w:ascii="Arial Narrow" w:hAnsi="Arial Narrow"/>
          <w:sz w:val="24"/>
          <w:szCs w:val="24"/>
        </w:rPr>
        <w:t xml:space="preserve"> </w:t>
      </w:r>
      <w:r w:rsidR="003D7EE2" w:rsidRPr="00CC6498">
        <w:rPr>
          <w:rFonts w:ascii="Arial Narrow" w:hAnsi="Arial Narrow"/>
          <w:sz w:val="24"/>
          <w:szCs w:val="24"/>
        </w:rPr>
        <w:t xml:space="preserve">nadlimitní </w:t>
      </w:r>
      <w:r w:rsidR="001C7E73" w:rsidRPr="00CC6498">
        <w:rPr>
          <w:rFonts w:ascii="Arial Narrow" w:hAnsi="Arial Narrow"/>
          <w:sz w:val="24"/>
          <w:szCs w:val="24"/>
        </w:rPr>
        <w:t>veřejn</w:t>
      </w:r>
      <w:r w:rsidR="008D781A" w:rsidRPr="00CC6498">
        <w:rPr>
          <w:rFonts w:ascii="Arial Narrow" w:hAnsi="Arial Narrow"/>
          <w:sz w:val="24"/>
          <w:szCs w:val="24"/>
        </w:rPr>
        <w:t>é</w:t>
      </w:r>
      <w:r w:rsidR="001C7E73" w:rsidRPr="00CC6498">
        <w:rPr>
          <w:rFonts w:ascii="Arial Narrow" w:hAnsi="Arial Narrow"/>
          <w:sz w:val="24"/>
          <w:szCs w:val="24"/>
        </w:rPr>
        <w:t xml:space="preserve"> zakázk</w:t>
      </w:r>
      <w:r w:rsidR="008D781A" w:rsidRPr="00CC6498">
        <w:rPr>
          <w:rFonts w:ascii="Arial Narrow" w:hAnsi="Arial Narrow"/>
          <w:sz w:val="24"/>
          <w:szCs w:val="24"/>
        </w:rPr>
        <w:t>y</w:t>
      </w:r>
      <w:r w:rsidR="003D7EE2" w:rsidRPr="00CC6498">
        <w:rPr>
          <w:rFonts w:ascii="Arial Narrow" w:hAnsi="Arial Narrow"/>
          <w:sz w:val="24"/>
          <w:szCs w:val="24"/>
        </w:rPr>
        <w:t xml:space="preserve"> </w:t>
      </w:r>
      <w:r w:rsidRPr="00CC6498">
        <w:rPr>
          <w:rFonts w:ascii="Arial Narrow" w:hAnsi="Arial Narrow"/>
          <w:sz w:val="24"/>
          <w:szCs w:val="24"/>
        </w:rPr>
        <w:t>nazvané „</w:t>
      </w:r>
      <w:r w:rsidR="00646914">
        <w:rPr>
          <w:rFonts w:ascii="Arial Narrow" w:hAnsi="Arial Narrow"/>
          <w:sz w:val="24"/>
          <w:szCs w:val="24"/>
        </w:rPr>
        <w:t>Vybavení pro Rehabilitaci</w:t>
      </w:r>
      <w:r w:rsidR="003D7EE2" w:rsidRPr="00CC6498">
        <w:rPr>
          <w:rFonts w:ascii="Arial Narrow" w:hAnsi="Arial Narrow"/>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0DAFB4EB" w14:textId="77777777" w:rsidR="0007693D" w:rsidRDefault="0007693D" w:rsidP="0007693D">
      <w:pPr>
        <w:jc w:val="both"/>
        <w:rPr>
          <w:rFonts w:ascii="Arial Narrow" w:hAnsi="Arial Narrow"/>
          <w:sz w:val="24"/>
          <w:szCs w:val="24"/>
        </w:rPr>
      </w:pP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lastRenderedPageBreak/>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5C7A6974"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kupujícímu </w:t>
      </w:r>
      <w:r w:rsidR="00646914">
        <w:rPr>
          <w:rFonts w:ascii="Arial Narrow" w:hAnsi="Arial Narrow"/>
          <w:b/>
          <w:sz w:val="24"/>
          <w:szCs w:val="24"/>
        </w:rPr>
        <w:t>1</w:t>
      </w:r>
      <w:r w:rsidR="00A1131F" w:rsidRPr="00A1131F">
        <w:rPr>
          <w:rFonts w:ascii="Arial Narrow" w:hAnsi="Arial Narrow"/>
          <w:b/>
          <w:sz w:val="24"/>
          <w:szCs w:val="24"/>
        </w:rPr>
        <w:t>ks</w:t>
      </w:r>
      <w:r w:rsidR="00A1131F">
        <w:rPr>
          <w:rFonts w:ascii="Arial Narrow" w:hAnsi="Arial Narrow"/>
          <w:sz w:val="24"/>
          <w:szCs w:val="24"/>
        </w:rPr>
        <w:t xml:space="preserve"> </w:t>
      </w:r>
      <w:r w:rsidR="00646914">
        <w:rPr>
          <w:rFonts w:ascii="Arial Narrow" w:hAnsi="Arial Narrow"/>
          <w:b/>
          <w:sz w:val="24"/>
          <w:szCs w:val="24"/>
        </w:rPr>
        <w:t>zdravotnického prostředku - „Počítačově asistovaná rehabilitace ruky</w:t>
      </w:r>
      <w:r w:rsidR="003044BE" w:rsidRPr="00FD6F3F">
        <w:rPr>
          <w:rFonts w:ascii="Arial Narrow" w:hAnsi="Arial Narrow"/>
          <w:b/>
          <w:sz w:val="24"/>
          <w:szCs w:val="24"/>
        </w:rPr>
        <w:t>“</w:t>
      </w:r>
      <w:r w:rsidR="00646914">
        <w:rPr>
          <w:rFonts w:ascii="Arial Narrow" w:hAnsi="Arial Narrow"/>
          <w:b/>
          <w:sz w:val="24"/>
          <w:szCs w:val="24"/>
        </w:rPr>
        <w:t>, 1ks zdravotnického prostředku „Přístroj pro interaktivní zpětnovazebnou terapii horních končetin a kognitivních funkcí“, 1ks zdravotn</w:t>
      </w:r>
      <w:r w:rsidR="00EA7EBF">
        <w:rPr>
          <w:rFonts w:ascii="Arial Narrow" w:hAnsi="Arial Narrow"/>
          <w:b/>
          <w:sz w:val="24"/>
          <w:szCs w:val="24"/>
        </w:rPr>
        <w:t>ického prostředku „</w:t>
      </w:r>
      <w:proofErr w:type="spellStart"/>
      <w:r w:rsidR="00EA7EBF">
        <w:rPr>
          <w:rFonts w:ascii="Arial Narrow" w:hAnsi="Arial Narrow"/>
          <w:b/>
          <w:sz w:val="24"/>
          <w:szCs w:val="24"/>
        </w:rPr>
        <w:t>Vertikalizační</w:t>
      </w:r>
      <w:proofErr w:type="spellEnd"/>
      <w:r w:rsidR="00EA7EBF">
        <w:rPr>
          <w:rFonts w:ascii="Arial Narrow" w:hAnsi="Arial Narrow"/>
          <w:b/>
          <w:sz w:val="24"/>
          <w:szCs w:val="24"/>
        </w:rPr>
        <w:t xml:space="preserve"> systém k odlehčení pacienta pro nácvik chůze na pohyblivém pásu i mimo něj</w:t>
      </w:r>
      <w:r w:rsidR="00646914">
        <w:rPr>
          <w:rFonts w:ascii="Arial Narrow" w:hAnsi="Arial Narrow"/>
          <w:b/>
          <w:sz w:val="24"/>
          <w:szCs w:val="24"/>
        </w:rPr>
        <w:t>“</w:t>
      </w:r>
      <w:r w:rsidR="000967EF">
        <w:rPr>
          <w:rFonts w:ascii="Arial Narrow" w:hAnsi="Arial Narrow"/>
          <w:b/>
          <w:sz w:val="24"/>
          <w:szCs w:val="24"/>
        </w:rPr>
        <w:t xml:space="preserve"> </w:t>
      </w:r>
      <w:r w:rsidR="001C7E73" w:rsidRPr="005F081E">
        <w:rPr>
          <w:rFonts w:ascii="Arial Narrow" w:hAnsi="Arial Narrow"/>
          <w:sz w:val="24"/>
          <w:szCs w:val="24"/>
        </w:rPr>
        <w:t>(dále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sidR="00835061">
        <w:rPr>
          <w:rFonts w:ascii="Arial Narrow" w:hAnsi="Arial Narrow"/>
          <w:sz w:val="24"/>
          <w:szCs w:val="24"/>
        </w:rPr>
        <w:t>polož</w:t>
      </w:r>
      <w:r w:rsidR="008F6A5A">
        <w:rPr>
          <w:rFonts w:ascii="Arial Narrow" w:hAnsi="Arial Narrow"/>
          <w:sz w:val="24"/>
          <w:szCs w:val="24"/>
        </w:rPr>
        <w:t>e</w:t>
      </w:r>
      <w:r w:rsidR="00835061">
        <w:rPr>
          <w:rFonts w:ascii="Arial Narrow" w:hAnsi="Arial Narrow"/>
          <w:sz w:val="24"/>
          <w:szCs w:val="24"/>
        </w:rPr>
        <w:t>k</w:t>
      </w:r>
      <w:r w:rsidR="008F6A5A">
        <w:rPr>
          <w:rFonts w:ascii="Arial Narrow" w:hAnsi="Arial Narrow"/>
          <w:sz w:val="24"/>
          <w:szCs w:val="24"/>
        </w:rPr>
        <w:t xml:space="preserve"> </w:t>
      </w:r>
      <w:r w:rsidR="00EB46DE">
        <w:rPr>
          <w:rFonts w:ascii="Arial Narrow" w:hAnsi="Arial Narrow"/>
          <w:sz w:val="24"/>
          <w:szCs w:val="24"/>
        </w:rPr>
        <w:t xml:space="preserve">uvedené v příloze </w:t>
      </w:r>
      <w:proofErr w:type="gramStart"/>
      <w:r w:rsidR="00EB46DE">
        <w:rPr>
          <w:rFonts w:ascii="Arial Narrow" w:hAnsi="Arial Narrow"/>
          <w:sz w:val="24"/>
          <w:szCs w:val="24"/>
        </w:rPr>
        <w:t>č. 2</w:t>
      </w:r>
      <w:r>
        <w:rPr>
          <w:rFonts w:ascii="Arial Narrow" w:hAnsi="Arial Narrow"/>
          <w:sz w:val="24"/>
          <w:szCs w:val="24"/>
        </w:rPr>
        <w:t xml:space="preserve"> této</w:t>
      </w:r>
      <w:proofErr w:type="gramEnd"/>
      <w:r>
        <w:rPr>
          <w:rFonts w:ascii="Arial Narrow" w:hAnsi="Arial Narrow"/>
          <w:sz w:val="24"/>
          <w:szCs w:val="24"/>
        </w:rPr>
        <w:t xml:space="preserve"> smlouvy</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596F9089" w14:textId="77777777" w:rsidR="009A1647"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Kupující se zavazuje zařízení převzít a zaplatit prodávajícímu níže uvedenou kupní cenu.</w:t>
      </w:r>
    </w:p>
    <w:p w14:paraId="734849E7" w14:textId="081E94B6" w:rsidR="00482E9F" w:rsidRPr="009A1647" w:rsidRDefault="009A1647" w:rsidP="009A1647">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Prodávající</w:t>
      </w:r>
      <w:r w:rsidRPr="009A1647">
        <w:rPr>
          <w:rFonts w:ascii="Arial Narrow" w:hAnsi="Arial Narrow"/>
          <w:sz w:val="24"/>
          <w:szCs w:val="24"/>
        </w:rPr>
        <w:t xml:space="preserve"> je povinen provádět servisní činnost pouze prostřednictvím řádně kvalifikovaných osob. Požadavky na kvalifikaci jednotlivých osob poskytujících servisní činnost jsou uvedeny v příloze č. </w:t>
      </w:r>
      <w:r>
        <w:rPr>
          <w:rFonts w:ascii="Arial Narrow" w:hAnsi="Arial Narrow"/>
          <w:sz w:val="24"/>
          <w:szCs w:val="24"/>
        </w:rPr>
        <w:t>6</w:t>
      </w:r>
      <w:r w:rsidRPr="009A1647">
        <w:rPr>
          <w:rFonts w:ascii="Arial Narrow" w:hAnsi="Arial Narrow"/>
          <w:sz w:val="24"/>
          <w:szCs w:val="24"/>
        </w:rPr>
        <w:t xml:space="preserve"> této smlouvy. Výměna jakékoli z těchto osob bude možná pouze se souhlasem </w:t>
      </w:r>
      <w:r>
        <w:rPr>
          <w:rFonts w:ascii="Arial Narrow" w:hAnsi="Arial Narrow"/>
          <w:sz w:val="24"/>
          <w:szCs w:val="24"/>
        </w:rPr>
        <w:t>Kupujícího</w:t>
      </w:r>
      <w:r w:rsidRPr="009A1647">
        <w:rPr>
          <w:rFonts w:ascii="Arial Narrow" w:hAnsi="Arial Narrow"/>
          <w:sz w:val="24"/>
          <w:szCs w:val="24"/>
        </w:rPr>
        <w:t xml:space="preserve">, který nebude bezdůvodně zdržován ani odpírán, pokud však </w:t>
      </w:r>
      <w:r w:rsidRPr="005F081E">
        <w:rPr>
          <w:rFonts w:ascii="Arial Narrow" w:hAnsi="Arial Narrow"/>
          <w:sz w:val="24"/>
          <w:szCs w:val="24"/>
        </w:rPr>
        <w:t>Prodávající</w:t>
      </w:r>
      <w:r w:rsidRPr="009A1647">
        <w:rPr>
          <w:rFonts w:ascii="Arial Narrow" w:hAnsi="Arial Narrow"/>
          <w:sz w:val="24"/>
          <w:szCs w:val="24"/>
        </w:rPr>
        <w:t xml:space="preserve"> prokáže, že nový člen týmu disponuje minimálně stejnou kvalifikací, jako člen nahrazovaný; nedodržení povinnosti podle tohoto odstavce bude důvodem pro odstoupení od smlouvy.</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420E33FD"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w:t>
      </w:r>
      <w:r w:rsidRPr="00FD6F3F">
        <w:rPr>
          <w:rFonts w:ascii="Arial Narrow" w:hAnsi="Arial Narrow"/>
          <w:sz w:val="24"/>
          <w:szCs w:val="24"/>
        </w:rPr>
        <w:t xml:space="preserve">na </w:t>
      </w:r>
      <w:r w:rsidR="00081149" w:rsidRPr="00FD6F3F">
        <w:rPr>
          <w:rFonts w:ascii="Arial Narrow" w:hAnsi="Arial Narrow"/>
          <w:sz w:val="24"/>
          <w:szCs w:val="24"/>
        </w:rPr>
        <w:t>Č</w:t>
      </w:r>
      <w:r w:rsidR="003044BE" w:rsidRPr="00FD6F3F">
        <w:rPr>
          <w:rFonts w:ascii="Arial Narrow" w:hAnsi="Arial Narrow"/>
          <w:sz w:val="24"/>
          <w:szCs w:val="24"/>
        </w:rPr>
        <w:t>ást</w:t>
      </w:r>
      <w:r w:rsidR="00081149" w:rsidRPr="00FD6F3F">
        <w:rPr>
          <w:rFonts w:ascii="Arial Narrow" w:hAnsi="Arial Narrow"/>
          <w:sz w:val="24"/>
          <w:szCs w:val="24"/>
        </w:rPr>
        <w:t xml:space="preserve"> 1</w:t>
      </w:r>
      <w:r w:rsidR="003044BE">
        <w:rPr>
          <w:rFonts w:ascii="Arial Narrow" w:hAnsi="Arial Narrow"/>
          <w:sz w:val="24"/>
          <w:szCs w:val="24"/>
        </w:rPr>
        <w:t xml:space="preserve"> veřejné zakázky</w:t>
      </w:r>
      <w:r w:rsidRPr="005F081E">
        <w:rPr>
          <w:rFonts w:ascii="Arial Narrow" w:hAnsi="Arial Narrow"/>
          <w:sz w:val="24"/>
          <w:szCs w:val="24"/>
        </w:rPr>
        <w:t xml:space="preserve">. </w:t>
      </w:r>
    </w:p>
    <w:p w14:paraId="0BA1CFEF" w14:textId="12CD3881" w:rsidR="00482E9F" w:rsidRPr="005F081E"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F63191">
        <w:rPr>
          <w:rFonts w:ascii="Arial Narrow" w:hAnsi="Arial Narrow"/>
          <w:sz w:val="24"/>
          <w:szCs w:val="24"/>
        </w:rPr>
        <w:t>3738150,00</w:t>
      </w:r>
      <w:r w:rsidRPr="005F081E">
        <w:rPr>
          <w:rFonts w:ascii="Arial Narrow" w:hAnsi="Arial Narrow"/>
          <w:sz w:val="24"/>
          <w:szCs w:val="24"/>
        </w:rPr>
        <w:t xml:space="preserve">,- Kč bez DPH, tj. </w:t>
      </w:r>
      <w:r w:rsidR="00F63191">
        <w:rPr>
          <w:rFonts w:ascii="Arial Narrow" w:hAnsi="Arial Narrow"/>
          <w:sz w:val="24"/>
          <w:szCs w:val="24"/>
        </w:rPr>
        <w:t>4523151,50</w:t>
      </w:r>
      <w:r w:rsidRPr="005F081E">
        <w:rPr>
          <w:rFonts w:ascii="Arial Narrow" w:hAnsi="Arial Narrow"/>
          <w:sz w:val="24"/>
          <w:szCs w:val="24"/>
        </w:rPr>
        <w:t xml:space="preserve"> Kč vč. </w:t>
      </w:r>
      <w:r w:rsidR="00F63191">
        <w:rPr>
          <w:rFonts w:ascii="Arial Narrow" w:hAnsi="Arial Narrow"/>
          <w:sz w:val="24"/>
          <w:szCs w:val="24"/>
        </w:rPr>
        <w:t xml:space="preserve">21 </w:t>
      </w:r>
      <w:r w:rsidRPr="005F081E">
        <w:rPr>
          <w:rFonts w:ascii="Arial Narrow" w:hAnsi="Arial Narrow"/>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w:t>
      </w:r>
      <w:r w:rsidR="003044BE" w:rsidRPr="00FD6F3F">
        <w:rPr>
          <w:rFonts w:ascii="Arial Narrow" w:hAnsi="Arial Narrow"/>
          <w:sz w:val="24"/>
          <w:szCs w:val="24"/>
        </w:rPr>
        <w:t>být kupní</w:t>
      </w:r>
      <w:r w:rsidRPr="00FD6F3F">
        <w:rPr>
          <w:rFonts w:ascii="Arial Narrow" w:hAnsi="Arial Narrow"/>
          <w:sz w:val="24"/>
          <w:szCs w:val="24"/>
        </w:rPr>
        <w:t xml:space="preserve"> cena</w:t>
      </w:r>
      <w:r>
        <w:rPr>
          <w:rFonts w:ascii="Arial Narrow" w:hAnsi="Arial Narrow"/>
          <w:sz w:val="24"/>
          <w:szCs w:val="24"/>
        </w:rPr>
        <w:t xml:space="preserve"> měněna.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w:t>
      </w:r>
      <w:r w:rsidRPr="005F081E">
        <w:rPr>
          <w:rFonts w:ascii="Arial Narrow" w:hAnsi="Arial Narrow"/>
          <w:sz w:val="24"/>
          <w:szCs w:val="24"/>
        </w:rPr>
        <w:lastRenderedPageBreak/>
        <w:t xml:space="preserve">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0692ED8D" w:rsidR="00482E9F" w:rsidRPr="005F081E" w:rsidRDefault="00482E9F" w:rsidP="00482E9F">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w:t>
      </w:r>
      <w:r w:rsidRPr="003931AF">
        <w:rPr>
          <w:rFonts w:ascii="Arial Narrow" w:hAnsi="Arial Narrow"/>
          <w:sz w:val="24"/>
          <w:szCs w:val="24"/>
        </w:rPr>
        <w:t xml:space="preserve">do </w:t>
      </w:r>
      <w:r w:rsidR="002E1B12">
        <w:rPr>
          <w:rFonts w:ascii="Arial Narrow" w:hAnsi="Arial Narrow"/>
          <w:sz w:val="24"/>
          <w:szCs w:val="24"/>
        </w:rPr>
        <w:t>2 měsíců o</w:t>
      </w:r>
      <w:r w:rsidRPr="004A4EAF">
        <w:rPr>
          <w:rFonts w:ascii="Arial Narrow" w:hAnsi="Arial Narrow"/>
          <w:sz w:val="24"/>
          <w:szCs w:val="24"/>
        </w:rPr>
        <w:t xml:space="preserve">d </w:t>
      </w:r>
      <w:r w:rsidR="00C26B93" w:rsidRPr="004A4EAF">
        <w:rPr>
          <w:rFonts w:ascii="Arial Narrow" w:hAnsi="Arial Narrow"/>
          <w:sz w:val="24"/>
          <w:szCs w:val="24"/>
        </w:rPr>
        <w:t>podpisu této smlouvy oběma účastníky.</w:t>
      </w:r>
    </w:p>
    <w:p w14:paraId="7C9B955A" w14:textId="77777777" w:rsidR="00482E9F" w:rsidRPr="005F081E" w:rsidRDefault="00482E9F" w:rsidP="00482E9F">
      <w:pPr>
        <w:spacing w:after="0"/>
        <w:ind w:left="284" w:hanging="284"/>
        <w:jc w:val="both"/>
        <w:rPr>
          <w:rFonts w:ascii="Arial Narrow" w:hAnsi="Arial Narrow"/>
          <w:sz w:val="24"/>
          <w:szCs w:val="24"/>
        </w:rPr>
      </w:pPr>
    </w:p>
    <w:p w14:paraId="77BD88EA" w14:textId="77777777" w:rsidR="00482E9F" w:rsidRPr="0028244C" w:rsidRDefault="00482E9F" w:rsidP="00482E9F">
      <w:pPr>
        <w:numPr>
          <w:ilvl w:val="0"/>
          <w:numId w:val="13"/>
        </w:numPr>
        <w:spacing w:after="0"/>
        <w:ind w:left="284" w:hanging="284"/>
        <w:jc w:val="center"/>
        <w:rPr>
          <w:rFonts w:ascii="Arial Narrow" w:hAnsi="Arial Narrow"/>
          <w:b/>
          <w:sz w:val="24"/>
          <w:szCs w:val="24"/>
        </w:rPr>
      </w:pPr>
      <w:r w:rsidRPr="0028244C">
        <w:rPr>
          <w:rFonts w:ascii="Arial Narrow" w:hAnsi="Arial Narrow"/>
          <w:b/>
          <w:sz w:val="24"/>
          <w:szCs w:val="24"/>
        </w:rPr>
        <w:t>Místo plnění</w:t>
      </w:r>
    </w:p>
    <w:p w14:paraId="3D3A7683" w14:textId="77777777" w:rsidR="00482E9F" w:rsidRPr="0028244C" w:rsidRDefault="00482E9F" w:rsidP="00482E9F">
      <w:pPr>
        <w:spacing w:after="0"/>
        <w:ind w:left="284" w:hanging="284"/>
        <w:rPr>
          <w:rFonts w:ascii="Arial Narrow" w:hAnsi="Arial Narrow"/>
          <w:b/>
          <w:sz w:val="24"/>
          <w:szCs w:val="24"/>
        </w:rPr>
      </w:pPr>
    </w:p>
    <w:p w14:paraId="06E16306" w14:textId="0EBADBAD" w:rsidR="00482E9F" w:rsidRPr="0028244C" w:rsidRDefault="00482E9F" w:rsidP="00482E9F">
      <w:pPr>
        <w:numPr>
          <w:ilvl w:val="0"/>
          <w:numId w:val="6"/>
        </w:numPr>
        <w:spacing w:after="0"/>
        <w:ind w:left="284" w:hanging="284"/>
        <w:jc w:val="both"/>
        <w:rPr>
          <w:rFonts w:ascii="Arial Narrow" w:hAnsi="Arial Narrow"/>
          <w:sz w:val="24"/>
          <w:szCs w:val="24"/>
        </w:rPr>
      </w:pPr>
      <w:r w:rsidRPr="0028244C">
        <w:rPr>
          <w:rFonts w:ascii="Arial Narrow" w:hAnsi="Arial Narrow"/>
          <w:sz w:val="24"/>
          <w:szCs w:val="24"/>
        </w:rPr>
        <w:t>Zařízení bude odevzdáno v sídle kupujícího</w:t>
      </w:r>
      <w:r w:rsidR="00C8432C" w:rsidRPr="0028244C">
        <w:rPr>
          <w:rFonts w:ascii="Arial Narrow" w:hAnsi="Arial Narrow"/>
          <w:sz w:val="24"/>
          <w:szCs w:val="24"/>
        </w:rPr>
        <w:t xml:space="preserve"> v pavilonu </w:t>
      </w:r>
      <w:r w:rsidR="00090DE6">
        <w:rPr>
          <w:rFonts w:ascii="Arial Narrow" w:hAnsi="Arial Narrow"/>
          <w:sz w:val="24"/>
          <w:szCs w:val="24"/>
        </w:rPr>
        <w:t>„L</w:t>
      </w:r>
      <w:r w:rsidR="00287317">
        <w:rPr>
          <w:rFonts w:ascii="Arial Narrow" w:hAnsi="Arial Narrow"/>
          <w:sz w:val="24"/>
          <w:szCs w:val="24"/>
        </w:rPr>
        <w:t>“</w:t>
      </w:r>
      <w:r w:rsidR="00E47E07">
        <w:rPr>
          <w:rFonts w:ascii="Arial Narrow" w:hAnsi="Arial Narrow"/>
          <w:sz w:val="24"/>
          <w:szCs w:val="24"/>
        </w:rPr>
        <w:t xml:space="preserve"> – </w:t>
      </w:r>
      <w:r w:rsidR="00287317">
        <w:rPr>
          <w:rFonts w:ascii="Arial Narrow" w:hAnsi="Arial Narrow"/>
          <w:sz w:val="24"/>
          <w:szCs w:val="24"/>
        </w:rPr>
        <w:t xml:space="preserve">oddělení </w:t>
      </w:r>
      <w:r w:rsidR="00090DE6">
        <w:rPr>
          <w:rFonts w:ascii="Arial Narrow" w:hAnsi="Arial Narrow"/>
          <w:sz w:val="24"/>
          <w:szCs w:val="24"/>
        </w:rPr>
        <w:t xml:space="preserve">lůžkové </w:t>
      </w:r>
      <w:r w:rsidR="00E47E07">
        <w:rPr>
          <w:rFonts w:ascii="Arial Narrow" w:hAnsi="Arial Narrow"/>
          <w:sz w:val="24"/>
          <w:szCs w:val="24"/>
        </w:rPr>
        <w:t>Rehabilitace</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65FD632F"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A773F4">
        <w:rPr>
          <w:rFonts w:ascii="Arial Narrow" w:hAnsi="Arial Narrow"/>
          <w:sz w:val="24"/>
          <w:szCs w:val="24"/>
        </w:rPr>
        <w:t xml:space="preserve"> </w:t>
      </w:r>
      <w:bookmarkStart w:id="0" w:name="_GoBack"/>
      <w:bookmarkEnd w:id="0"/>
    </w:p>
    <w:p w14:paraId="0A4404B5" w14:textId="4DF79C7B" w:rsidR="00482E9F" w:rsidRDefault="00482E9F" w:rsidP="00482E9F">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lastRenderedPageBreak/>
        <w:t>Kontaktní osobou prodávajícího je pro účely</w:t>
      </w:r>
      <w:r>
        <w:rPr>
          <w:rFonts w:ascii="Arial Narrow" w:hAnsi="Arial Narrow"/>
          <w:sz w:val="24"/>
          <w:szCs w:val="24"/>
        </w:rPr>
        <w:t xml:space="preserve"> této smlouvy určen </w:t>
      </w:r>
      <w:r w:rsidR="000842A0" w:rsidRPr="007E3422">
        <w:rPr>
          <w:rFonts w:ascii="Arial Narrow" w:hAnsi="Arial Narrow"/>
          <w:sz w:val="24"/>
          <w:szCs w:val="24"/>
        </w:rPr>
        <w:t xml:space="preserve">[DOPLNÍ </w:t>
      </w:r>
      <w:r w:rsidR="000842A0">
        <w:rPr>
          <w:rFonts w:ascii="Arial Narrow" w:hAnsi="Arial Narrow"/>
          <w:sz w:val="24"/>
          <w:szCs w:val="24"/>
        </w:rPr>
        <w:t>ÚČASTNÍK</w:t>
      </w:r>
      <w:r w:rsidR="000842A0" w:rsidRPr="007E3422">
        <w:rPr>
          <w:rFonts w:ascii="Arial Narrow" w:hAnsi="Arial Narrow"/>
          <w:sz w:val="24"/>
          <w:szCs w:val="24"/>
        </w:rPr>
        <w:t>]</w:t>
      </w:r>
      <w:r w:rsidR="008D781A">
        <w:rPr>
          <w:rFonts w:ascii="Arial Narrow" w:hAnsi="Arial Narrow"/>
          <w:sz w:val="24"/>
          <w:szCs w:val="24"/>
        </w:rPr>
        <w:t xml:space="preserve"> </w:t>
      </w:r>
      <w:r w:rsidRPr="00E11EDA">
        <w:rPr>
          <w:rFonts w:ascii="Arial Narrow" w:hAnsi="Arial Narrow"/>
          <w:sz w:val="24"/>
          <w:szCs w:val="24"/>
        </w:rPr>
        <w:t>tel.</w:t>
      </w:r>
      <w:r>
        <w:rPr>
          <w:rFonts w:ascii="Arial Narrow" w:hAnsi="Arial Narrow"/>
          <w:sz w:val="24"/>
          <w:szCs w:val="24"/>
        </w:rPr>
        <w:t xml:space="preserve"> </w:t>
      </w:r>
      <w:r w:rsidR="000842A0" w:rsidRPr="007E3422">
        <w:rPr>
          <w:rFonts w:ascii="Arial Narrow" w:hAnsi="Arial Narrow"/>
          <w:sz w:val="24"/>
          <w:szCs w:val="24"/>
        </w:rPr>
        <w:t xml:space="preserve">[DOPLNÍ </w:t>
      </w:r>
      <w:r w:rsidR="000842A0">
        <w:rPr>
          <w:rFonts w:ascii="Arial Narrow" w:hAnsi="Arial Narrow"/>
          <w:sz w:val="24"/>
          <w:szCs w:val="24"/>
        </w:rPr>
        <w:t>ÚČASTNÍK</w:t>
      </w:r>
      <w:r w:rsidR="000842A0" w:rsidRPr="007E3422">
        <w:rPr>
          <w:rFonts w:ascii="Arial Narrow" w:hAnsi="Arial Narrow"/>
          <w:sz w:val="24"/>
          <w:szCs w:val="24"/>
        </w:rPr>
        <w:t>]</w:t>
      </w:r>
      <w:r w:rsidR="000842A0">
        <w:rPr>
          <w:rFonts w:ascii="Arial Narrow" w:hAnsi="Arial Narrow"/>
          <w:sz w:val="24"/>
          <w:szCs w:val="24"/>
        </w:rPr>
        <w:t xml:space="preserve">, </w:t>
      </w:r>
      <w:r w:rsidRPr="00E11EDA">
        <w:rPr>
          <w:rFonts w:ascii="Arial Narrow" w:hAnsi="Arial Narrow"/>
          <w:sz w:val="24"/>
          <w:szCs w:val="24"/>
        </w:rPr>
        <w:t xml:space="preserve">e-mail: </w:t>
      </w:r>
      <w:r w:rsidR="000842A0" w:rsidRPr="007E3422">
        <w:rPr>
          <w:rFonts w:ascii="Arial Narrow" w:hAnsi="Arial Narrow"/>
          <w:sz w:val="24"/>
          <w:szCs w:val="24"/>
        </w:rPr>
        <w:t xml:space="preserve">[DOPLNÍ </w:t>
      </w:r>
      <w:r w:rsidR="000842A0">
        <w:rPr>
          <w:rFonts w:ascii="Arial Narrow" w:hAnsi="Arial Narrow"/>
          <w:sz w:val="24"/>
          <w:szCs w:val="24"/>
        </w:rPr>
        <w:t>ÚČASTNÍK</w:t>
      </w:r>
      <w:r w:rsidR="000842A0" w:rsidRPr="007E3422">
        <w:rPr>
          <w:rFonts w:ascii="Arial Narrow" w:hAnsi="Arial Narrow"/>
          <w:sz w:val="24"/>
          <w:szCs w:val="24"/>
        </w:rPr>
        <w:t>]</w:t>
      </w:r>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této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299B19D4"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3 této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w:t>
      </w:r>
      <w:r w:rsidRPr="008171A9">
        <w:rPr>
          <w:rFonts w:ascii="Arial Narrow" w:hAnsi="Arial Narrow"/>
          <w:sz w:val="24"/>
          <w:szCs w:val="24"/>
        </w:rPr>
        <w:lastRenderedPageBreak/>
        <w:t xml:space="preserve">pomocí kterého </w:t>
      </w:r>
      <w:r w:rsidR="008369B1">
        <w:rPr>
          <w:rFonts w:ascii="Arial Narrow" w:hAnsi="Arial Narrow"/>
          <w:sz w:val="24"/>
          <w:szCs w:val="24"/>
        </w:rPr>
        <w:t xml:space="preserve">prodávající </w:t>
      </w:r>
      <w:r w:rsidRPr="008171A9">
        <w:rPr>
          <w:rFonts w:ascii="Arial Narrow" w:hAnsi="Arial Narrow"/>
          <w:sz w:val="24"/>
          <w:szCs w:val="24"/>
        </w:rPr>
        <w:t>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jejíchž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4C9C8F7F" w:rsidR="00482E9F" w:rsidRDefault="00482E9F" w:rsidP="00482E9F">
      <w:pPr>
        <w:numPr>
          <w:ilvl w:val="0"/>
          <w:numId w:val="12"/>
        </w:numPr>
        <w:spacing w:after="0"/>
        <w:ind w:left="284" w:hanging="284"/>
        <w:jc w:val="both"/>
        <w:rPr>
          <w:rFonts w:ascii="Arial Narrow" w:hAnsi="Arial Narrow"/>
          <w:sz w:val="24"/>
          <w:szCs w:val="24"/>
        </w:rPr>
      </w:pPr>
      <w:r w:rsidRPr="003931AF">
        <w:rPr>
          <w:rFonts w:ascii="Arial Narrow" w:hAnsi="Arial Narrow"/>
          <w:sz w:val="24"/>
          <w:szCs w:val="24"/>
        </w:rPr>
        <w:t>Záruční doba</w:t>
      </w:r>
      <w:r>
        <w:rPr>
          <w:rFonts w:ascii="Arial Narrow" w:hAnsi="Arial Narrow"/>
          <w:sz w:val="24"/>
          <w:szCs w:val="24"/>
        </w:rPr>
        <w:t xml:space="preserve"> se sjednává v délce </w:t>
      </w:r>
      <w:r w:rsidR="00183792">
        <w:rPr>
          <w:rFonts w:ascii="Arial Narrow" w:hAnsi="Arial Narrow"/>
          <w:sz w:val="24"/>
          <w:szCs w:val="24"/>
        </w:rPr>
        <w:t>24</w:t>
      </w:r>
      <w:r>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45434D38" w:rsidR="00D63CA5" w:rsidRPr="00D63CA5" w:rsidRDefault="00482E9F"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w:t>
      </w:r>
      <w:r w:rsidR="0080049E">
        <w:rPr>
          <w:rFonts w:ascii="Arial Narrow" w:hAnsi="Arial Narrow"/>
          <w:sz w:val="24"/>
          <w:szCs w:val="24"/>
        </w:rPr>
        <w:t xml:space="preserve"> odstranit nejpozději však do 48</w:t>
      </w:r>
      <w:r w:rsidR="00B23185">
        <w:rPr>
          <w:rFonts w:ascii="Arial Narrow" w:hAnsi="Arial Narrow"/>
          <w:sz w:val="24"/>
          <w:szCs w:val="24"/>
        </w:rPr>
        <w:t xml:space="preserve"> hodin od nahlášení vady. Pokud v důsledku výskytu záruční vady na zařízení, kterou se prodávajícímu nepodař</w:t>
      </w:r>
      <w:r w:rsidR="0080049E">
        <w:rPr>
          <w:rFonts w:ascii="Arial Narrow" w:hAnsi="Arial Narrow"/>
          <w:sz w:val="24"/>
          <w:szCs w:val="24"/>
        </w:rPr>
        <w:t>í odstranit do stanovené doby 48</w:t>
      </w:r>
      <w:r w:rsidR="00B23185">
        <w:rPr>
          <w:rFonts w:ascii="Arial Narrow" w:hAnsi="Arial Narrow"/>
          <w:sz w:val="24"/>
          <w:szCs w:val="24"/>
        </w:rPr>
        <w:t xml:space="preserve"> hodin od nahlášení vady (např. při nemožnosti zajištění včasné dodávky náhradních dílů), nebude moci zařízení nadále užívat, zavazuje se prodávající na výzvu kupujícího poskytnout </w:t>
      </w:r>
      <w:r w:rsidR="0077581C">
        <w:rPr>
          <w:rFonts w:ascii="Arial Narrow" w:hAnsi="Arial Narrow"/>
          <w:sz w:val="24"/>
          <w:szCs w:val="24"/>
        </w:rPr>
        <w:t xml:space="preserve">popř. zajistit poskytnutí </w:t>
      </w:r>
      <w:r w:rsidR="00B23185">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w:t>
      </w:r>
      <w:r w:rsidRPr="00A42DF3">
        <w:rPr>
          <w:rFonts w:ascii="Arial Narrow" w:hAnsi="Arial Narrow"/>
          <w:sz w:val="24"/>
          <w:szCs w:val="24"/>
        </w:rPr>
        <w:lastRenderedPageBreak/>
        <w:t xml:space="preserve">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696FD416" w14:textId="530A0BFC" w:rsidR="00A1131F" w:rsidRPr="00090DE6"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02285033" w14:textId="77777777" w:rsidR="00A1131F" w:rsidRDefault="00A1131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7FAF19C7" w14:textId="39D2C168" w:rsidR="00C30E9E" w:rsidRPr="00C30E9E" w:rsidRDefault="00482E9F" w:rsidP="00C30E9E">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3A119436" w14:textId="1ADA49D2" w:rsidR="00C30E9E" w:rsidRPr="00D35837" w:rsidRDefault="00C30E9E" w:rsidP="00C30E9E">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lastRenderedPageBreak/>
        <w:t xml:space="preserve">Prodávající </w:t>
      </w:r>
      <w:r w:rsidRPr="00CD55E9">
        <w:rPr>
          <w:rFonts w:ascii="Arial Narrow" w:hAnsi="Arial Narrow"/>
          <w:sz w:val="24"/>
          <w:szCs w:val="24"/>
        </w:rPr>
        <w:t xml:space="preserve">se zavazuje uzavřít </w:t>
      </w:r>
      <w:r w:rsidRPr="00CC6498">
        <w:rPr>
          <w:rFonts w:ascii="Arial Narrow" w:hAnsi="Arial Narrow"/>
          <w:sz w:val="24"/>
          <w:szCs w:val="24"/>
        </w:rPr>
        <w:t xml:space="preserve">pojištění odpovědnosti za škodu způsobenou prodávajícím </w:t>
      </w:r>
      <w:r w:rsidR="00E47E07">
        <w:rPr>
          <w:rFonts w:ascii="Arial Narrow" w:hAnsi="Arial Narrow"/>
          <w:sz w:val="24"/>
          <w:szCs w:val="24"/>
        </w:rPr>
        <w:t>třetí osobě ve výši minimálně 10</w:t>
      </w:r>
      <w:r w:rsidRPr="00CC6498">
        <w:rPr>
          <w:rFonts w:ascii="Arial Narrow" w:hAnsi="Arial Narrow"/>
          <w:sz w:val="24"/>
          <w:szCs w:val="24"/>
        </w:rPr>
        <w:t xml:space="preserve"> mil. Kč</w:t>
      </w:r>
      <w:r>
        <w:rPr>
          <w:rFonts w:ascii="Arial Narrow" w:hAnsi="Arial Narrow"/>
          <w:sz w:val="24"/>
          <w:szCs w:val="24"/>
        </w:rPr>
        <w:t xml:space="preserve"> </w:t>
      </w:r>
      <w:r w:rsidRPr="00560806">
        <w:rPr>
          <w:rFonts w:ascii="Arial Narrow" w:hAnsi="Arial Narrow"/>
          <w:sz w:val="24"/>
          <w:szCs w:val="24"/>
        </w:rPr>
        <w:t>se spoluúčastí prodávajícího nejvýše 150 tis. Kč</w:t>
      </w:r>
      <w:r>
        <w:rPr>
          <w:rFonts w:ascii="Arial Narrow" w:hAnsi="Arial Narrow"/>
          <w:sz w:val="24"/>
          <w:szCs w:val="24"/>
        </w:rPr>
        <w:t>,</w:t>
      </w:r>
      <w:r w:rsidRPr="00CC6498">
        <w:rPr>
          <w:rFonts w:ascii="Arial Narrow" w:hAnsi="Arial Narrow"/>
          <w:sz w:val="24"/>
          <w:szCs w:val="24"/>
        </w:rPr>
        <w:t xml:space="preserve"> a to</w:t>
      </w:r>
      <w:r w:rsidRPr="00CD55E9">
        <w:rPr>
          <w:rFonts w:ascii="Arial Narrow" w:hAnsi="Arial Narrow"/>
          <w:sz w:val="24"/>
          <w:szCs w:val="24"/>
        </w:rPr>
        <w:t xml:space="preserve"> v případě, že pojištění v požadovaném rozsahu a výši již sjednáno nemá. Prodávající se zavazuje předložit před podpisem smlouvy doklad o uzavření pojištění kupujícímu.</w:t>
      </w:r>
      <w:r>
        <w:rPr>
          <w:rFonts w:ascii="Arial Narrow" w:hAnsi="Arial Narrow"/>
          <w:sz w:val="24"/>
          <w:szCs w:val="24"/>
        </w:rPr>
        <w:t xml:space="preserve"> </w:t>
      </w:r>
      <w:r w:rsidRPr="00AB1392">
        <w:rPr>
          <w:rFonts w:ascii="Arial Narrow" w:hAnsi="Arial Narrow"/>
          <w:sz w:val="24"/>
          <w:szCs w:val="24"/>
        </w:rPr>
        <w:t xml:space="preserve">Pojistná smlouva musí být platná po celou dobu </w:t>
      </w:r>
      <w:r>
        <w:rPr>
          <w:rFonts w:ascii="Arial Narrow" w:hAnsi="Arial Narrow"/>
          <w:sz w:val="24"/>
          <w:szCs w:val="24"/>
        </w:rPr>
        <w:t>trvání této smlouvy.</w:t>
      </w:r>
    </w:p>
    <w:p w14:paraId="3644D1AD" w14:textId="77777777" w:rsidR="00FD6F3F" w:rsidRDefault="00FD6F3F" w:rsidP="00482E9F">
      <w:pPr>
        <w:spacing w:after="0"/>
        <w:rPr>
          <w:rFonts w:ascii="Arial Narrow" w:hAnsi="Arial Narrow"/>
          <w:sz w:val="24"/>
          <w:szCs w:val="24"/>
        </w:rPr>
      </w:pP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606FA5B"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zaplatí kupujícímu smluvní pokutu ve výši 0,5% kupní ceny</w:t>
      </w:r>
      <w:r w:rsidR="002E1B12">
        <w:rPr>
          <w:rFonts w:ascii="Arial Narrow" w:hAnsi="Arial Narrow"/>
          <w:sz w:val="24"/>
          <w:szCs w:val="24"/>
        </w:rPr>
        <w:t xml:space="preserve"> zařízení</w:t>
      </w:r>
      <w:r>
        <w:rPr>
          <w:rFonts w:ascii="Arial Narrow" w:hAnsi="Arial Narrow"/>
          <w:sz w:val="24"/>
          <w:szCs w:val="24"/>
        </w:rPr>
        <w:t xml:space="preserve"> včetně DPH uvedené v</w:t>
      </w:r>
      <w:r w:rsidR="002E1B12">
        <w:rPr>
          <w:rFonts w:ascii="Arial Narrow" w:hAnsi="Arial Narrow"/>
          <w:sz w:val="24"/>
          <w:szCs w:val="24"/>
        </w:rPr>
        <w:t xml:space="preserve"> příloze č. 1 </w:t>
      </w:r>
      <w:r>
        <w:rPr>
          <w:rFonts w:ascii="Arial Narrow" w:hAnsi="Arial Narrow"/>
          <w:sz w:val="24"/>
          <w:szCs w:val="24"/>
        </w:rPr>
        <w:t xml:space="preserve">této smlouvy za každých započatých 24 hodin prodlení. </w:t>
      </w:r>
    </w:p>
    <w:p w14:paraId="2A9304C5" w14:textId="1AA73AB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w:t>
      </w:r>
      <w:r w:rsidR="002E1B12">
        <w:rPr>
          <w:rFonts w:ascii="Arial Narrow" w:hAnsi="Arial Narrow"/>
          <w:sz w:val="24"/>
          <w:szCs w:val="24"/>
        </w:rPr>
        <w:t> příloze č. 1 této</w:t>
      </w:r>
      <w:r>
        <w:rPr>
          <w:rFonts w:ascii="Arial Narrow" w:hAnsi="Arial Narrow"/>
          <w:sz w:val="24"/>
          <w:szCs w:val="24"/>
        </w:rPr>
        <w:t xml:space="preserve">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643D3B2" w14:textId="77777777" w:rsidR="00CC6498" w:rsidRPr="00286643" w:rsidRDefault="00CC6498" w:rsidP="00CC6498">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poskytovat požadované informace a dokumentaci související s realizací předmětu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lastRenderedPageBreak/>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6F250718" w14:textId="1969AB75" w:rsidR="00FD6F3F" w:rsidRPr="00A1131F" w:rsidRDefault="00482E9F" w:rsidP="00FD6F3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7A8E0AE4" w14:textId="77777777" w:rsidR="00FD6F3F" w:rsidRPr="005F081E" w:rsidRDefault="00FD6F3F" w:rsidP="00FD6F3F">
      <w:pPr>
        <w:pStyle w:val="Smlouva-slo"/>
        <w:widowControl w:val="0"/>
        <w:tabs>
          <w:tab w:val="left" w:pos="0"/>
        </w:tabs>
        <w:spacing w:before="0" w:line="276" w:lineRule="auto"/>
        <w:rPr>
          <w:rFonts w:ascii="Arial Narrow" w:hAnsi="Arial Narrow"/>
        </w:rPr>
      </w:pP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lastRenderedPageBreak/>
        <w:t xml:space="preserve">Příloha č. 5 – </w:t>
      </w:r>
      <w:r w:rsidR="00305194" w:rsidRPr="00EB46DE">
        <w:rPr>
          <w:rFonts w:ascii="Arial Narrow" w:hAnsi="Arial Narrow"/>
        </w:rPr>
        <w:t>Prohlášení o shodě – CE certifikát</w:t>
      </w:r>
    </w:p>
    <w:p w14:paraId="7EC4B866" w14:textId="2F9C8FBA" w:rsidR="00D07599" w:rsidRDefault="00D07599"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6 – Seznam techniků</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C2FAD">
            <w:pPr>
              <w:keepNext/>
              <w:suppressAutoHyphens/>
              <w:spacing w:after="0"/>
              <w:rPr>
                <w:rFonts w:ascii="Arial Narrow" w:hAnsi="Arial Narrow"/>
                <w:b/>
                <w:caps/>
                <w:sz w:val="24"/>
              </w:rPr>
            </w:pPr>
          </w:p>
          <w:p w14:paraId="7CDEE1FC"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C2FAD">
            <w:pPr>
              <w:keepNext/>
              <w:suppressAutoHyphens/>
              <w:spacing w:after="0"/>
              <w:rPr>
                <w:rFonts w:ascii="Arial Narrow" w:hAnsi="Arial Narrow"/>
                <w:sz w:val="24"/>
              </w:rPr>
            </w:pPr>
          </w:p>
          <w:p w14:paraId="7AA28330" w14:textId="77777777" w:rsidR="0029712C" w:rsidRDefault="0029712C" w:rsidP="005C2FAD">
            <w:pPr>
              <w:keepNext/>
              <w:suppressAutoHyphens/>
              <w:spacing w:after="0"/>
              <w:rPr>
                <w:rFonts w:ascii="Arial Narrow" w:hAnsi="Arial Narrow"/>
                <w:sz w:val="24"/>
              </w:rPr>
            </w:pPr>
          </w:p>
          <w:p w14:paraId="478FBF93" w14:textId="77777777" w:rsidR="00482E9F" w:rsidRPr="007157BD" w:rsidRDefault="00482E9F" w:rsidP="005C2FAD">
            <w:pPr>
              <w:keepNext/>
              <w:suppressAutoHyphens/>
              <w:spacing w:after="0"/>
              <w:rPr>
                <w:rFonts w:ascii="Arial Narrow" w:hAnsi="Arial Narrow"/>
                <w:sz w:val="24"/>
              </w:rPr>
            </w:pPr>
          </w:p>
          <w:p w14:paraId="70B53D0C"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C2FAD">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C2FAD">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C2FAD">
            <w:pPr>
              <w:keepNext/>
              <w:suppressAutoHyphens/>
              <w:spacing w:after="0"/>
              <w:rPr>
                <w:rFonts w:ascii="Arial Narrow" w:hAnsi="Arial Narrow"/>
                <w:b/>
                <w:sz w:val="24"/>
              </w:rPr>
            </w:pPr>
            <w:r w:rsidRPr="004A4EAF">
              <w:rPr>
                <w:rFonts w:ascii="Arial Narrow" w:hAnsi="Arial Narrow"/>
                <w:b/>
                <w:sz w:val="24"/>
              </w:rPr>
              <w:t>MUDr. Petr Chudomel, MBA</w:t>
            </w:r>
          </w:p>
          <w:p w14:paraId="1189AD2A" w14:textId="117BD3F0" w:rsidR="006F5FB0" w:rsidRPr="006F5FB0" w:rsidRDefault="006F5FB0" w:rsidP="005C2FAD">
            <w:pPr>
              <w:keepNext/>
              <w:suppressAutoHyphens/>
              <w:spacing w:after="0"/>
              <w:rPr>
                <w:rFonts w:ascii="Arial Narrow" w:hAnsi="Arial Narrow"/>
                <w:sz w:val="24"/>
              </w:rPr>
            </w:pPr>
            <w:r w:rsidRPr="004A4EAF">
              <w:rPr>
                <w:rFonts w:ascii="Arial Narrow" w:hAnsi="Arial Narrow"/>
                <w:sz w:val="24"/>
              </w:rPr>
              <w:t xml:space="preserve">           ředitel</w:t>
            </w:r>
          </w:p>
        </w:tc>
        <w:tc>
          <w:tcPr>
            <w:tcW w:w="4343" w:type="dxa"/>
          </w:tcPr>
          <w:p w14:paraId="69C4E79E"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41F67D8D" w14:textId="77777777" w:rsidR="0029712C" w:rsidRDefault="0029712C" w:rsidP="005C2FAD">
            <w:pPr>
              <w:keepNext/>
              <w:suppressAutoHyphens/>
              <w:spacing w:after="0"/>
              <w:rPr>
                <w:rFonts w:ascii="Arial Narrow" w:hAnsi="Arial Narrow"/>
                <w:b/>
                <w:caps/>
                <w:sz w:val="24"/>
              </w:rPr>
            </w:pPr>
          </w:p>
          <w:p w14:paraId="283B6C4E"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C2FAD">
            <w:pPr>
              <w:keepNext/>
              <w:suppressAutoHyphens/>
              <w:spacing w:after="0"/>
              <w:rPr>
                <w:rFonts w:ascii="Arial Narrow" w:hAnsi="Arial Narrow"/>
                <w:sz w:val="24"/>
              </w:rPr>
            </w:pPr>
          </w:p>
          <w:p w14:paraId="1F876D69" w14:textId="77777777" w:rsidR="00305194" w:rsidRDefault="00305194" w:rsidP="005C2FAD">
            <w:pPr>
              <w:keepNext/>
              <w:suppressAutoHyphens/>
              <w:spacing w:after="0"/>
              <w:rPr>
                <w:rFonts w:ascii="Arial Narrow" w:hAnsi="Arial Narrow"/>
                <w:sz w:val="24"/>
              </w:rPr>
            </w:pPr>
          </w:p>
          <w:p w14:paraId="297D2638" w14:textId="77777777" w:rsidR="0029712C" w:rsidRPr="007157BD" w:rsidRDefault="0029712C" w:rsidP="005C2FAD">
            <w:pPr>
              <w:keepNext/>
              <w:suppressAutoHyphens/>
              <w:spacing w:after="0"/>
              <w:rPr>
                <w:rFonts w:ascii="Arial Narrow" w:hAnsi="Arial Narrow"/>
                <w:sz w:val="24"/>
              </w:rPr>
            </w:pPr>
          </w:p>
          <w:p w14:paraId="412FFA5A"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7CAB679E" w:rsidR="00482E9F" w:rsidRPr="000915D6" w:rsidRDefault="00482E9F" w:rsidP="005C2FAD">
            <w:pPr>
              <w:keepNext/>
              <w:suppressAutoHyphens/>
              <w:spacing w:after="0"/>
              <w:rPr>
                <w:rFonts w:ascii="Arial Narrow" w:hAnsi="Arial Narrow"/>
                <w:b/>
                <w:sz w:val="24"/>
              </w:rPr>
            </w:pPr>
            <w:r w:rsidRPr="004A4EAF">
              <w:rPr>
                <w:rFonts w:ascii="Arial Narrow" w:hAnsi="Arial Narrow"/>
                <w:b/>
                <w:sz w:val="24"/>
              </w:rPr>
              <w:t>[</w:t>
            </w:r>
            <w:r w:rsidR="006F5FB0" w:rsidRPr="004A4EAF">
              <w:rPr>
                <w:rFonts w:ascii="Arial Narrow" w:hAnsi="Arial Narrow"/>
                <w:b/>
                <w:i/>
                <w:sz w:val="24"/>
              </w:rPr>
              <w:t>název</w:t>
            </w:r>
            <w:r w:rsidR="006F5FB0" w:rsidRPr="004A4EAF">
              <w:rPr>
                <w:rFonts w:ascii="Arial Narrow" w:hAnsi="Arial Narrow"/>
                <w:b/>
                <w:sz w:val="24"/>
              </w:rPr>
              <w:t>]</w:t>
            </w:r>
          </w:p>
          <w:p w14:paraId="7A275ECC" w14:textId="77777777" w:rsidR="00482E9F" w:rsidRPr="007157BD" w:rsidRDefault="00482E9F" w:rsidP="005C2FAD">
            <w:pPr>
              <w:keepNext/>
              <w:suppressAutoHyphens/>
              <w:spacing w:after="0"/>
              <w:rPr>
                <w:rFonts w:ascii="Arial Narrow" w:hAnsi="Arial Narrow"/>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6F954051" w14:textId="68F34A97" w:rsidR="00913D4F" w:rsidRPr="005C2FAD" w:rsidRDefault="00CF5A5C" w:rsidP="00E47E07">
      <w:pPr>
        <w:jc w:val="right"/>
        <w:rPr>
          <w:b/>
          <w:i/>
        </w:rPr>
      </w:pPr>
      <w:r w:rsidRPr="00050BF0">
        <w:rPr>
          <w:b/>
          <w:i/>
        </w:rPr>
        <w:lastRenderedPageBreak/>
        <w:t>Příloha č. 1</w:t>
      </w:r>
      <w:r w:rsidR="006F5FB0" w:rsidRPr="00050BF0">
        <w:rPr>
          <w:b/>
          <w:i/>
        </w:rPr>
        <w:t xml:space="preserve"> k………………ze dne……..</w:t>
      </w:r>
    </w:p>
    <w:tbl>
      <w:tblPr>
        <w:tblW w:w="13112" w:type="dxa"/>
        <w:tblInd w:w="55" w:type="dxa"/>
        <w:tblCellMar>
          <w:left w:w="70" w:type="dxa"/>
          <w:right w:w="70" w:type="dxa"/>
        </w:tblCellMar>
        <w:tblLook w:val="04A0" w:firstRow="1" w:lastRow="0" w:firstColumn="1" w:lastColumn="0" w:noHBand="0" w:noVBand="1"/>
      </w:tblPr>
      <w:tblGrid>
        <w:gridCol w:w="3977"/>
        <w:gridCol w:w="445"/>
        <w:gridCol w:w="556"/>
        <w:gridCol w:w="1442"/>
        <w:gridCol w:w="263"/>
        <w:gridCol w:w="1361"/>
        <w:gridCol w:w="1234"/>
        <w:gridCol w:w="1361"/>
        <w:gridCol w:w="1235"/>
        <w:gridCol w:w="1238"/>
      </w:tblGrid>
      <w:tr w:rsidR="00CF5A5C" w14:paraId="29323ABB" w14:textId="77777777" w:rsidTr="005C2FAD">
        <w:trPr>
          <w:trHeight w:val="346"/>
        </w:trPr>
        <w:tc>
          <w:tcPr>
            <w:tcW w:w="131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793CADE0" w:rsidR="00CF5A5C" w:rsidRDefault="007F06C0">
            <w:pPr>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E47E07">
              <w:rPr>
                <w:rFonts w:eastAsia="Times New Roman"/>
                <w:b/>
                <w:bCs/>
                <w:color w:val="000000"/>
                <w:sz w:val="26"/>
                <w:szCs w:val="26"/>
                <w:lang w:eastAsia="cs-CZ"/>
              </w:rPr>
              <w:t>Vybavení pro Rehabilitaci</w:t>
            </w:r>
            <w:r w:rsidR="00CF5A5C">
              <w:rPr>
                <w:rFonts w:eastAsia="Times New Roman"/>
                <w:b/>
                <w:bCs/>
                <w:color w:val="000000"/>
                <w:sz w:val="26"/>
                <w:szCs w:val="26"/>
                <w:lang w:eastAsia="cs-CZ"/>
              </w:rPr>
              <w:t xml:space="preserve"> – Zvýšení kvality návazné </w:t>
            </w:r>
            <w:proofErr w:type="gramStart"/>
            <w:r w:rsidR="00CF5A5C">
              <w:rPr>
                <w:rFonts w:eastAsia="Times New Roman"/>
                <w:b/>
                <w:bCs/>
                <w:color w:val="000000"/>
                <w:sz w:val="26"/>
                <w:szCs w:val="26"/>
                <w:lang w:eastAsia="cs-CZ"/>
              </w:rPr>
              <w:t>péče v ON</w:t>
            </w:r>
            <w:proofErr w:type="gramEnd"/>
            <w:r w:rsidR="00CF5A5C">
              <w:rPr>
                <w:rFonts w:eastAsia="Times New Roman"/>
                <w:b/>
                <w:bCs/>
                <w:color w:val="000000"/>
                <w:sz w:val="26"/>
                <w:szCs w:val="26"/>
                <w:lang w:eastAsia="cs-CZ"/>
              </w:rPr>
              <w:t xml:space="preserve"> Kolín“</w:t>
            </w:r>
          </w:p>
        </w:tc>
      </w:tr>
      <w:tr w:rsidR="005C2FAD" w14:paraId="3FAA018F" w14:textId="77777777" w:rsidTr="00913D4F">
        <w:trPr>
          <w:trHeight w:val="37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63"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361"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234"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361"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235"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238"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5C2FAD" w14:paraId="76C6603B" w14:textId="77777777" w:rsidTr="00913D4F">
        <w:trPr>
          <w:trHeight w:val="661"/>
        </w:trPr>
        <w:tc>
          <w:tcPr>
            <w:tcW w:w="4422"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1998"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63"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235"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238"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5C2FAD" w14:paraId="70F92660" w14:textId="77777777" w:rsidTr="005C2FAD">
        <w:trPr>
          <w:trHeight w:val="54"/>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63"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5C2FAD">
        <w:trPr>
          <w:trHeight w:val="196"/>
        </w:trPr>
        <w:tc>
          <w:tcPr>
            <w:tcW w:w="131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4C5A0F25" w:rsidR="00CF5A5C" w:rsidRPr="00B57AE0" w:rsidRDefault="00E47E07">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Počítačově asistovaná rehabilitace ruky</w:t>
            </w:r>
          </w:p>
        </w:tc>
      </w:tr>
      <w:tr w:rsidR="005C2FAD" w14:paraId="74ED69EF" w14:textId="77777777" w:rsidTr="00913D4F">
        <w:trPr>
          <w:trHeight w:val="328"/>
        </w:trPr>
        <w:tc>
          <w:tcPr>
            <w:tcW w:w="4422"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77777777" w:rsidR="00CF5A5C" w:rsidRDefault="00CF5A5C">
            <w:pPr>
              <w:spacing w:after="0" w:line="240" w:lineRule="auto"/>
              <w:jc w:val="center"/>
              <w:rPr>
                <w:rFonts w:eastAsia="Times New Roman" w:cs="Times New Roman"/>
                <w:b/>
                <w:bCs/>
                <w:color w:val="000000"/>
                <w:lang w:eastAsia="cs-CZ"/>
              </w:rPr>
            </w:pPr>
            <w:r>
              <w:rPr>
                <w:rFonts w:eastAsia="Times New Roman"/>
                <w:b/>
                <w:bCs/>
                <w:color w:val="000000"/>
                <w:lang w:eastAsia="cs-CZ"/>
              </w:rPr>
              <w:t>1</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1893A70D"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4" w:type="dxa"/>
            <w:tcBorders>
              <w:top w:val="single" w:sz="8" w:space="0" w:color="000000"/>
              <w:left w:val="nil"/>
              <w:bottom w:val="single" w:sz="8" w:space="0" w:color="000000"/>
              <w:right w:val="single" w:sz="8" w:space="0" w:color="auto"/>
            </w:tcBorders>
            <w:vAlign w:val="bottom"/>
            <w:hideMark/>
          </w:tcPr>
          <w:p w14:paraId="737C4CDA"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029D2AB4"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5" w:type="dxa"/>
            <w:tcBorders>
              <w:top w:val="single" w:sz="8" w:space="0" w:color="000000"/>
              <w:left w:val="nil"/>
              <w:bottom w:val="single" w:sz="8" w:space="0" w:color="000000"/>
              <w:right w:val="single" w:sz="8" w:space="0" w:color="auto"/>
            </w:tcBorders>
            <w:vAlign w:val="bottom"/>
            <w:hideMark/>
          </w:tcPr>
          <w:p w14:paraId="627BF742"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000000"/>
              <w:left w:val="nil"/>
              <w:bottom w:val="single" w:sz="8" w:space="0" w:color="000000"/>
              <w:right w:val="single" w:sz="8" w:space="0" w:color="auto"/>
            </w:tcBorders>
            <w:vAlign w:val="bottom"/>
            <w:hideMark/>
          </w:tcPr>
          <w:p w14:paraId="48C97DD7"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r>
      <w:tr w:rsidR="00E47E07" w:rsidRPr="00B57AE0" w14:paraId="14CC8247" w14:textId="77777777" w:rsidTr="002A7683">
        <w:trPr>
          <w:trHeight w:val="196"/>
        </w:trPr>
        <w:tc>
          <w:tcPr>
            <w:tcW w:w="131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16FA20E4" w14:textId="3F87E09E" w:rsidR="00E47E07" w:rsidRPr="00B57AE0" w:rsidRDefault="00E47E07" w:rsidP="002A7683">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Přístroj pro interaktivní zpětnovazebnou terapii horních končetin a kognitivních funkcí</w:t>
            </w:r>
          </w:p>
        </w:tc>
      </w:tr>
      <w:tr w:rsidR="00E47E07" w14:paraId="5F7F29EB" w14:textId="77777777" w:rsidTr="00913D4F">
        <w:trPr>
          <w:trHeight w:val="328"/>
        </w:trPr>
        <w:tc>
          <w:tcPr>
            <w:tcW w:w="4422" w:type="dxa"/>
            <w:gridSpan w:val="2"/>
            <w:tcBorders>
              <w:top w:val="single" w:sz="8" w:space="0" w:color="000000"/>
              <w:left w:val="single" w:sz="8" w:space="0" w:color="auto"/>
              <w:bottom w:val="single" w:sz="8" w:space="0" w:color="000000"/>
              <w:right w:val="nil"/>
            </w:tcBorders>
            <w:vAlign w:val="bottom"/>
          </w:tcPr>
          <w:p w14:paraId="2A0AE7D1" w14:textId="77777777" w:rsidR="00E47E07" w:rsidRDefault="00E47E07">
            <w:pPr>
              <w:spacing w:after="0" w:line="240" w:lineRule="auto"/>
              <w:rPr>
                <w:rFonts w:eastAsia="Times New Roman"/>
                <w:b/>
                <w:bCs/>
                <w:color w:val="000000"/>
                <w:lang w:eastAsia="cs-CZ"/>
              </w:rPr>
            </w:pP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7F6BFE56" w14:textId="037C3881" w:rsidR="00E47E07" w:rsidRDefault="00E47E07">
            <w:pPr>
              <w:spacing w:after="0" w:line="240" w:lineRule="auto"/>
              <w:jc w:val="center"/>
              <w:rPr>
                <w:rFonts w:eastAsia="Times New Roman"/>
                <w:b/>
                <w:bCs/>
                <w:color w:val="000000"/>
                <w:lang w:eastAsia="cs-CZ"/>
              </w:rPr>
            </w:pPr>
            <w:r>
              <w:rPr>
                <w:rFonts w:eastAsia="Times New Roman"/>
                <w:b/>
                <w:bCs/>
                <w:color w:val="000000"/>
                <w:lang w:eastAsia="cs-CZ"/>
              </w:rPr>
              <w:t>1</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6D091908" w14:textId="77777777" w:rsidR="00E47E07" w:rsidRDefault="00E47E07">
            <w:pPr>
              <w:spacing w:after="0" w:line="240" w:lineRule="auto"/>
              <w:rPr>
                <w:rFonts w:eastAsia="Times New Roman"/>
                <w:b/>
                <w:bCs/>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11124869" w14:textId="77777777" w:rsidR="00E47E07" w:rsidRDefault="00E47E07">
            <w:pPr>
              <w:spacing w:after="0" w:line="240" w:lineRule="auto"/>
              <w:rPr>
                <w:rFonts w:eastAsia="Times New Roman"/>
                <w:b/>
                <w:bCs/>
                <w:color w:val="000000"/>
                <w:lang w:eastAsia="cs-CZ"/>
              </w:rPr>
            </w:pPr>
          </w:p>
        </w:tc>
        <w:tc>
          <w:tcPr>
            <w:tcW w:w="1234" w:type="dxa"/>
            <w:tcBorders>
              <w:top w:val="single" w:sz="8" w:space="0" w:color="000000"/>
              <w:left w:val="nil"/>
              <w:bottom w:val="single" w:sz="8" w:space="0" w:color="000000"/>
              <w:right w:val="single" w:sz="8" w:space="0" w:color="auto"/>
            </w:tcBorders>
            <w:vAlign w:val="bottom"/>
          </w:tcPr>
          <w:p w14:paraId="0570AB68" w14:textId="77777777" w:rsidR="00E47E07" w:rsidRDefault="00E47E07">
            <w:pPr>
              <w:spacing w:after="0" w:line="240" w:lineRule="auto"/>
              <w:rPr>
                <w:rFonts w:eastAsia="Times New Roman"/>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4E6C5E4A" w14:textId="77777777" w:rsidR="00E47E07" w:rsidRDefault="00E47E07">
            <w:pPr>
              <w:spacing w:after="0" w:line="240" w:lineRule="auto"/>
              <w:rPr>
                <w:rFonts w:eastAsia="Times New Roman"/>
                <w:color w:val="000000"/>
                <w:lang w:eastAsia="cs-CZ"/>
              </w:rPr>
            </w:pPr>
          </w:p>
        </w:tc>
        <w:tc>
          <w:tcPr>
            <w:tcW w:w="1235" w:type="dxa"/>
            <w:tcBorders>
              <w:top w:val="single" w:sz="8" w:space="0" w:color="000000"/>
              <w:left w:val="nil"/>
              <w:bottom w:val="single" w:sz="8" w:space="0" w:color="000000"/>
              <w:right w:val="single" w:sz="8" w:space="0" w:color="auto"/>
            </w:tcBorders>
            <w:vAlign w:val="bottom"/>
          </w:tcPr>
          <w:p w14:paraId="2E6A2EDA" w14:textId="77777777" w:rsidR="00E47E07" w:rsidRDefault="00E47E07">
            <w:pPr>
              <w:spacing w:after="0" w:line="240" w:lineRule="auto"/>
              <w:rPr>
                <w:rFonts w:eastAsia="Times New Roman"/>
                <w:b/>
                <w:bCs/>
                <w:color w:val="000000"/>
                <w:lang w:eastAsia="cs-CZ"/>
              </w:rPr>
            </w:pPr>
          </w:p>
        </w:tc>
        <w:tc>
          <w:tcPr>
            <w:tcW w:w="1238" w:type="dxa"/>
            <w:tcBorders>
              <w:top w:val="single" w:sz="8" w:space="0" w:color="000000"/>
              <w:left w:val="nil"/>
              <w:bottom w:val="single" w:sz="8" w:space="0" w:color="000000"/>
              <w:right w:val="single" w:sz="8" w:space="0" w:color="auto"/>
            </w:tcBorders>
            <w:vAlign w:val="bottom"/>
          </w:tcPr>
          <w:p w14:paraId="3A941F3D" w14:textId="77777777" w:rsidR="00E47E07" w:rsidRDefault="00E47E07">
            <w:pPr>
              <w:spacing w:after="0" w:line="240" w:lineRule="auto"/>
              <w:rPr>
                <w:rFonts w:eastAsia="Times New Roman"/>
                <w:color w:val="000000"/>
                <w:lang w:eastAsia="cs-CZ"/>
              </w:rPr>
            </w:pPr>
          </w:p>
        </w:tc>
      </w:tr>
      <w:tr w:rsidR="00E47E07" w:rsidRPr="00B57AE0" w14:paraId="77012F30" w14:textId="77777777" w:rsidTr="002A7683">
        <w:trPr>
          <w:trHeight w:val="196"/>
        </w:trPr>
        <w:tc>
          <w:tcPr>
            <w:tcW w:w="131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58EF7FA8" w14:textId="3C46CE88" w:rsidR="00E47E07" w:rsidRPr="00B57AE0" w:rsidRDefault="00EA7EBF" w:rsidP="002A7683">
            <w:pPr>
              <w:spacing w:after="0"/>
              <w:rPr>
                <w:rFonts w:eastAsia="Times New Roman" w:cs="Times New Roman"/>
                <w:b/>
                <w:bCs/>
                <w:color w:val="000000"/>
                <w:sz w:val="24"/>
                <w:szCs w:val="24"/>
                <w:lang w:eastAsia="cs-CZ"/>
              </w:rPr>
            </w:pPr>
            <w:proofErr w:type="spellStart"/>
            <w:r>
              <w:rPr>
                <w:rFonts w:eastAsia="Times New Roman" w:cs="Times New Roman"/>
                <w:b/>
                <w:bCs/>
                <w:color w:val="000000"/>
                <w:sz w:val="24"/>
                <w:szCs w:val="24"/>
                <w:lang w:eastAsia="cs-CZ"/>
              </w:rPr>
              <w:t>Vertikalizační</w:t>
            </w:r>
            <w:proofErr w:type="spellEnd"/>
            <w:r>
              <w:rPr>
                <w:rFonts w:eastAsia="Times New Roman" w:cs="Times New Roman"/>
                <w:b/>
                <w:bCs/>
                <w:color w:val="000000"/>
                <w:sz w:val="24"/>
                <w:szCs w:val="24"/>
                <w:lang w:eastAsia="cs-CZ"/>
              </w:rPr>
              <w:t xml:space="preserve"> systém k odlehčení pacienta pro nácvik chůze na pohyblivém pásu i mimo něj</w:t>
            </w:r>
          </w:p>
        </w:tc>
      </w:tr>
      <w:tr w:rsidR="00E47E07" w14:paraId="4F9D006E" w14:textId="77777777" w:rsidTr="00913D4F">
        <w:trPr>
          <w:trHeight w:val="328"/>
        </w:trPr>
        <w:tc>
          <w:tcPr>
            <w:tcW w:w="4422" w:type="dxa"/>
            <w:gridSpan w:val="2"/>
            <w:tcBorders>
              <w:top w:val="single" w:sz="8" w:space="0" w:color="000000"/>
              <w:left w:val="single" w:sz="8" w:space="0" w:color="auto"/>
              <w:bottom w:val="single" w:sz="8" w:space="0" w:color="000000"/>
              <w:right w:val="nil"/>
            </w:tcBorders>
            <w:vAlign w:val="bottom"/>
          </w:tcPr>
          <w:p w14:paraId="2F0B0378" w14:textId="77777777" w:rsidR="00E47E07" w:rsidRDefault="00E47E07">
            <w:pPr>
              <w:spacing w:after="0" w:line="240" w:lineRule="auto"/>
              <w:rPr>
                <w:rFonts w:eastAsia="Times New Roman"/>
                <w:b/>
                <w:bCs/>
                <w:color w:val="000000"/>
                <w:lang w:eastAsia="cs-CZ"/>
              </w:rPr>
            </w:pP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5490DCEC" w14:textId="4F906E46" w:rsidR="00E47E07" w:rsidRDefault="00E47E07">
            <w:pPr>
              <w:spacing w:after="0" w:line="240" w:lineRule="auto"/>
              <w:jc w:val="center"/>
              <w:rPr>
                <w:rFonts w:eastAsia="Times New Roman"/>
                <w:b/>
                <w:bCs/>
                <w:color w:val="000000"/>
                <w:lang w:eastAsia="cs-CZ"/>
              </w:rPr>
            </w:pPr>
            <w:r>
              <w:rPr>
                <w:rFonts w:eastAsia="Times New Roman"/>
                <w:b/>
                <w:bCs/>
                <w:color w:val="000000"/>
                <w:lang w:eastAsia="cs-CZ"/>
              </w:rPr>
              <w:t>1</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54782AC4" w14:textId="77777777" w:rsidR="00E47E07" w:rsidRDefault="00E47E07">
            <w:pPr>
              <w:spacing w:after="0" w:line="240" w:lineRule="auto"/>
              <w:rPr>
                <w:rFonts w:eastAsia="Times New Roman"/>
                <w:b/>
                <w:bCs/>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210D83A9" w14:textId="77777777" w:rsidR="00E47E07" w:rsidRDefault="00E47E07">
            <w:pPr>
              <w:spacing w:after="0" w:line="240" w:lineRule="auto"/>
              <w:rPr>
                <w:rFonts w:eastAsia="Times New Roman"/>
                <w:b/>
                <w:bCs/>
                <w:color w:val="000000"/>
                <w:lang w:eastAsia="cs-CZ"/>
              </w:rPr>
            </w:pPr>
          </w:p>
        </w:tc>
        <w:tc>
          <w:tcPr>
            <w:tcW w:w="1234" w:type="dxa"/>
            <w:tcBorders>
              <w:top w:val="single" w:sz="8" w:space="0" w:color="000000"/>
              <w:left w:val="nil"/>
              <w:bottom w:val="single" w:sz="8" w:space="0" w:color="000000"/>
              <w:right w:val="single" w:sz="8" w:space="0" w:color="auto"/>
            </w:tcBorders>
            <w:vAlign w:val="bottom"/>
          </w:tcPr>
          <w:p w14:paraId="1E80B7CC" w14:textId="77777777" w:rsidR="00E47E07" w:rsidRDefault="00E47E07">
            <w:pPr>
              <w:spacing w:after="0" w:line="240" w:lineRule="auto"/>
              <w:rPr>
                <w:rFonts w:eastAsia="Times New Roman"/>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4B17D8F0" w14:textId="77777777" w:rsidR="00E47E07" w:rsidRDefault="00E47E07">
            <w:pPr>
              <w:spacing w:after="0" w:line="240" w:lineRule="auto"/>
              <w:rPr>
                <w:rFonts w:eastAsia="Times New Roman"/>
                <w:color w:val="000000"/>
                <w:lang w:eastAsia="cs-CZ"/>
              </w:rPr>
            </w:pPr>
          </w:p>
        </w:tc>
        <w:tc>
          <w:tcPr>
            <w:tcW w:w="1235" w:type="dxa"/>
            <w:tcBorders>
              <w:top w:val="single" w:sz="8" w:space="0" w:color="000000"/>
              <w:left w:val="nil"/>
              <w:bottom w:val="single" w:sz="8" w:space="0" w:color="000000"/>
              <w:right w:val="single" w:sz="8" w:space="0" w:color="auto"/>
            </w:tcBorders>
            <w:vAlign w:val="bottom"/>
          </w:tcPr>
          <w:p w14:paraId="6CEA4221" w14:textId="77777777" w:rsidR="00E47E07" w:rsidRDefault="00E47E07">
            <w:pPr>
              <w:spacing w:after="0" w:line="240" w:lineRule="auto"/>
              <w:rPr>
                <w:rFonts w:eastAsia="Times New Roman"/>
                <w:b/>
                <w:bCs/>
                <w:color w:val="000000"/>
                <w:lang w:eastAsia="cs-CZ"/>
              </w:rPr>
            </w:pPr>
          </w:p>
        </w:tc>
        <w:tc>
          <w:tcPr>
            <w:tcW w:w="1238" w:type="dxa"/>
            <w:tcBorders>
              <w:top w:val="single" w:sz="8" w:space="0" w:color="000000"/>
              <w:left w:val="nil"/>
              <w:bottom w:val="single" w:sz="8" w:space="0" w:color="000000"/>
              <w:right w:val="single" w:sz="8" w:space="0" w:color="auto"/>
            </w:tcBorders>
            <w:vAlign w:val="bottom"/>
          </w:tcPr>
          <w:p w14:paraId="71F7EF1C" w14:textId="77777777" w:rsidR="00E47E07" w:rsidRDefault="00E47E07">
            <w:pPr>
              <w:spacing w:after="0" w:line="240" w:lineRule="auto"/>
              <w:rPr>
                <w:rFonts w:eastAsia="Times New Roman"/>
                <w:color w:val="000000"/>
                <w:lang w:eastAsia="cs-CZ"/>
              </w:rPr>
            </w:pPr>
          </w:p>
        </w:tc>
      </w:tr>
      <w:tr w:rsidR="005C2FAD" w14:paraId="5B3C0D27" w14:textId="77777777" w:rsidTr="00913D4F">
        <w:trPr>
          <w:trHeight w:val="156"/>
        </w:trPr>
        <w:tc>
          <w:tcPr>
            <w:tcW w:w="3977"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442"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63"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234"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235"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238"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5C2FAD" w14:paraId="62860533" w14:textId="77777777" w:rsidTr="00913D4F">
        <w:trPr>
          <w:trHeight w:val="236"/>
        </w:trPr>
        <w:tc>
          <w:tcPr>
            <w:tcW w:w="3977"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2"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63"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4"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235"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7AB331F2" w14:textId="77777777" w:rsidR="00E47E07" w:rsidRDefault="00E47E07" w:rsidP="00E47E07">
      <w:pPr>
        <w:keepNext/>
        <w:suppressAutoHyphens/>
        <w:spacing w:after="0"/>
        <w:ind w:left="10620"/>
        <w:jc w:val="center"/>
        <w:rPr>
          <w:rFonts w:ascii="Arial Narrow" w:hAnsi="Arial Narrow"/>
          <w:sz w:val="24"/>
        </w:rPr>
      </w:pPr>
    </w:p>
    <w:p w14:paraId="479016F6" w14:textId="77777777" w:rsidR="00E47E07" w:rsidRDefault="00E47E07" w:rsidP="00E47E07">
      <w:pPr>
        <w:keepNext/>
        <w:suppressAutoHyphens/>
        <w:spacing w:after="0"/>
        <w:ind w:left="10620"/>
        <w:jc w:val="center"/>
        <w:rPr>
          <w:rFonts w:ascii="Arial Narrow" w:hAnsi="Arial Narrow"/>
          <w:sz w:val="24"/>
        </w:rPr>
      </w:pPr>
    </w:p>
    <w:p w14:paraId="5CEF818E" w14:textId="627A7633" w:rsidR="00431E58" w:rsidRPr="007157BD" w:rsidRDefault="00431E58" w:rsidP="00E47E07">
      <w:pPr>
        <w:keepNext/>
        <w:suppressAutoHyphens/>
        <w:spacing w:after="0"/>
        <w:ind w:left="10620"/>
        <w:jc w:val="center"/>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B4A0F0F" w14:textId="77777777" w:rsidR="00431E58" w:rsidRDefault="00431E58" w:rsidP="00431E58">
      <w:pPr>
        <w:keepNext/>
        <w:suppressAutoHyphens/>
        <w:spacing w:after="0"/>
        <w:jc w:val="right"/>
        <w:rPr>
          <w:rFonts w:ascii="Arial Narrow" w:hAnsi="Arial Narrow"/>
          <w:b/>
          <w:caps/>
          <w:sz w:val="24"/>
        </w:rPr>
      </w:pPr>
    </w:p>
    <w:p w14:paraId="13309090" w14:textId="77777777" w:rsidR="00431E58" w:rsidRPr="007157BD" w:rsidRDefault="00431E58" w:rsidP="00431E58">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49269D2F" w14:textId="77777777" w:rsidR="00431E58" w:rsidRDefault="00431E58" w:rsidP="00431E58">
      <w:pPr>
        <w:keepNext/>
        <w:suppressAutoHyphens/>
        <w:spacing w:after="0"/>
        <w:jc w:val="right"/>
        <w:rPr>
          <w:rFonts w:ascii="Arial Narrow" w:hAnsi="Arial Narrow"/>
          <w:sz w:val="24"/>
        </w:rPr>
      </w:pPr>
    </w:p>
    <w:p w14:paraId="6968E8BE" w14:textId="77777777" w:rsidR="00431E58" w:rsidRDefault="00431E58" w:rsidP="00431E58">
      <w:pPr>
        <w:keepNext/>
        <w:suppressAutoHyphens/>
        <w:spacing w:after="0"/>
        <w:jc w:val="right"/>
        <w:rPr>
          <w:rFonts w:ascii="Arial Narrow" w:hAnsi="Arial Narrow"/>
          <w:sz w:val="24"/>
        </w:rPr>
      </w:pPr>
    </w:p>
    <w:p w14:paraId="78B5A49A" w14:textId="77777777" w:rsidR="00431E58" w:rsidRPr="007157BD" w:rsidRDefault="00431E58" w:rsidP="00431E58">
      <w:pPr>
        <w:keepNext/>
        <w:suppressAutoHyphens/>
        <w:spacing w:after="0"/>
        <w:jc w:val="right"/>
        <w:rPr>
          <w:rFonts w:ascii="Arial Narrow" w:hAnsi="Arial Narrow"/>
          <w:sz w:val="24"/>
        </w:rPr>
      </w:pPr>
    </w:p>
    <w:p w14:paraId="6B789124" w14:textId="77777777"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0B65132F" w14:textId="77777777" w:rsidR="00431E58" w:rsidRPr="000915D6" w:rsidRDefault="00431E58" w:rsidP="00431E58">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531EB16B" w14:textId="77777777" w:rsidR="003443A2" w:rsidRDefault="00431E58" w:rsidP="00431E58">
      <w:pPr>
        <w:jc w:val="right"/>
        <w:rPr>
          <w:rFonts w:ascii="Arial Narrow" w:hAnsi="Arial Narrow"/>
          <w:b/>
          <w:sz w:val="24"/>
        </w:rPr>
        <w:sectPr w:rsidR="003443A2" w:rsidSect="00E47E07">
          <w:pgSz w:w="16838" w:h="11906" w:orient="landscape" w:code="9"/>
          <w:pgMar w:top="1418" w:right="1276" w:bottom="1134" w:left="1134" w:header="709" w:footer="709" w:gutter="0"/>
          <w:cols w:space="708"/>
          <w:docGrid w:linePitch="360"/>
        </w:sect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2317C343" w14:textId="67556C0A" w:rsidR="00431E58" w:rsidRDefault="00431E58" w:rsidP="00431E58">
      <w:pPr>
        <w:jc w:val="right"/>
        <w:rPr>
          <w:rFonts w:ascii="Arial Narrow" w:hAnsi="Arial Narrow"/>
          <w:b/>
          <w:sz w:val="24"/>
        </w:rPr>
      </w:pPr>
    </w:p>
    <w:p w14:paraId="3BE90EE2" w14:textId="00ADEBA0" w:rsidR="00EC0D41" w:rsidRPr="00EC0D41" w:rsidRDefault="007F06C0" w:rsidP="00EC0D41">
      <w:pPr>
        <w:jc w:val="right"/>
        <w:rPr>
          <w:b/>
          <w:i/>
        </w:rPr>
      </w:pPr>
      <w:r w:rsidRPr="00050BF0">
        <w:rPr>
          <w:b/>
          <w:i/>
        </w:rPr>
        <w:t xml:space="preserve">Příloha č. </w:t>
      </w:r>
      <w:r>
        <w:rPr>
          <w:b/>
          <w:i/>
        </w:rPr>
        <w:t>2</w:t>
      </w:r>
      <w:r w:rsidRPr="00050BF0">
        <w:rPr>
          <w:b/>
          <w:i/>
        </w:rPr>
        <w:t xml:space="preserve"> k………………ze dne……..</w:t>
      </w:r>
    </w:p>
    <w:p w14:paraId="6E8D75F5" w14:textId="35BD354C" w:rsidR="00EC0D41" w:rsidRPr="00EC0D41" w:rsidRDefault="00E47E07" w:rsidP="005C2FAD">
      <w:pPr>
        <w:suppressAutoHyphens/>
        <w:rPr>
          <w:rFonts w:cs="Arial"/>
          <w:b/>
          <w:color w:val="FF0000"/>
          <w:sz w:val="28"/>
          <w:szCs w:val="28"/>
          <w:u w:val="single"/>
        </w:rPr>
      </w:pPr>
      <w:r>
        <w:rPr>
          <w:rFonts w:cs="Arial"/>
          <w:b/>
          <w:color w:val="FF0000"/>
          <w:sz w:val="28"/>
          <w:szCs w:val="28"/>
          <w:u w:val="single"/>
        </w:rPr>
        <w:t>Počítačově asistovaná rehabilitace ruky – 1ks</w:t>
      </w:r>
    </w:p>
    <w:p w14:paraId="2289339E"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rehabilitace pohybového deficitu ruky</w:t>
      </w:r>
    </w:p>
    <w:p w14:paraId="048E0181"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rehabilitace prstů ruky včetně palce</w:t>
      </w:r>
    </w:p>
    <w:p w14:paraId="56DC61D1"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jedno zařízení přizpůsobitelné pro pravou  i levou horní končetinu</w:t>
      </w:r>
    </w:p>
    <w:p w14:paraId="5FA1725B"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zařízení umožňující terapii dětí i dospělých</w:t>
      </w:r>
    </w:p>
    <w:p w14:paraId="4FACE852"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diagnostika aktivního a pasivního rozsahu pohybu, svalové síly, změn svalového tonu</w:t>
      </w:r>
    </w:p>
    <w:p w14:paraId="375974C5"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 xml:space="preserve">terapie rozsahu pohybu, svalové síly, změn svalového tonu, </w:t>
      </w:r>
      <w:proofErr w:type="spellStart"/>
      <w:r w:rsidRPr="00E47E07">
        <w:rPr>
          <w:rFonts w:ascii="Calibri" w:eastAsia="Calibri" w:hAnsi="Calibri" w:cs="Arial"/>
          <w:color w:val="000000"/>
          <w:sz w:val="24"/>
          <w:szCs w:val="24"/>
          <w:lang w:eastAsia="zh-CN"/>
        </w:rPr>
        <w:t>statestezie</w:t>
      </w:r>
      <w:proofErr w:type="spellEnd"/>
      <w:r w:rsidRPr="00E47E07">
        <w:rPr>
          <w:rFonts w:ascii="Calibri" w:eastAsia="Calibri" w:hAnsi="Calibri" w:cs="Arial"/>
          <w:color w:val="000000"/>
          <w:sz w:val="24"/>
          <w:szCs w:val="24"/>
          <w:lang w:eastAsia="zh-CN"/>
        </w:rPr>
        <w:t>, kinestezie hlubokého a vibračního čití prstů</w:t>
      </w:r>
    </w:p>
    <w:p w14:paraId="7DE18161"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zjednodušená kvantifikace, porovnání a reprodukovatelnost naměřených hodnot u jednotlivých prstů</w:t>
      </w:r>
    </w:p>
    <w:p w14:paraId="4F2D61F2"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 xml:space="preserve">terapie prstů ruky v režimu pasivním, </w:t>
      </w:r>
      <w:proofErr w:type="spellStart"/>
      <w:r w:rsidRPr="00E47E07">
        <w:rPr>
          <w:rFonts w:ascii="Calibri" w:eastAsia="Calibri" w:hAnsi="Calibri" w:cs="Arial"/>
          <w:color w:val="000000"/>
          <w:sz w:val="24"/>
          <w:szCs w:val="24"/>
          <w:lang w:eastAsia="zh-CN"/>
        </w:rPr>
        <w:t>dopomocném</w:t>
      </w:r>
      <w:proofErr w:type="spellEnd"/>
      <w:r w:rsidRPr="00E47E07">
        <w:rPr>
          <w:rFonts w:ascii="Calibri" w:eastAsia="Calibri" w:hAnsi="Calibri" w:cs="Arial"/>
          <w:color w:val="000000"/>
          <w:sz w:val="24"/>
          <w:szCs w:val="24"/>
          <w:lang w:eastAsia="zh-CN"/>
        </w:rPr>
        <w:t>, aktivním</w:t>
      </w:r>
    </w:p>
    <w:p w14:paraId="1B13568F"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 xml:space="preserve">terapie na základě motivační zpětné vazby – motivační učení na základě zkušenosti pacienta a jeho aktivním volním pohybem </w:t>
      </w:r>
    </w:p>
    <w:p w14:paraId="4FEC7707"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virtuální prostředí s hrami zaměřenými na specifické terapeutické cíle, ovládané volními aktivními pohyby pacienta, rozsahem pohybu nebo silou jednotlivých či všech prstů</w:t>
      </w:r>
    </w:p>
    <w:p w14:paraId="3D9F2188"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regulace náročnosti herního prostředí dle pohybových schopností pacienta</w:t>
      </w:r>
    </w:p>
    <w:p w14:paraId="1CD63E04" w14:textId="77777777" w:rsidR="00E47E07" w:rsidRPr="00E47E07"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redukce grafické náročnosti virtuálního prostředí dle kognitivních schopností pacienta</w:t>
      </w:r>
    </w:p>
    <w:p w14:paraId="1770F09B" w14:textId="031C1251" w:rsidR="00A17F2A" w:rsidRDefault="00E47E07" w:rsidP="00E47E07">
      <w:pPr>
        <w:numPr>
          <w:ilvl w:val="0"/>
          <w:numId w:val="18"/>
        </w:numPr>
        <w:suppressAutoHyphens/>
        <w:rPr>
          <w:rFonts w:ascii="Calibri" w:eastAsia="Calibri" w:hAnsi="Calibri" w:cs="Arial"/>
          <w:color w:val="000000"/>
          <w:sz w:val="24"/>
          <w:szCs w:val="24"/>
          <w:lang w:eastAsia="zh-CN"/>
        </w:rPr>
      </w:pPr>
      <w:r w:rsidRPr="00E47E07">
        <w:rPr>
          <w:rFonts w:ascii="Calibri" w:eastAsia="Calibri" w:hAnsi="Calibri" w:cs="Arial"/>
          <w:color w:val="000000"/>
          <w:sz w:val="24"/>
          <w:szCs w:val="24"/>
          <w:lang w:eastAsia="zh-CN"/>
        </w:rPr>
        <w:t>zpracování a uchování výsledků terapie</w:t>
      </w:r>
    </w:p>
    <w:p w14:paraId="73930D45" w14:textId="77777777" w:rsidR="00EC0D41" w:rsidRDefault="00EC0D41" w:rsidP="00EC0D41">
      <w:pPr>
        <w:suppressAutoHyphens/>
        <w:rPr>
          <w:rFonts w:ascii="Calibri" w:eastAsia="Calibri" w:hAnsi="Calibri" w:cs="Arial"/>
          <w:color w:val="000000"/>
          <w:sz w:val="24"/>
          <w:szCs w:val="24"/>
          <w:lang w:eastAsia="zh-CN"/>
        </w:rPr>
      </w:pPr>
    </w:p>
    <w:p w14:paraId="6B70FB83" w14:textId="4AE80BEA" w:rsidR="00EC0D41" w:rsidRPr="00EC0D41" w:rsidRDefault="00EC0D41" w:rsidP="00EC0D41">
      <w:pPr>
        <w:suppressAutoHyphens/>
        <w:rPr>
          <w:rFonts w:cs="Arial"/>
          <w:b/>
          <w:color w:val="FF0000"/>
          <w:sz w:val="28"/>
          <w:szCs w:val="28"/>
          <w:u w:val="single"/>
        </w:rPr>
      </w:pPr>
      <w:r>
        <w:rPr>
          <w:rFonts w:cs="Arial"/>
          <w:b/>
          <w:color w:val="FF0000"/>
          <w:sz w:val="28"/>
          <w:szCs w:val="28"/>
          <w:u w:val="single"/>
        </w:rPr>
        <w:t>Přístroj pro interaktivní zpětnovazebnou terapii horních končetin a kognitivních funkcí – 1ks</w:t>
      </w:r>
    </w:p>
    <w:p w14:paraId="70B1707A"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interaktivní zpětnovazební prostředí pro terapii pacientů se sníženou funkcí horních končetin, ruky, prstů</w:t>
      </w:r>
    </w:p>
    <w:p w14:paraId="6234D920"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vysoká variabilita virtuálního herního prostředí</w:t>
      </w:r>
    </w:p>
    <w:p w14:paraId="207A948B"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lastRenderedPageBreak/>
        <w:t>zaměření na specifické terapeutické cíle – terapeutické programy zaměřené na nácvik mobility horní končetiny, nácvik úchopů, trénink kognitivních funkcí, koncentrace i selektivní pozornosti</w:t>
      </w:r>
    </w:p>
    <w:p w14:paraId="19A14BE6"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interaktivní prostředí reagující na dotyk, tlak, tah; použití reálných předmětů (pohyb ve 2D, včetně rotace předmětů)</w:t>
      </w:r>
    </w:p>
    <w:p w14:paraId="5BE98142"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zapojení horních končetin jednostranně či oboustranně</w:t>
      </w:r>
    </w:p>
    <w:p w14:paraId="28109E7D"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 xml:space="preserve">přizpůsobení velikosti reaktivní plochy podle rozsahu pohybu pacienta </w:t>
      </w:r>
    </w:p>
    <w:p w14:paraId="209CEF43"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systém polohování zařízení umožňující terapii v různých pozicích (sed, klek, stoj, v leže) – výškové nastavení, náklon interaktivní plochy</w:t>
      </w:r>
    </w:p>
    <w:p w14:paraId="3F93AC9D"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systém pracující s vizuálními a audio zpětnovazebními signály</w:t>
      </w:r>
    </w:p>
    <w:p w14:paraId="1F51E39F"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hodnotící funkce – síla horní končetiny v tlaku a tahu, taxe, koordinace</w:t>
      </w:r>
    </w:p>
    <w:p w14:paraId="23960369"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databáze pacientů</w:t>
      </w:r>
    </w:p>
    <w:p w14:paraId="4D0D92E8"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elektrické nastavení výšky a sklonu terapeutické plochy (0-90°)</w:t>
      </w:r>
    </w:p>
    <w:p w14:paraId="1CC9BE3A" w14:textId="77777777" w:rsidR="00EC0D41" w:rsidRPr="00EC0D41" w:rsidRDefault="00EC0D41" w:rsidP="00EC0D41">
      <w:pPr>
        <w:numPr>
          <w:ilvl w:val="0"/>
          <w:numId w:val="18"/>
        </w:numPr>
        <w:suppressAutoHyphens/>
        <w:rPr>
          <w:rFonts w:ascii="Calibri" w:eastAsia="Calibri" w:hAnsi="Calibri" w:cs="Arial"/>
          <w:sz w:val="24"/>
          <w:szCs w:val="24"/>
          <w:lang w:eastAsia="zh-CN"/>
        </w:rPr>
      </w:pPr>
      <w:r w:rsidRPr="00EC0D41">
        <w:rPr>
          <w:rFonts w:ascii="Calibri" w:eastAsia="Calibri" w:hAnsi="Calibri" w:cs="Arial"/>
          <w:sz w:val="24"/>
          <w:szCs w:val="24"/>
          <w:lang w:eastAsia="zh-CN"/>
        </w:rPr>
        <w:t>dotyková plocha, úhlopříčka min. 40“</w:t>
      </w:r>
    </w:p>
    <w:p w14:paraId="501B9B91" w14:textId="188D52CB" w:rsidR="00EC0D41" w:rsidRPr="00EC0D41" w:rsidRDefault="00EC0D41" w:rsidP="00EC0D41">
      <w:pPr>
        <w:numPr>
          <w:ilvl w:val="0"/>
          <w:numId w:val="18"/>
        </w:numPr>
        <w:suppressAutoHyphens/>
        <w:rPr>
          <w:rFonts w:ascii="Calibri" w:eastAsia="Calibri" w:hAnsi="Calibri" w:cs="Times New Roman"/>
          <w:sz w:val="24"/>
          <w:szCs w:val="24"/>
          <w:lang w:eastAsia="zh-CN"/>
        </w:rPr>
      </w:pPr>
      <w:r w:rsidRPr="00EC0D41">
        <w:rPr>
          <w:rFonts w:ascii="Calibri" w:eastAsia="Calibri" w:hAnsi="Calibri" w:cs="Arial"/>
          <w:sz w:val="24"/>
          <w:szCs w:val="24"/>
          <w:lang w:eastAsia="zh-CN"/>
        </w:rPr>
        <w:t>mobilní přístroj, brzděný</w:t>
      </w:r>
    </w:p>
    <w:p w14:paraId="076D51FA" w14:textId="77777777" w:rsidR="00EC0D41" w:rsidRDefault="00EC0D41" w:rsidP="00EC0D41">
      <w:pPr>
        <w:suppressAutoHyphens/>
        <w:rPr>
          <w:rFonts w:cs="Arial"/>
          <w:b/>
          <w:color w:val="FF0000"/>
          <w:sz w:val="28"/>
          <w:szCs w:val="28"/>
          <w:u w:val="single"/>
        </w:rPr>
      </w:pPr>
    </w:p>
    <w:p w14:paraId="0094DAC1" w14:textId="4326FAB7" w:rsidR="00EC0D41" w:rsidRDefault="005B1DCD" w:rsidP="00EC0D41">
      <w:pPr>
        <w:suppressAutoHyphens/>
        <w:rPr>
          <w:rFonts w:ascii="Calibri" w:eastAsia="Calibri" w:hAnsi="Calibri" w:cs="Arial"/>
          <w:color w:val="000000"/>
          <w:sz w:val="24"/>
          <w:szCs w:val="24"/>
          <w:lang w:eastAsia="zh-CN"/>
        </w:rPr>
      </w:pPr>
      <w:proofErr w:type="spellStart"/>
      <w:r>
        <w:rPr>
          <w:rFonts w:cs="Arial"/>
          <w:b/>
          <w:color w:val="FF0000"/>
          <w:sz w:val="28"/>
          <w:szCs w:val="28"/>
          <w:u w:val="single"/>
        </w:rPr>
        <w:t>Vertikalizační</w:t>
      </w:r>
      <w:proofErr w:type="spellEnd"/>
      <w:r>
        <w:rPr>
          <w:rFonts w:cs="Arial"/>
          <w:b/>
          <w:color w:val="FF0000"/>
          <w:sz w:val="28"/>
          <w:szCs w:val="28"/>
          <w:u w:val="single"/>
        </w:rPr>
        <w:t xml:space="preserve"> systém k odlehčení pacienta pro nácvik chůze na pohyblivém pásu i mimo něj</w:t>
      </w:r>
      <w:r w:rsidR="00EC0D41">
        <w:rPr>
          <w:rFonts w:cs="Arial"/>
          <w:b/>
          <w:color w:val="FF0000"/>
          <w:sz w:val="28"/>
          <w:szCs w:val="28"/>
          <w:u w:val="single"/>
        </w:rPr>
        <w:t xml:space="preserve"> – 1ks</w:t>
      </w:r>
    </w:p>
    <w:p w14:paraId="044CAEC5"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 xml:space="preserve">minimální </w:t>
      </w:r>
      <w:proofErr w:type="spellStart"/>
      <w:r w:rsidRPr="000839BD">
        <w:rPr>
          <w:rFonts w:ascii="Calibri" w:eastAsia="Calibri" w:hAnsi="Calibri" w:cs="Arial"/>
          <w:sz w:val="24"/>
          <w:szCs w:val="24"/>
          <w:lang w:eastAsia="zh-CN"/>
        </w:rPr>
        <w:t>nostnost</w:t>
      </w:r>
      <w:proofErr w:type="spellEnd"/>
      <w:r w:rsidRPr="000839BD">
        <w:rPr>
          <w:rFonts w:ascii="Calibri" w:eastAsia="Calibri" w:hAnsi="Calibri" w:cs="Arial"/>
          <w:sz w:val="24"/>
          <w:szCs w:val="24"/>
          <w:lang w:eastAsia="zh-CN"/>
        </w:rPr>
        <w:t>: 200 kg dynamická pro zvedání pacienta, 400 kg statická pro zavěšení pacienta</w:t>
      </w:r>
    </w:p>
    <w:p w14:paraId="0CD95C17"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maximální výška pacienta minimálně 210 cm</w:t>
      </w:r>
    </w:p>
    <w:p w14:paraId="09AE8B64"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 xml:space="preserve">možnost </w:t>
      </w:r>
      <w:proofErr w:type="spellStart"/>
      <w:r w:rsidRPr="000839BD">
        <w:rPr>
          <w:rFonts w:ascii="Calibri" w:eastAsia="Calibri" w:hAnsi="Calibri" w:cs="Arial"/>
          <w:sz w:val="24"/>
          <w:szCs w:val="24"/>
          <w:lang w:eastAsia="zh-CN"/>
        </w:rPr>
        <w:t>vertikalizace</w:t>
      </w:r>
      <w:proofErr w:type="spellEnd"/>
      <w:r w:rsidRPr="000839BD">
        <w:rPr>
          <w:rFonts w:ascii="Calibri" w:eastAsia="Calibri" w:hAnsi="Calibri" w:cs="Arial"/>
          <w:sz w:val="24"/>
          <w:szCs w:val="24"/>
          <w:lang w:eastAsia="zh-CN"/>
        </w:rPr>
        <w:t xml:space="preserve"> pasivního pacienta</w:t>
      </w:r>
    </w:p>
    <w:p w14:paraId="0826352D"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volný pohyb zařízení ve všech směrech pro nácvik pohybu ve volném prostoru v bezpečném prostředí bez rizika pádu</w:t>
      </w:r>
    </w:p>
    <w:p w14:paraId="3CD2BB84"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 xml:space="preserve">uzpůsobení pro nácvik rovnováhy stoje, korekce </w:t>
      </w:r>
      <w:proofErr w:type="spellStart"/>
      <w:r w:rsidRPr="000839BD">
        <w:rPr>
          <w:rFonts w:ascii="Calibri" w:eastAsia="Calibri" w:hAnsi="Calibri" w:cs="Arial"/>
          <w:sz w:val="24"/>
          <w:szCs w:val="24"/>
          <w:lang w:eastAsia="zh-CN"/>
        </w:rPr>
        <w:t>postury</w:t>
      </w:r>
      <w:proofErr w:type="spellEnd"/>
      <w:r w:rsidRPr="000839BD">
        <w:rPr>
          <w:rFonts w:ascii="Calibri" w:eastAsia="Calibri" w:hAnsi="Calibri" w:cs="Arial"/>
          <w:sz w:val="24"/>
          <w:szCs w:val="24"/>
          <w:lang w:eastAsia="zh-CN"/>
        </w:rPr>
        <w:t>, nácvik chůze v předozadním směru, volný pohyb v prostoru</w:t>
      </w:r>
    </w:p>
    <w:p w14:paraId="7B708B52"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nastavení odlehčení individuálně pro levou a pravou stranu pacienta – specifická míra odlehčení dolních končetin symetricky a asymetricky</w:t>
      </w:r>
    </w:p>
    <w:p w14:paraId="279DB6DC"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lastRenderedPageBreak/>
        <w:t>indikátor a zobrazení míry celkového odlehčení, pravé a levé poloviny těla zvlášť, rozdíl mezi stranami</w:t>
      </w:r>
    </w:p>
    <w:p w14:paraId="687CE951"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možnost nastavení míry volnosti ve vertikálním směru pro nácvik vertikální výchylky těžiště při chůzi</w:t>
      </w:r>
    </w:p>
    <w:p w14:paraId="1B0FA8A3"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odlehčení tělesné hmotnosti pacienta při tréninku na běžeckém pásu i mimo něj</w:t>
      </w:r>
    </w:p>
    <w:p w14:paraId="42C53162"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možnost přístupu k dolním končetinám pacienta (nezbytné korekce změn patologického mechanismu)</w:t>
      </w:r>
    </w:p>
    <w:p w14:paraId="220450F9"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nastavitelná pacientská madla</w:t>
      </w:r>
    </w:p>
    <w:p w14:paraId="1AA3282A"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adaptér závěsu umožňujícího 360° rotaci pacienta kolem svislé osy</w:t>
      </w:r>
    </w:p>
    <w:p w14:paraId="0048A695"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pacientský postroj upnutý ve 4 bodech kvůli zajištění adekvátní stability</w:t>
      </w:r>
    </w:p>
    <w:p w14:paraId="7E2B5500"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 xml:space="preserve">jednoduchá aplikace pacientského postroje ve stroji, </w:t>
      </w:r>
      <w:proofErr w:type="gramStart"/>
      <w:r w:rsidRPr="000839BD">
        <w:rPr>
          <w:rFonts w:ascii="Calibri" w:eastAsia="Calibri" w:hAnsi="Calibri" w:cs="Arial"/>
          <w:sz w:val="24"/>
          <w:szCs w:val="24"/>
          <w:lang w:eastAsia="zh-CN"/>
        </w:rPr>
        <w:t>sedu, v leže</w:t>
      </w:r>
      <w:proofErr w:type="gramEnd"/>
    </w:p>
    <w:p w14:paraId="5F68EE04" w14:textId="77777777" w:rsidR="005B1DCD" w:rsidRPr="000839B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snadno vyjímatelná nabíjecí baterie, včetně nabíječky</w:t>
      </w:r>
    </w:p>
    <w:p w14:paraId="626D652C" w14:textId="0775AE8A" w:rsidR="005B1DCD" w:rsidRPr="005B1DCD" w:rsidRDefault="005B1DCD" w:rsidP="005B1DCD">
      <w:pPr>
        <w:numPr>
          <w:ilvl w:val="0"/>
          <w:numId w:val="18"/>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dodání včetně ergonomické stoličky pro terapeuta</w:t>
      </w:r>
    </w:p>
    <w:p w14:paraId="19CF3F4C" w14:textId="77777777" w:rsidR="005B1DCD" w:rsidRPr="000839BD" w:rsidRDefault="005B1DCD" w:rsidP="005B1DCD">
      <w:pPr>
        <w:suppressAutoHyphens/>
        <w:rPr>
          <w:rFonts w:ascii="Calibri" w:eastAsia="Calibri" w:hAnsi="Calibri" w:cs="Arial"/>
          <w:sz w:val="24"/>
          <w:szCs w:val="24"/>
          <w:lang w:eastAsia="zh-CN"/>
        </w:rPr>
      </w:pPr>
      <w:r w:rsidRPr="000839BD">
        <w:rPr>
          <w:rFonts w:ascii="Calibri" w:eastAsia="Calibri" w:hAnsi="Calibri" w:cs="Arial"/>
          <w:b/>
          <w:bCs/>
          <w:sz w:val="24"/>
          <w:szCs w:val="24"/>
          <w:lang w:eastAsia="zh-CN"/>
        </w:rPr>
        <w:t>přenosný pohyblivý pás</w:t>
      </w:r>
    </w:p>
    <w:p w14:paraId="3EBC192E" w14:textId="77777777" w:rsidR="005B1DCD" w:rsidRPr="000839BD" w:rsidRDefault="005B1DCD" w:rsidP="005B1DCD">
      <w:pPr>
        <w:numPr>
          <w:ilvl w:val="0"/>
          <w:numId w:val="19"/>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přenosný běhací pás</w:t>
      </w:r>
    </w:p>
    <w:p w14:paraId="511ED9FE" w14:textId="77777777" w:rsidR="005B1DCD" w:rsidRPr="000839BD" w:rsidRDefault="005B1DCD" w:rsidP="005B1DCD">
      <w:pPr>
        <w:numPr>
          <w:ilvl w:val="0"/>
          <w:numId w:val="19"/>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minimální rozsah pohybu 0,2 – 5 km/hod s plynulým nastavením</w:t>
      </w:r>
    </w:p>
    <w:p w14:paraId="279DCEC6" w14:textId="77777777" w:rsidR="005B1DCD" w:rsidRPr="000839BD" w:rsidRDefault="005B1DCD" w:rsidP="005B1DCD">
      <w:pPr>
        <w:numPr>
          <w:ilvl w:val="0"/>
          <w:numId w:val="19"/>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nízká výška pásu (do cca 15 cm) kvůli snadnému nastoupení pacienta</w:t>
      </w:r>
    </w:p>
    <w:p w14:paraId="6C12522D" w14:textId="77777777" w:rsidR="005B1DCD" w:rsidRPr="000839BD" w:rsidRDefault="005B1DCD" w:rsidP="005B1DCD">
      <w:pPr>
        <w:numPr>
          <w:ilvl w:val="0"/>
          <w:numId w:val="19"/>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nosnost min. 150 kg</w:t>
      </w:r>
    </w:p>
    <w:p w14:paraId="15E776CB" w14:textId="77777777" w:rsidR="005B1DCD" w:rsidRPr="000839BD" w:rsidRDefault="005B1DCD" w:rsidP="005B1DCD">
      <w:pPr>
        <w:numPr>
          <w:ilvl w:val="0"/>
          <w:numId w:val="19"/>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displej pro zobrazení rychlosti, času a vzdálenosti</w:t>
      </w:r>
    </w:p>
    <w:p w14:paraId="6BC5198B" w14:textId="77777777" w:rsidR="005B1DCD" w:rsidRPr="000839BD" w:rsidRDefault="005B1DCD" w:rsidP="005B1DCD">
      <w:pPr>
        <w:numPr>
          <w:ilvl w:val="0"/>
          <w:numId w:val="19"/>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nízká váha přístroje do 25 kg pro jeho snadnou mobilitu</w:t>
      </w:r>
    </w:p>
    <w:p w14:paraId="0371D47F" w14:textId="77777777" w:rsidR="005B1DCD" w:rsidRPr="000839BD" w:rsidRDefault="005B1DCD" w:rsidP="005B1DCD">
      <w:pPr>
        <w:numPr>
          <w:ilvl w:val="0"/>
          <w:numId w:val="19"/>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integrovaná kolečka a madlo pro přesun</w:t>
      </w:r>
    </w:p>
    <w:p w14:paraId="5017CB8F" w14:textId="67D33BB9" w:rsidR="00EC0D41" w:rsidRPr="005B1DCD" w:rsidRDefault="005B1DCD" w:rsidP="00EC0D41">
      <w:pPr>
        <w:numPr>
          <w:ilvl w:val="0"/>
          <w:numId w:val="19"/>
        </w:numPr>
        <w:suppressAutoHyphens/>
        <w:rPr>
          <w:rFonts w:ascii="Calibri" w:eastAsia="Calibri" w:hAnsi="Calibri" w:cs="Arial"/>
          <w:sz w:val="24"/>
          <w:szCs w:val="24"/>
          <w:lang w:eastAsia="zh-CN"/>
        </w:rPr>
      </w:pPr>
      <w:r w:rsidRPr="000839BD">
        <w:rPr>
          <w:rFonts w:ascii="Calibri" w:eastAsia="Calibri" w:hAnsi="Calibri" w:cs="Arial"/>
          <w:sz w:val="24"/>
          <w:szCs w:val="24"/>
          <w:lang w:eastAsia="zh-CN"/>
        </w:rPr>
        <w:t>medicínský atest</w:t>
      </w:r>
    </w:p>
    <w:p w14:paraId="12330867" w14:textId="1991AEE6" w:rsidR="00A17F2A" w:rsidRPr="00EC0D41" w:rsidRDefault="00A17F2A" w:rsidP="00EC0D41">
      <w:pPr>
        <w:suppressAutoHyphens/>
        <w:spacing w:after="143"/>
        <w:ind w:left="720"/>
        <w:jc w:val="right"/>
        <w:rPr>
          <w:rFonts w:cs="Arial"/>
          <w:color w:val="000000"/>
        </w:rPr>
      </w:pPr>
      <w:r w:rsidRPr="003C62C0">
        <w:rPr>
          <w:rFonts w:cs="Arial"/>
          <w:color w:val="000000"/>
        </w:rPr>
        <w:t>V ……………… dne ……………………….</w:t>
      </w:r>
    </w:p>
    <w:p w14:paraId="44B6DA1C" w14:textId="2DA7160E" w:rsidR="00A17F2A" w:rsidRPr="00A17F2A" w:rsidRDefault="00A17F2A" w:rsidP="005B1DCD">
      <w:pPr>
        <w:suppressAutoHyphens/>
        <w:spacing w:after="143"/>
        <w:ind w:left="720"/>
        <w:jc w:val="right"/>
        <w:rPr>
          <w:rFonts w:cs="Arial"/>
          <w:b/>
          <w:color w:val="000000"/>
        </w:rPr>
      </w:pPr>
      <w:r w:rsidRPr="00A17F2A">
        <w:rPr>
          <w:rFonts w:cs="Arial"/>
          <w:b/>
          <w:color w:val="000000"/>
        </w:rPr>
        <w:t>PRODÁVAJÍCÍ:</w:t>
      </w:r>
    </w:p>
    <w:p w14:paraId="35DA42F5"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___________________________________</w:t>
      </w:r>
    </w:p>
    <w:p w14:paraId="1147823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[název]</w:t>
      </w:r>
    </w:p>
    <w:p w14:paraId="45E803BF" w14:textId="7F5BC102" w:rsidR="00A17F2A" w:rsidRPr="00A17F2A" w:rsidRDefault="00A17F2A" w:rsidP="00A17F2A">
      <w:pPr>
        <w:suppressAutoHyphens/>
        <w:spacing w:after="143"/>
        <w:ind w:left="720"/>
        <w:jc w:val="right"/>
        <w:rPr>
          <w:rFonts w:cs="Arial"/>
          <w:b/>
          <w:color w:val="000000"/>
        </w:rPr>
      </w:pPr>
      <w:r w:rsidRPr="00A17F2A">
        <w:rPr>
          <w:rFonts w:cs="Arial"/>
          <w:b/>
          <w:color w:val="000000"/>
        </w:rPr>
        <w:t xml:space="preserve"> [jméno a funkce oprávněné osoby]</w:t>
      </w:r>
    </w:p>
    <w:sectPr w:rsidR="00A17F2A" w:rsidRPr="00A17F2A" w:rsidSect="003443A2">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FB503" w14:textId="77777777" w:rsidR="00AC2DDF" w:rsidRDefault="00AC2DDF" w:rsidP="007916FA">
      <w:pPr>
        <w:spacing w:after="0" w:line="240" w:lineRule="auto"/>
      </w:pPr>
      <w:r>
        <w:separator/>
      </w:r>
    </w:p>
  </w:endnote>
  <w:endnote w:type="continuationSeparator" w:id="0">
    <w:p w14:paraId="0DA7B5A7" w14:textId="77777777" w:rsidR="00AC2DDF" w:rsidRDefault="00AC2DDF"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8E33" w14:textId="77777777" w:rsidR="00AC2DDF" w:rsidRDefault="00AC2DDF" w:rsidP="007916FA">
      <w:pPr>
        <w:spacing w:after="0" w:line="240" w:lineRule="auto"/>
      </w:pPr>
      <w:r>
        <w:separator/>
      </w:r>
    </w:p>
  </w:footnote>
  <w:footnote w:type="continuationSeparator" w:id="0">
    <w:p w14:paraId="63E5925C" w14:textId="77777777" w:rsidR="00AC2DDF" w:rsidRDefault="00AC2DDF"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5C2FAD" w:rsidRDefault="005C2FAD">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771D51"/>
    <w:multiLevelType w:val="hybridMultilevel"/>
    <w:tmpl w:val="E69EC8EA"/>
    <w:lvl w:ilvl="0" w:tplc="6D8035E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60E61C8E"/>
    <w:multiLevelType w:val="hybridMultilevel"/>
    <w:tmpl w:val="6C0C99EA"/>
    <w:lvl w:ilvl="0" w:tplc="44B64DA6">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433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4"/>
  </w:num>
  <w:num w:numId="3">
    <w:abstractNumId w:val="36"/>
  </w:num>
  <w:num w:numId="4">
    <w:abstractNumId w:val="34"/>
  </w:num>
  <w:num w:numId="5">
    <w:abstractNumId w:val="23"/>
  </w:num>
  <w:num w:numId="6">
    <w:abstractNumId w:val="21"/>
  </w:num>
  <w:num w:numId="7">
    <w:abstractNumId w:val="19"/>
  </w:num>
  <w:num w:numId="8">
    <w:abstractNumId w:val="20"/>
  </w:num>
  <w:num w:numId="9">
    <w:abstractNumId w:val="29"/>
  </w:num>
  <w:num w:numId="10">
    <w:abstractNumId w:val="27"/>
  </w:num>
  <w:num w:numId="11">
    <w:abstractNumId w:val="30"/>
  </w:num>
  <w:num w:numId="12">
    <w:abstractNumId w:val="26"/>
  </w:num>
  <w:num w:numId="13">
    <w:abstractNumId w:val="32"/>
  </w:num>
  <w:num w:numId="14">
    <w:abstractNumId w:val="28"/>
  </w:num>
  <w:num w:numId="15">
    <w:abstractNumId w:val="25"/>
  </w:num>
  <w:num w:numId="16">
    <w:abstractNumId w:val="31"/>
  </w:num>
  <w:num w:numId="17">
    <w:abstractNumId w:val="3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E"/>
    <w:rsid w:val="00000418"/>
    <w:rsid w:val="00050BF0"/>
    <w:rsid w:val="00055730"/>
    <w:rsid w:val="0007693D"/>
    <w:rsid w:val="00081149"/>
    <w:rsid w:val="000842A0"/>
    <w:rsid w:val="000878E3"/>
    <w:rsid w:val="00090DE6"/>
    <w:rsid w:val="000967EF"/>
    <w:rsid w:val="000C5E48"/>
    <w:rsid w:val="000C7208"/>
    <w:rsid w:val="000D38F7"/>
    <w:rsid w:val="0011401C"/>
    <w:rsid w:val="00133051"/>
    <w:rsid w:val="001430EF"/>
    <w:rsid w:val="00144934"/>
    <w:rsid w:val="00183792"/>
    <w:rsid w:val="00183B4E"/>
    <w:rsid w:val="00192BD5"/>
    <w:rsid w:val="0019531D"/>
    <w:rsid w:val="001A4AA1"/>
    <w:rsid w:val="001A4B87"/>
    <w:rsid w:val="001B3ADC"/>
    <w:rsid w:val="001C1546"/>
    <w:rsid w:val="001C6E26"/>
    <w:rsid w:val="001C7E73"/>
    <w:rsid w:val="001F1CE2"/>
    <w:rsid w:val="0020125F"/>
    <w:rsid w:val="002064BE"/>
    <w:rsid w:val="00211F79"/>
    <w:rsid w:val="00214D31"/>
    <w:rsid w:val="00221940"/>
    <w:rsid w:val="002243DF"/>
    <w:rsid w:val="00271ABF"/>
    <w:rsid w:val="0028244C"/>
    <w:rsid w:val="00287317"/>
    <w:rsid w:val="0029712C"/>
    <w:rsid w:val="002A0219"/>
    <w:rsid w:val="002A4192"/>
    <w:rsid w:val="002A57EE"/>
    <w:rsid w:val="002B6FBE"/>
    <w:rsid w:val="002C5E0C"/>
    <w:rsid w:val="002D113E"/>
    <w:rsid w:val="002D4256"/>
    <w:rsid w:val="002D5494"/>
    <w:rsid w:val="002E1B12"/>
    <w:rsid w:val="002F3466"/>
    <w:rsid w:val="003044BE"/>
    <w:rsid w:val="00305194"/>
    <w:rsid w:val="003443A2"/>
    <w:rsid w:val="003469E5"/>
    <w:rsid w:val="003573E8"/>
    <w:rsid w:val="003721EF"/>
    <w:rsid w:val="00372DF6"/>
    <w:rsid w:val="00386CE1"/>
    <w:rsid w:val="003928EA"/>
    <w:rsid w:val="003931AF"/>
    <w:rsid w:val="003A0839"/>
    <w:rsid w:val="003A3310"/>
    <w:rsid w:val="003C3232"/>
    <w:rsid w:val="003C62C0"/>
    <w:rsid w:val="003C6C08"/>
    <w:rsid w:val="003D7EE2"/>
    <w:rsid w:val="003E75FF"/>
    <w:rsid w:val="003F3CD5"/>
    <w:rsid w:val="00403649"/>
    <w:rsid w:val="0040661F"/>
    <w:rsid w:val="00412089"/>
    <w:rsid w:val="00431E58"/>
    <w:rsid w:val="00437F71"/>
    <w:rsid w:val="0045000F"/>
    <w:rsid w:val="00454777"/>
    <w:rsid w:val="00467E68"/>
    <w:rsid w:val="00482E9F"/>
    <w:rsid w:val="00483BE7"/>
    <w:rsid w:val="004851AB"/>
    <w:rsid w:val="00493019"/>
    <w:rsid w:val="004A4EAF"/>
    <w:rsid w:val="004A5C77"/>
    <w:rsid w:val="004B2CAA"/>
    <w:rsid w:val="004B5DDA"/>
    <w:rsid w:val="004C3988"/>
    <w:rsid w:val="004F3A9D"/>
    <w:rsid w:val="00506E29"/>
    <w:rsid w:val="00514FAB"/>
    <w:rsid w:val="00516B25"/>
    <w:rsid w:val="00546586"/>
    <w:rsid w:val="0056722E"/>
    <w:rsid w:val="00577A2A"/>
    <w:rsid w:val="005B1DCD"/>
    <w:rsid w:val="005C0134"/>
    <w:rsid w:val="005C2FAD"/>
    <w:rsid w:val="005C796C"/>
    <w:rsid w:val="005D5729"/>
    <w:rsid w:val="005E1E72"/>
    <w:rsid w:val="005E77D8"/>
    <w:rsid w:val="005F39E5"/>
    <w:rsid w:val="00603DC3"/>
    <w:rsid w:val="00646914"/>
    <w:rsid w:val="00653D47"/>
    <w:rsid w:val="00655040"/>
    <w:rsid w:val="00662AA5"/>
    <w:rsid w:val="006707AA"/>
    <w:rsid w:val="00672A1E"/>
    <w:rsid w:val="00673C98"/>
    <w:rsid w:val="006A199B"/>
    <w:rsid w:val="006B071E"/>
    <w:rsid w:val="006B554A"/>
    <w:rsid w:val="006B7827"/>
    <w:rsid w:val="006C144E"/>
    <w:rsid w:val="006C59C2"/>
    <w:rsid w:val="006D2CB7"/>
    <w:rsid w:val="006F5059"/>
    <w:rsid w:val="006F5FB0"/>
    <w:rsid w:val="00705BA7"/>
    <w:rsid w:val="00716128"/>
    <w:rsid w:val="00750F56"/>
    <w:rsid w:val="00755608"/>
    <w:rsid w:val="0077581C"/>
    <w:rsid w:val="00785E21"/>
    <w:rsid w:val="007916FA"/>
    <w:rsid w:val="007A0CA9"/>
    <w:rsid w:val="007B29C9"/>
    <w:rsid w:val="007B40C7"/>
    <w:rsid w:val="007B65EF"/>
    <w:rsid w:val="007D7945"/>
    <w:rsid w:val="007F06C0"/>
    <w:rsid w:val="0080049E"/>
    <w:rsid w:val="00804EBE"/>
    <w:rsid w:val="008171A9"/>
    <w:rsid w:val="008254E4"/>
    <w:rsid w:val="008268D8"/>
    <w:rsid w:val="00835061"/>
    <w:rsid w:val="008369B1"/>
    <w:rsid w:val="008633C9"/>
    <w:rsid w:val="00871C6B"/>
    <w:rsid w:val="0088755A"/>
    <w:rsid w:val="008A4097"/>
    <w:rsid w:val="008B5D96"/>
    <w:rsid w:val="008D781A"/>
    <w:rsid w:val="008F6A5A"/>
    <w:rsid w:val="00904F49"/>
    <w:rsid w:val="00911332"/>
    <w:rsid w:val="00913D4F"/>
    <w:rsid w:val="0091480B"/>
    <w:rsid w:val="009240B7"/>
    <w:rsid w:val="009266D0"/>
    <w:rsid w:val="00946277"/>
    <w:rsid w:val="009905DA"/>
    <w:rsid w:val="0099703A"/>
    <w:rsid w:val="009A1647"/>
    <w:rsid w:val="009A21DF"/>
    <w:rsid w:val="009B64F7"/>
    <w:rsid w:val="009C2A50"/>
    <w:rsid w:val="009D2D54"/>
    <w:rsid w:val="00A1131F"/>
    <w:rsid w:val="00A17F2A"/>
    <w:rsid w:val="00A344DF"/>
    <w:rsid w:val="00A44341"/>
    <w:rsid w:val="00A536B3"/>
    <w:rsid w:val="00A5575D"/>
    <w:rsid w:val="00A65A26"/>
    <w:rsid w:val="00A7529E"/>
    <w:rsid w:val="00A752C2"/>
    <w:rsid w:val="00A773F4"/>
    <w:rsid w:val="00A84A1C"/>
    <w:rsid w:val="00AA449B"/>
    <w:rsid w:val="00AB1392"/>
    <w:rsid w:val="00AC0446"/>
    <w:rsid w:val="00AC26BB"/>
    <w:rsid w:val="00AC2DDF"/>
    <w:rsid w:val="00AC3695"/>
    <w:rsid w:val="00B02A2F"/>
    <w:rsid w:val="00B05E89"/>
    <w:rsid w:val="00B13745"/>
    <w:rsid w:val="00B223CE"/>
    <w:rsid w:val="00B23185"/>
    <w:rsid w:val="00B26932"/>
    <w:rsid w:val="00B569CA"/>
    <w:rsid w:val="00B57AE0"/>
    <w:rsid w:val="00B57DBA"/>
    <w:rsid w:val="00B743D1"/>
    <w:rsid w:val="00B950E7"/>
    <w:rsid w:val="00B979D2"/>
    <w:rsid w:val="00BB5BE6"/>
    <w:rsid w:val="00BC2B56"/>
    <w:rsid w:val="00C11A58"/>
    <w:rsid w:val="00C14B76"/>
    <w:rsid w:val="00C22D76"/>
    <w:rsid w:val="00C244BC"/>
    <w:rsid w:val="00C26B93"/>
    <w:rsid w:val="00C30E9E"/>
    <w:rsid w:val="00C333CC"/>
    <w:rsid w:val="00C4547F"/>
    <w:rsid w:val="00C8432C"/>
    <w:rsid w:val="00C96E4E"/>
    <w:rsid w:val="00CB5ECE"/>
    <w:rsid w:val="00CC6498"/>
    <w:rsid w:val="00CF2E08"/>
    <w:rsid w:val="00CF51D9"/>
    <w:rsid w:val="00CF5A5C"/>
    <w:rsid w:val="00CF6593"/>
    <w:rsid w:val="00D00F87"/>
    <w:rsid w:val="00D07599"/>
    <w:rsid w:val="00D24DFD"/>
    <w:rsid w:val="00D35837"/>
    <w:rsid w:val="00D52E28"/>
    <w:rsid w:val="00D63CA5"/>
    <w:rsid w:val="00D6597B"/>
    <w:rsid w:val="00D74A21"/>
    <w:rsid w:val="00D9523F"/>
    <w:rsid w:val="00DA6366"/>
    <w:rsid w:val="00DD1BEA"/>
    <w:rsid w:val="00DE682B"/>
    <w:rsid w:val="00DF28F9"/>
    <w:rsid w:val="00DF65EE"/>
    <w:rsid w:val="00E050EF"/>
    <w:rsid w:val="00E130F7"/>
    <w:rsid w:val="00E13761"/>
    <w:rsid w:val="00E13C8B"/>
    <w:rsid w:val="00E14D96"/>
    <w:rsid w:val="00E23D24"/>
    <w:rsid w:val="00E34423"/>
    <w:rsid w:val="00E41362"/>
    <w:rsid w:val="00E47E07"/>
    <w:rsid w:val="00E66E08"/>
    <w:rsid w:val="00E77BAA"/>
    <w:rsid w:val="00E87A1B"/>
    <w:rsid w:val="00E93BB9"/>
    <w:rsid w:val="00E97FC9"/>
    <w:rsid w:val="00EA7EBF"/>
    <w:rsid w:val="00EB3851"/>
    <w:rsid w:val="00EB46DE"/>
    <w:rsid w:val="00EB72F1"/>
    <w:rsid w:val="00EC0D41"/>
    <w:rsid w:val="00ED408E"/>
    <w:rsid w:val="00ED75F6"/>
    <w:rsid w:val="00F07073"/>
    <w:rsid w:val="00F104A3"/>
    <w:rsid w:val="00F30A73"/>
    <w:rsid w:val="00F46F1C"/>
    <w:rsid w:val="00F53B9F"/>
    <w:rsid w:val="00F63191"/>
    <w:rsid w:val="00FC53B9"/>
    <w:rsid w:val="00FD6F3F"/>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8FA81A4F-745E-4036-912B-FCE304B6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 w:type="paragraph" w:customStyle="1" w:styleId="smlouvaheading1">
    <w:name w:val="smlouva heading 1"/>
    <w:next w:val="smlouvaheading2"/>
    <w:qFormat/>
    <w:rsid w:val="009A1647"/>
    <w:pPr>
      <w:numPr>
        <w:numId w:val="37"/>
      </w:numPr>
      <w:tabs>
        <w:tab w:val="left" w:pos="794"/>
      </w:tabs>
      <w:spacing w:before="240" w:after="240" w:line="240" w:lineRule="auto"/>
      <w:ind w:left="794" w:hanging="794"/>
      <w:jc w:val="both"/>
    </w:pPr>
    <w:rPr>
      <w:rFonts w:ascii="Arial" w:eastAsia="Times New Roman" w:hAnsi="Arial" w:cs="Times New Roman"/>
      <w:b/>
      <w:caps/>
      <w:noProof/>
      <w:color w:val="000000"/>
      <w:szCs w:val="24"/>
    </w:rPr>
  </w:style>
  <w:style w:type="paragraph" w:customStyle="1" w:styleId="smlouvaheading2">
    <w:name w:val="smlouva heading 2"/>
    <w:basedOn w:val="Normln"/>
    <w:qFormat/>
    <w:rsid w:val="009A1647"/>
    <w:pPr>
      <w:numPr>
        <w:ilvl w:val="1"/>
        <w:numId w:val="37"/>
      </w:numPr>
      <w:tabs>
        <w:tab w:val="left" w:pos="794"/>
      </w:tabs>
      <w:spacing w:before="120" w:after="0" w:line="240" w:lineRule="auto"/>
      <w:jc w:val="both"/>
    </w:pPr>
    <w:rPr>
      <w:rFonts w:ascii="Arial" w:eastAsia="Times New Roman" w:hAnsi="Arial" w:cs="Times New Roman"/>
      <w:color w:val="000000"/>
    </w:rPr>
  </w:style>
  <w:style w:type="paragraph" w:customStyle="1" w:styleId="smlouvaheading3">
    <w:name w:val="smlouva heading 3"/>
    <w:basedOn w:val="smlouvaheading2"/>
    <w:qFormat/>
    <w:rsid w:val="009A1647"/>
    <w:pPr>
      <w:numPr>
        <w:ilvl w:val="2"/>
      </w:numPr>
      <w:ind w:left="1588" w:hanging="794"/>
    </w:pPr>
  </w:style>
  <w:style w:type="paragraph" w:customStyle="1" w:styleId="smlouvaheading4">
    <w:name w:val="smlouva heading 4"/>
    <w:basedOn w:val="smlouvaheading3"/>
    <w:next w:val="Normln"/>
    <w:qFormat/>
    <w:rsid w:val="009A1647"/>
    <w:pPr>
      <w:numPr>
        <w:ilvl w:val="3"/>
      </w:numPr>
      <w:tabs>
        <w:tab w:val="clear" w:pos="794"/>
        <w:tab w:val="left" w:pos="1021"/>
      </w:tabs>
      <w:ind w:left="2529" w:hanging="98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3B5A-ACB7-411B-9DE0-6C245452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4212</Words>
  <Characters>24854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2</cp:revision>
  <cp:lastPrinted>2016-11-21T12:12:00Z</cp:lastPrinted>
  <dcterms:created xsi:type="dcterms:W3CDTF">2018-03-26T06:44:00Z</dcterms:created>
  <dcterms:modified xsi:type="dcterms:W3CDTF">2018-03-26T06:44:00Z</dcterms:modified>
</cp:coreProperties>
</file>