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39" w:rsidRPr="00B32AFE" w:rsidRDefault="00EA69E9" w:rsidP="00C25939">
      <w:pPr>
        <w:pStyle w:val="Nadpis3"/>
        <w:tabs>
          <w:tab w:val="left" w:pos="708"/>
        </w:tabs>
        <w:rPr>
          <w:rFonts w:ascii="Arial" w:hAnsi="Arial" w:cs="Arial"/>
          <w:b/>
          <w:i/>
          <w:color w:val="000000"/>
          <w:sz w:val="20"/>
          <w:szCs w:val="20"/>
        </w:rPr>
      </w:pP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ab/>
      </w:r>
      <w:r w:rsidR="0039311D" w:rsidRPr="00B32AFE">
        <w:rPr>
          <w:rFonts w:eastAsia="Times New Roman" w:cs="Arial"/>
          <w:b/>
          <w:color w:val="FF0000"/>
          <w:sz w:val="20"/>
          <w:szCs w:val="20"/>
          <w:bdr w:val="none" w:sz="0" w:space="0" w:color="auto"/>
          <w:lang w:eastAsia="ar-SA"/>
        </w:rPr>
        <w:t xml:space="preserve">                                      </w:t>
      </w:r>
      <w:r w:rsidR="00C25939" w:rsidRPr="00B32A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9311D" w:rsidRPr="00B32AFE">
        <w:rPr>
          <w:rFonts w:ascii="Arial" w:hAnsi="Arial" w:cs="Arial"/>
          <w:b/>
          <w:color w:val="000000"/>
          <w:sz w:val="20"/>
          <w:szCs w:val="20"/>
        </w:rPr>
        <w:t xml:space="preserve">Česká </w:t>
      </w:r>
      <w:r w:rsidR="00C25939" w:rsidRPr="00B32AFE">
        <w:rPr>
          <w:rFonts w:ascii="Arial" w:hAnsi="Arial" w:cs="Arial"/>
          <w:b/>
          <w:color w:val="000000"/>
          <w:sz w:val="20"/>
          <w:szCs w:val="20"/>
        </w:rPr>
        <w:t xml:space="preserve">republika - Státní pozemkový úřad </w:t>
      </w:r>
    </w:p>
    <w:p w:rsidR="00C25939" w:rsidRPr="00B32AFE" w:rsidRDefault="00C25939" w:rsidP="00C25939">
      <w:pPr>
        <w:tabs>
          <w:tab w:val="left" w:pos="120"/>
        </w:tabs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se sídlem Praha 3, Husinecká 1024/11a, PSČ 130 00</w:t>
      </w:r>
    </w:p>
    <w:p w:rsidR="00C25939" w:rsidRPr="00B32AFE" w:rsidRDefault="00C25939" w:rsidP="00C25939">
      <w:pPr>
        <w:tabs>
          <w:tab w:val="left" w:pos="120"/>
        </w:tabs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IČO:</w:t>
      </w:r>
      <w:r w:rsidRPr="00B32AFE">
        <w:rPr>
          <w:rFonts w:ascii="Arial" w:hAnsi="Arial" w:cs="Arial"/>
          <w:sz w:val="20"/>
          <w:szCs w:val="20"/>
        </w:rPr>
        <w:tab/>
        <w:t>01312774</w:t>
      </w:r>
    </w:p>
    <w:p w:rsidR="00C25939" w:rsidRPr="00B32AFE" w:rsidRDefault="00C25939" w:rsidP="00C25939">
      <w:pPr>
        <w:tabs>
          <w:tab w:val="left" w:pos="120"/>
        </w:tabs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DIČ:</w:t>
      </w:r>
      <w:r w:rsidRPr="00B32AFE">
        <w:rPr>
          <w:rFonts w:ascii="Arial" w:hAnsi="Arial" w:cs="Arial"/>
          <w:sz w:val="20"/>
          <w:szCs w:val="20"/>
        </w:rPr>
        <w:tab/>
        <w:t>CZ01312774</w:t>
      </w:r>
    </w:p>
    <w:p w:rsidR="00C25939" w:rsidRPr="00B32AFE" w:rsidRDefault="00C25939" w:rsidP="00C25939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 w:rsidRPr="00B32AFE">
        <w:rPr>
          <w:rFonts w:ascii="Arial" w:hAnsi="Arial" w:cs="Arial"/>
          <w:color w:val="000000"/>
          <w:sz w:val="20"/>
          <w:szCs w:val="20"/>
        </w:rPr>
        <w:t>Jednající: Ing. Jan Ševčík, ředitel Krajského pozemkového úřadu pro Jihomoravský kraj, adresa Hroznová 17, 603 00 Brno</w:t>
      </w:r>
    </w:p>
    <w:p w:rsidR="00C25939" w:rsidRPr="00B32AFE" w:rsidRDefault="00C25939" w:rsidP="00C25939">
      <w:pPr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 xml:space="preserve">na základě oprávnění vyplývajícího z předpisu Státního pozemkového úřadu č. 1/2016, Podpisový řád, ze dne 1. ledna 2016 </w:t>
      </w:r>
    </w:p>
    <w:p w:rsidR="00C25939" w:rsidRPr="00B32AFE" w:rsidRDefault="00C25939" w:rsidP="00C259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(dále jen "předávající")</w:t>
      </w:r>
    </w:p>
    <w:p w:rsidR="00C25939" w:rsidRPr="00B32AFE" w:rsidRDefault="00C25939" w:rsidP="00C259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a</w:t>
      </w:r>
    </w:p>
    <w:p w:rsidR="00C25939" w:rsidRPr="00B32AFE" w:rsidRDefault="00C25939" w:rsidP="00C25939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:rsidR="00C25939" w:rsidRPr="00B32AFE" w:rsidRDefault="00C25939" w:rsidP="00C25939">
      <w:pPr>
        <w:jc w:val="both"/>
        <w:rPr>
          <w:rFonts w:ascii="Arial" w:hAnsi="Arial" w:cs="Arial"/>
          <w:b/>
          <w:sz w:val="20"/>
          <w:szCs w:val="20"/>
        </w:rPr>
      </w:pPr>
      <w:r w:rsidRPr="00B32AFE">
        <w:rPr>
          <w:rFonts w:ascii="Arial" w:hAnsi="Arial" w:cs="Arial"/>
          <w:b/>
          <w:bCs/>
          <w:sz w:val="20"/>
          <w:szCs w:val="20"/>
        </w:rPr>
        <w:t>Ředitelství silnic a dálnic ČR</w:t>
      </w:r>
    </w:p>
    <w:p w:rsidR="00C25939" w:rsidRPr="00B32AFE" w:rsidRDefault="00C25939" w:rsidP="00C25939">
      <w:pPr>
        <w:pStyle w:val="adresa"/>
        <w:rPr>
          <w:rFonts w:ascii="Arial" w:hAnsi="Arial" w:cs="Arial"/>
          <w:color w:val="000000"/>
          <w:sz w:val="20"/>
          <w:szCs w:val="20"/>
        </w:rPr>
      </w:pPr>
      <w:r w:rsidRPr="00B32AFE">
        <w:rPr>
          <w:rFonts w:ascii="Arial" w:hAnsi="Arial" w:cs="Arial"/>
          <w:color w:val="000000"/>
          <w:sz w:val="20"/>
          <w:szCs w:val="20"/>
        </w:rPr>
        <w:t>se sídlem: Na Pankráci 546/56, PSČ 14000, Praha 4- Nusle,</w:t>
      </w:r>
    </w:p>
    <w:p w:rsidR="00C25939" w:rsidRPr="00B32AFE" w:rsidRDefault="00C25939" w:rsidP="00C25939">
      <w:pPr>
        <w:pStyle w:val="adresa"/>
        <w:rPr>
          <w:rFonts w:ascii="Arial" w:hAnsi="Arial" w:cs="Arial"/>
          <w:color w:val="000000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IČ:    659 93 390</w:t>
      </w:r>
    </w:p>
    <w:p w:rsidR="00C25939" w:rsidRPr="00B32AFE" w:rsidRDefault="00C25939" w:rsidP="00C25939">
      <w:pPr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DIČ: CZ65993390</w:t>
      </w:r>
    </w:p>
    <w:p w:rsidR="00C25939" w:rsidRPr="00B32AFE" w:rsidRDefault="00C25939" w:rsidP="00C25939">
      <w:pPr>
        <w:ind w:left="2124" w:hanging="2408"/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 xml:space="preserve">     zastoupena: Ing. Karlem Chudárkem, ředitelem ŘSD ČR, Správa Zlín, </w:t>
      </w:r>
    </w:p>
    <w:p w:rsidR="00C25939" w:rsidRPr="00B32AFE" w:rsidRDefault="00C25939" w:rsidP="00C25939">
      <w:pPr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>Fügnerovo nábřeží 5476, 760 01 Zlín</w:t>
      </w:r>
    </w:p>
    <w:p w:rsidR="00EA69E9" w:rsidRPr="00B32AFE" w:rsidRDefault="00EA69E9" w:rsidP="00C25939">
      <w:pPr>
        <w:pStyle w:val="Nzev"/>
        <w:rPr>
          <w:rFonts w:eastAsia="Times New Roman" w:cs="Arial"/>
          <w:i/>
          <w:color w:val="FF0000"/>
          <w:szCs w:val="20"/>
          <w:bdr w:val="none" w:sz="0" w:space="0" w:color="auto"/>
          <w:lang w:eastAsia="ar-SA"/>
        </w:rPr>
      </w:pPr>
      <w:r w:rsidRPr="00B32AFE">
        <w:rPr>
          <w:rFonts w:eastAsia="Times New Roman" w:cs="Arial"/>
          <w:i/>
          <w:color w:val="FF0000"/>
          <w:szCs w:val="20"/>
          <w:bdr w:val="none" w:sz="0" w:space="0" w:color="auto"/>
          <w:lang w:eastAsia="ar-SA"/>
        </w:rPr>
        <w:t xml:space="preserve">                                   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  <w:t xml:space="preserve">uzavírají podle zákona č. 219/2000 Sb., o majetku České republiky a jejím vystupování v právních vztazích, ve znění  pozdějších předpisů, a podle § 14 a následující vyhlášky Ministerstva financí č. 62/2001 Sb., </w:t>
      </w:r>
      <w:r w:rsidRPr="00B32AFE">
        <w:rPr>
          <w:rFonts w:ascii="Arial" w:eastAsia="Times New Roman" w:hAnsi="Arial" w:cs="Arial"/>
          <w:bCs/>
          <w:color w:val="000000" w:themeColor="text1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  <w:t xml:space="preserve"> ve znění pozdějších předpisů, tuto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bdr w:val="none" w:sz="0" w:space="0" w:color="auto"/>
        </w:rPr>
      </w:pPr>
    </w:p>
    <w:p w:rsidR="00EA69E9" w:rsidRPr="00B32AFE" w:rsidRDefault="00EA69E9" w:rsidP="00EA69E9">
      <w:pPr>
        <w:pStyle w:val="Nzev"/>
        <w:jc w:val="center"/>
        <w:rPr>
          <w:rFonts w:eastAsia="Times New Roman" w:cs="Arial"/>
          <w:b/>
          <w:color w:val="000000" w:themeColor="text1"/>
          <w:sz w:val="24"/>
          <w:szCs w:val="24"/>
          <w:bdr w:val="none" w:sz="0" w:space="0" w:color="auto"/>
        </w:rPr>
      </w:pPr>
      <w:r w:rsidRPr="00B32AFE">
        <w:rPr>
          <w:rFonts w:eastAsia="Times New Roman" w:cs="Arial"/>
          <w:b/>
          <w:color w:val="000000" w:themeColor="text1"/>
          <w:sz w:val="24"/>
          <w:szCs w:val="24"/>
          <w:bdr w:val="none" w:sz="0" w:space="0" w:color="auto"/>
        </w:rPr>
        <w:t>Smlouvu o předání majetku státu a o změně příslušnosti</w:t>
      </w:r>
    </w:p>
    <w:p w:rsidR="00EA69E9" w:rsidRPr="00B32AFE" w:rsidRDefault="00EA69E9" w:rsidP="00EA69E9">
      <w:pPr>
        <w:pStyle w:val="Nzev"/>
        <w:jc w:val="center"/>
        <w:rPr>
          <w:rFonts w:eastAsia="Times New Roman" w:cs="Arial"/>
          <w:b/>
          <w:color w:val="000000" w:themeColor="text1"/>
          <w:sz w:val="24"/>
          <w:szCs w:val="24"/>
          <w:bdr w:val="none" w:sz="0" w:space="0" w:color="auto"/>
        </w:rPr>
      </w:pPr>
      <w:r w:rsidRPr="00B32AFE">
        <w:rPr>
          <w:rFonts w:eastAsia="Times New Roman" w:cs="Arial"/>
          <w:b/>
          <w:color w:val="000000" w:themeColor="text1"/>
          <w:sz w:val="24"/>
          <w:szCs w:val="24"/>
          <w:bdr w:val="none" w:sz="0" w:space="0" w:color="auto"/>
        </w:rPr>
        <w:t>hospodařit s tímto majetkem</w:t>
      </w:r>
    </w:p>
    <w:p w:rsidR="00C25939" w:rsidRPr="00B32AFE" w:rsidRDefault="00C25939" w:rsidP="00C25939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B32AFE">
        <w:rPr>
          <w:rFonts w:ascii="Arial" w:hAnsi="Arial" w:cs="Arial"/>
          <w:b/>
          <w:color w:val="000000" w:themeColor="text1"/>
          <w:sz w:val="24"/>
          <w:szCs w:val="24"/>
        </w:rPr>
        <w:t>č. 1001H18/24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I.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</w:t>
      </w:r>
      <w:r w:rsidR="0039311D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ušný hospodařit s níže uvedenými pozemky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ve vlastnictví státu:</w:t>
      </w:r>
    </w:p>
    <w:p w:rsidR="00EA69E9" w:rsidRPr="00B32AFE" w:rsidRDefault="00C2593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</w:rPr>
      </w:pPr>
      <w:r w:rsidRPr="00B32AFE"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</w:rPr>
        <w:t xml:space="preserve"> 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iCs/>
          <w:color w:val="000000" w:themeColor="text1"/>
          <w:sz w:val="20"/>
          <w:szCs w:val="20"/>
          <w:bdr w:val="none" w:sz="0" w:space="0" w:color="auto"/>
          <w:lang w:eastAsia="ar-SA"/>
        </w:rPr>
        <w:t>Pozem</w:t>
      </w:r>
      <w:r w:rsidR="00C25939" w:rsidRPr="00B32AFE">
        <w:rPr>
          <w:rFonts w:ascii="Arial" w:eastAsia="Times New Roman" w:hAnsi="Arial" w:cs="Arial"/>
          <w:iCs/>
          <w:color w:val="000000" w:themeColor="text1"/>
          <w:sz w:val="20"/>
          <w:szCs w:val="20"/>
          <w:bdr w:val="none" w:sz="0" w:space="0" w:color="auto"/>
          <w:lang w:eastAsia="ar-SA"/>
        </w:rPr>
        <w:t>ky</w:t>
      </w:r>
    </w:p>
    <w:tbl>
      <w:tblPr>
        <w:tblW w:w="93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2268"/>
        <w:gridCol w:w="1609"/>
        <w:gridCol w:w="1369"/>
        <w:gridCol w:w="1457"/>
        <w:gridCol w:w="1042"/>
      </w:tblGrid>
      <w:tr w:rsidR="00C25939" w:rsidRPr="00B32AFE" w:rsidTr="0039311D">
        <w:trPr>
          <w:trHeight w:val="240"/>
        </w:trPr>
        <w:tc>
          <w:tcPr>
            <w:tcW w:w="1626" w:type="dxa"/>
            <w:shd w:val="clear" w:color="auto" w:fill="auto"/>
            <w:noWrap/>
            <w:vAlign w:val="center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obec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katastrální území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druh evidence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parcelní číslo</w:t>
            </w:r>
          </w:p>
        </w:tc>
        <w:tc>
          <w:tcPr>
            <w:tcW w:w="1457" w:type="dxa"/>
            <w:shd w:val="clear" w:color="auto" w:fill="auto"/>
            <w:noWrap/>
          </w:tcPr>
          <w:p w:rsidR="00C25939" w:rsidRPr="00B32AFE" w:rsidRDefault="00C25939" w:rsidP="00211E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</w:rPr>
              <w:t>druh pozemku</w:t>
            </w:r>
          </w:p>
        </w:tc>
        <w:tc>
          <w:tcPr>
            <w:tcW w:w="1042" w:type="dxa"/>
            <w:shd w:val="clear" w:color="auto" w:fill="auto"/>
            <w:noWrap/>
          </w:tcPr>
          <w:p w:rsidR="00C25939" w:rsidRPr="00B32AFE" w:rsidRDefault="00C25939" w:rsidP="00211E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</w:rPr>
              <w:t>LV</w:t>
            </w:r>
          </w:p>
        </w:tc>
      </w:tr>
      <w:tr w:rsidR="00C25939" w:rsidRPr="00B32AFE" w:rsidTr="0039311D">
        <w:trPr>
          <w:trHeight w:val="240"/>
        </w:trPr>
        <w:tc>
          <w:tcPr>
            <w:tcW w:w="1626" w:type="dxa"/>
            <w:shd w:val="clear" w:color="auto" w:fill="auto"/>
            <w:noWrap/>
          </w:tcPr>
          <w:p w:rsidR="00C25939" w:rsidRPr="00B32AFE" w:rsidRDefault="00C25939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2268" w:type="dxa"/>
            <w:shd w:val="clear" w:color="auto" w:fill="auto"/>
            <w:noWrap/>
          </w:tcPr>
          <w:p w:rsidR="00C25939" w:rsidRPr="00B32AFE" w:rsidRDefault="00C25939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1609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KN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5432/51</w:t>
            </w:r>
          </w:p>
        </w:tc>
        <w:tc>
          <w:tcPr>
            <w:tcW w:w="1457" w:type="dxa"/>
            <w:shd w:val="clear" w:color="auto" w:fill="auto"/>
            <w:noWrap/>
          </w:tcPr>
          <w:p w:rsidR="00C25939" w:rsidRPr="00B32AFE" w:rsidRDefault="00C25939" w:rsidP="00211E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</w:rPr>
              <w:t>Orná půda</w:t>
            </w:r>
          </w:p>
        </w:tc>
        <w:tc>
          <w:tcPr>
            <w:tcW w:w="1042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10002</w:t>
            </w:r>
          </w:p>
        </w:tc>
      </w:tr>
      <w:tr w:rsidR="00C25939" w:rsidRPr="00B32AFE" w:rsidTr="0039311D">
        <w:trPr>
          <w:trHeight w:val="103"/>
        </w:trPr>
        <w:tc>
          <w:tcPr>
            <w:tcW w:w="1626" w:type="dxa"/>
            <w:shd w:val="clear" w:color="auto" w:fill="auto"/>
            <w:noWrap/>
          </w:tcPr>
          <w:p w:rsidR="00C25939" w:rsidRPr="00B32AFE" w:rsidRDefault="00C25939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2268" w:type="dxa"/>
            <w:shd w:val="clear" w:color="auto" w:fill="auto"/>
            <w:noWrap/>
          </w:tcPr>
          <w:p w:rsidR="00C25939" w:rsidRPr="00B32AFE" w:rsidRDefault="00C25939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1609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KN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5434/2</w:t>
            </w:r>
          </w:p>
        </w:tc>
        <w:tc>
          <w:tcPr>
            <w:tcW w:w="1457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Orná půda</w:t>
            </w:r>
          </w:p>
        </w:tc>
        <w:tc>
          <w:tcPr>
            <w:tcW w:w="1042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10002</w:t>
            </w:r>
          </w:p>
        </w:tc>
      </w:tr>
      <w:tr w:rsidR="00C25939" w:rsidRPr="00B32AFE" w:rsidTr="0039311D">
        <w:trPr>
          <w:trHeight w:val="103"/>
        </w:trPr>
        <w:tc>
          <w:tcPr>
            <w:tcW w:w="1626" w:type="dxa"/>
            <w:shd w:val="clear" w:color="auto" w:fill="auto"/>
            <w:noWrap/>
          </w:tcPr>
          <w:p w:rsidR="00C25939" w:rsidRPr="00B32AFE" w:rsidRDefault="00C25939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2268" w:type="dxa"/>
            <w:shd w:val="clear" w:color="auto" w:fill="auto"/>
            <w:noWrap/>
          </w:tcPr>
          <w:p w:rsidR="00C25939" w:rsidRPr="00B32AFE" w:rsidRDefault="00C25939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1609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KN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5435/2</w:t>
            </w:r>
          </w:p>
        </w:tc>
        <w:tc>
          <w:tcPr>
            <w:tcW w:w="1457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Orná půda</w:t>
            </w:r>
          </w:p>
        </w:tc>
        <w:tc>
          <w:tcPr>
            <w:tcW w:w="1042" w:type="dxa"/>
            <w:shd w:val="clear" w:color="auto" w:fill="auto"/>
            <w:noWrap/>
          </w:tcPr>
          <w:p w:rsidR="00C25939" w:rsidRPr="00B32AFE" w:rsidRDefault="00C25939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10002</w:t>
            </w:r>
          </w:p>
        </w:tc>
      </w:tr>
    </w:tbl>
    <w:p w:rsidR="00C25939" w:rsidRPr="00B32AFE" w:rsidRDefault="00C25939" w:rsidP="00C25939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>zapsané na výše uvedeném LV u Katastrálního úřadu pro Jihomoravský kraj, Katastrální pracoviště Hodonín</w:t>
      </w:r>
    </w:p>
    <w:p w:rsidR="00EA69E9" w:rsidRPr="00B32AFE" w:rsidRDefault="0039311D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  <w:t xml:space="preserve"> </w:t>
      </w:r>
      <w:r w:rsidR="00EA69E9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  <w:t>(dále jen ”pozemky”)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eastAsia="ar-SA"/>
        </w:rPr>
        <w:t>II.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1) s odvoláním na zákon č. 219/2000 Sb., o majetku České republiky a jejím vystupování v právních vztazích, ve znění pozdějších předpisů, že má příslušnost hospodařit podle tohoto předpisu,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2) že pozemky uvedené</w:t>
      </w:r>
      <w:r w:rsidR="00B32AFE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v čl. I. této smlouvy potřebuje pro zabezpečení výkonu své působnosti a činnosti 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3)</w:t>
      </w:r>
      <w:r w:rsidR="00C25939" w:rsidRPr="00B32AFE">
        <w:rPr>
          <w:rFonts w:ascii="Arial" w:hAnsi="Arial" w:cs="Arial"/>
          <w:color w:val="000000" w:themeColor="text1"/>
          <w:sz w:val="20"/>
          <w:szCs w:val="20"/>
        </w:rPr>
        <w:t xml:space="preserve"> Nemovitosti jsou </w:t>
      </w:r>
      <w:r w:rsidR="00EC2A9E">
        <w:rPr>
          <w:rFonts w:ascii="Arial" w:hAnsi="Arial" w:cs="Arial"/>
          <w:color w:val="000000" w:themeColor="text1"/>
          <w:sz w:val="20"/>
          <w:szCs w:val="20"/>
        </w:rPr>
        <w:t>potřebné pro realizaci stavby</w:t>
      </w:r>
      <w:r w:rsidR="00C25939" w:rsidRPr="00B32AFE">
        <w:rPr>
          <w:rFonts w:ascii="Arial" w:hAnsi="Arial" w:cs="Arial"/>
          <w:color w:val="000000" w:themeColor="text1"/>
          <w:sz w:val="20"/>
          <w:szCs w:val="20"/>
        </w:rPr>
        <w:t xml:space="preserve"> „D55, stavba 5508 Staré Město-Moravský Písek“. Pozemky jsou důležité pro </w:t>
      </w:r>
      <w:r w:rsidR="00252EEE">
        <w:rPr>
          <w:rFonts w:ascii="Arial" w:hAnsi="Arial" w:cs="Arial"/>
          <w:color w:val="000000" w:themeColor="text1"/>
          <w:sz w:val="20"/>
          <w:szCs w:val="20"/>
        </w:rPr>
        <w:t>přejímajícího</w:t>
      </w:r>
      <w:r w:rsidR="00C25939" w:rsidRPr="00B32AFE">
        <w:rPr>
          <w:rFonts w:ascii="Arial" w:hAnsi="Arial" w:cs="Arial"/>
          <w:color w:val="000000" w:themeColor="text1"/>
          <w:sz w:val="20"/>
          <w:szCs w:val="20"/>
        </w:rPr>
        <w:t xml:space="preserve"> a pro realizaci uvedené stavby.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III.</w:t>
      </w:r>
      <w:bookmarkStart w:id="0" w:name="_GoBack"/>
      <w:bookmarkEnd w:id="0"/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 </w:t>
      </w:r>
    </w:p>
    <w:p w:rsidR="00EA69E9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B32AFE" w:rsidRPr="00B32AFE" w:rsidRDefault="00B32AFE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IV.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Změna příslušnosti </w:t>
      </w:r>
      <w:r w:rsidR="00B32AFE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hospodařit  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k pozemkům uvedeným</w:t>
      </w:r>
      <w:r w:rsidR="00B32AFE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v čl. I. této smlouvy předávajícímu zanikne a přejímajícímu vznikne k</w:t>
      </w:r>
      <w:r w:rsidR="00B32AFE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 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pozemkům</w:t>
      </w:r>
      <w:r w:rsidR="00B32AFE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příslušnost hospodařit dnem schválení této smlouvy zřizovatelem přejímajícího.</w:t>
      </w:r>
      <w:r w:rsidRPr="00B32AFE" w:rsidDel="003A122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</w:rPr>
        <w:t>V.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  <w:t xml:space="preserve">1) 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EA69E9" w:rsidRPr="00B32AFE" w:rsidRDefault="00EA69E9" w:rsidP="00EA69E9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2) 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ust</w:t>
      </w:r>
      <w:proofErr w:type="spellEnd"/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B32AFE" w:rsidRPr="00B32AFE" w:rsidRDefault="00B32AFE" w:rsidP="00EA69E9">
      <w:pPr>
        <w:pBdr>
          <w:top w:val="none" w:sz="0" w:space="0" w:color="auto"/>
        </w:pBdr>
        <w:tabs>
          <w:tab w:val="left" w:pos="5245"/>
          <w:tab w:val="left" w:pos="6804"/>
          <w:tab w:val="left" w:pos="8222"/>
        </w:tabs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ar-SA"/>
        </w:rPr>
      </w:pPr>
    </w:p>
    <w:tbl>
      <w:tblPr>
        <w:tblW w:w="90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2699"/>
        <w:gridCol w:w="2985"/>
      </w:tblGrid>
      <w:tr w:rsidR="00B32AFE" w:rsidRPr="00B32AFE" w:rsidTr="00B32AFE">
        <w:trPr>
          <w:trHeight w:val="249"/>
        </w:trPr>
        <w:tc>
          <w:tcPr>
            <w:tcW w:w="3371" w:type="dxa"/>
            <w:shd w:val="clear" w:color="auto" w:fill="auto"/>
            <w:noWrap/>
            <w:vAlign w:val="center"/>
          </w:tcPr>
          <w:p w:rsidR="00B32AFE" w:rsidRPr="00B32AFE" w:rsidRDefault="00B32AFE" w:rsidP="00211E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katastrální území</w:t>
            </w:r>
          </w:p>
        </w:tc>
        <w:tc>
          <w:tcPr>
            <w:tcW w:w="2699" w:type="dxa"/>
            <w:shd w:val="clear" w:color="auto" w:fill="auto"/>
            <w:noWrap/>
            <w:vAlign w:val="bottom"/>
          </w:tcPr>
          <w:p w:rsidR="00B32AFE" w:rsidRPr="00B32AFE" w:rsidRDefault="00B32AFE" w:rsidP="00211E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parcelní číslo</w:t>
            </w:r>
          </w:p>
        </w:tc>
        <w:tc>
          <w:tcPr>
            <w:tcW w:w="2985" w:type="dxa"/>
          </w:tcPr>
          <w:p w:rsidR="00B32AFE" w:rsidRPr="00B32AFE" w:rsidRDefault="00B32AFE" w:rsidP="00B32AF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32AFE">
              <w:rPr>
                <w:rFonts w:ascii="Arial" w:hAnsi="Arial" w:cs="Arial"/>
                <w:i/>
                <w:color w:val="000000" w:themeColor="text1"/>
                <w:sz w:val="20"/>
              </w:rPr>
              <w:t>Účetní hodnota</w:t>
            </w:r>
          </w:p>
        </w:tc>
      </w:tr>
      <w:tr w:rsidR="00B32AFE" w:rsidRPr="00B32AFE" w:rsidTr="00B32AFE">
        <w:trPr>
          <w:trHeight w:val="249"/>
        </w:trPr>
        <w:tc>
          <w:tcPr>
            <w:tcW w:w="3371" w:type="dxa"/>
            <w:shd w:val="clear" w:color="auto" w:fill="auto"/>
            <w:noWrap/>
          </w:tcPr>
          <w:p w:rsidR="00B32AFE" w:rsidRPr="00B32AFE" w:rsidRDefault="00B32AFE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2699" w:type="dxa"/>
            <w:shd w:val="clear" w:color="auto" w:fill="auto"/>
            <w:noWrap/>
            <w:vAlign w:val="bottom"/>
          </w:tcPr>
          <w:p w:rsidR="00B32AFE" w:rsidRPr="00B32AFE" w:rsidRDefault="00B32AFE" w:rsidP="00211EF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5432/51</w:t>
            </w:r>
          </w:p>
        </w:tc>
        <w:tc>
          <w:tcPr>
            <w:tcW w:w="2985" w:type="dxa"/>
            <w:vAlign w:val="bottom"/>
          </w:tcPr>
          <w:p w:rsidR="00B32AFE" w:rsidRPr="00B32AFE" w:rsidRDefault="00B32AFE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2613,03 </w:t>
            </w:r>
            <w:r w:rsidRPr="00B32AF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Kč</w:t>
            </w:r>
          </w:p>
        </w:tc>
      </w:tr>
      <w:tr w:rsidR="00B32AFE" w:rsidRPr="00B32AFE" w:rsidTr="00B32AFE">
        <w:trPr>
          <w:trHeight w:val="106"/>
        </w:trPr>
        <w:tc>
          <w:tcPr>
            <w:tcW w:w="3371" w:type="dxa"/>
            <w:shd w:val="clear" w:color="auto" w:fill="auto"/>
            <w:noWrap/>
          </w:tcPr>
          <w:p w:rsidR="00B32AFE" w:rsidRPr="00B32AFE" w:rsidRDefault="00B32AFE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2699" w:type="dxa"/>
            <w:shd w:val="clear" w:color="auto" w:fill="auto"/>
            <w:noWrap/>
            <w:vAlign w:val="bottom"/>
          </w:tcPr>
          <w:p w:rsidR="00B32AFE" w:rsidRPr="00B32AFE" w:rsidRDefault="00B32AFE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5434/2</w:t>
            </w:r>
          </w:p>
        </w:tc>
        <w:tc>
          <w:tcPr>
            <w:tcW w:w="2985" w:type="dxa"/>
            <w:vAlign w:val="bottom"/>
          </w:tcPr>
          <w:p w:rsidR="00B32AFE" w:rsidRPr="00B32AFE" w:rsidRDefault="00B32AFE" w:rsidP="00211E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1720,38 </w:t>
            </w:r>
            <w:r w:rsidRPr="00B32AF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Kč</w:t>
            </w:r>
          </w:p>
        </w:tc>
      </w:tr>
      <w:tr w:rsidR="00B32AFE" w:rsidRPr="00B32AFE" w:rsidTr="00B32AFE">
        <w:trPr>
          <w:trHeight w:val="106"/>
        </w:trPr>
        <w:tc>
          <w:tcPr>
            <w:tcW w:w="3371" w:type="dxa"/>
            <w:shd w:val="clear" w:color="auto" w:fill="auto"/>
            <w:noWrap/>
          </w:tcPr>
          <w:p w:rsidR="00B32AFE" w:rsidRPr="00B32AFE" w:rsidRDefault="00B32AFE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Moravský Písek</w:t>
            </w:r>
          </w:p>
        </w:tc>
        <w:tc>
          <w:tcPr>
            <w:tcW w:w="2699" w:type="dxa"/>
            <w:shd w:val="clear" w:color="auto" w:fill="auto"/>
            <w:noWrap/>
            <w:vAlign w:val="bottom"/>
          </w:tcPr>
          <w:p w:rsidR="00B32AFE" w:rsidRPr="00B32AFE" w:rsidRDefault="00B32AFE" w:rsidP="00211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5435/2</w:t>
            </w:r>
          </w:p>
        </w:tc>
        <w:tc>
          <w:tcPr>
            <w:tcW w:w="2985" w:type="dxa"/>
            <w:vAlign w:val="bottom"/>
          </w:tcPr>
          <w:p w:rsidR="00B32AFE" w:rsidRPr="00B32AFE" w:rsidRDefault="00B32AFE" w:rsidP="00211E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1606,77 </w:t>
            </w:r>
            <w:r w:rsidRPr="00B32AF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Kč</w:t>
            </w:r>
          </w:p>
        </w:tc>
      </w:tr>
    </w:tbl>
    <w:p w:rsidR="00B32AFE" w:rsidRPr="00B32AFE" w:rsidRDefault="00B32AFE" w:rsidP="00EA69E9">
      <w:pPr>
        <w:pBdr>
          <w:top w:val="none" w:sz="0" w:space="0" w:color="auto"/>
        </w:pBdr>
        <w:tabs>
          <w:tab w:val="left" w:pos="5245"/>
          <w:tab w:val="left" w:pos="6804"/>
          <w:tab w:val="left" w:pos="8222"/>
        </w:tabs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VI.</w:t>
      </w:r>
    </w:p>
    <w:p w:rsidR="00EA69E9" w:rsidRPr="00B32AFE" w:rsidRDefault="00EA69E9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1)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ab/>
        <w:t xml:space="preserve">Smluvní strany shodně prohlašují, že jim nejsou známy žádné skutečnosti, které by uzavření smlouvy bránily. Přejímající bere na vědomí skutečnost, že předávající nezajišťuje zpřístupnění a vytyčování hranic </w:t>
      </w:r>
      <w:r w:rsidR="00B32AFE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pozemků</w:t>
      </w: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.</w:t>
      </w:r>
    </w:p>
    <w:p w:rsidR="00EA69E9" w:rsidRPr="00B32AFE" w:rsidRDefault="00C2593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360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2) </w:t>
      </w:r>
      <w:r w:rsidR="00C25939" w:rsidRPr="00B32AFE">
        <w:rPr>
          <w:rFonts w:ascii="Arial" w:hAnsi="Arial" w:cs="Arial"/>
          <w:color w:val="000000" w:themeColor="text1"/>
          <w:sz w:val="20"/>
          <w:szCs w:val="20"/>
        </w:rPr>
        <w:t xml:space="preserve">Užívací vztah k předávaným pozemkům je řešen: </w:t>
      </w:r>
      <w:r w:rsidR="00252EEE">
        <w:rPr>
          <w:rFonts w:ascii="Arial" w:hAnsi="Arial" w:cs="Arial"/>
          <w:color w:val="000000" w:themeColor="text1"/>
          <w:sz w:val="20"/>
          <w:szCs w:val="20"/>
        </w:rPr>
        <w:t>nájemní</w:t>
      </w:r>
      <w:r w:rsidR="00C25939" w:rsidRPr="00B32AFE">
        <w:rPr>
          <w:rFonts w:ascii="Arial" w:hAnsi="Arial" w:cs="Arial"/>
          <w:color w:val="000000" w:themeColor="text1"/>
          <w:sz w:val="20"/>
          <w:szCs w:val="20"/>
        </w:rPr>
        <w:t xml:space="preserve"> smlouvou, č. 34N09/24, uzavřenou s Svornost Těmice, a.s.,  </w:t>
      </w:r>
      <w:r w:rsidR="00252EEE">
        <w:rPr>
          <w:rFonts w:ascii="Arial" w:hAnsi="Arial" w:cs="Arial"/>
          <w:color w:val="000000" w:themeColor="text1"/>
          <w:sz w:val="20"/>
          <w:szCs w:val="20"/>
        </w:rPr>
        <w:t>nájemcem</w:t>
      </w:r>
      <w:r w:rsidR="00C25939" w:rsidRPr="00B32AFE">
        <w:rPr>
          <w:rFonts w:ascii="Arial" w:hAnsi="Arial" w:cs="Arial"/>
          <w:color w:val="000000" w:themeColor="text1"/>
          <w:sz w:val="20"/>
          <w:szCs w:val="20"/>
        </w:rPr>
        <w:t xml:space="preserve">. S obsahem nájemní smlouvy byl přejímající seznámen před podpisem této smlouvy, </w:t>
      </w:r>
      <w:r w:rsidR="00C25939" w:rsidRPr="00B32AFE">
        <w:rPr>
          <w:rFonts w:ascii="Arial" w:hAnsi="Arial" w:cs="Arial"/>
          <w:bCs/>
          <w:color w:val="000000" w:themeColor="text1"/>
          <w:sz w:val="20"/>
          <w:szCs w:val="20"/>
        </w:rPr>
        <w:t>což stvrzuje svým podpisem.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B32AFE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3</w:t>
      </w:r>
      <w:r w:rsidR="00EA69E9"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 w:rsidR="00EA69E9" w:rsidRPr="00B32AFE">
        <w:rPr>
          <w:rFonts w:ascii="Arial" w:eastAsia="Times New Roman" w:hAnsi="Arial" w:cs="Arial"/>
          <w:bCs/>
          <w:color w:val="000000" w:themeColor="text1"/>
          <w:sz w:val="20"/>
          <w:szCs w:val="20"/>
          <w:bdr w:val="none" w:sz="0" w:space="0" w:color="auto"/>
          <w:lang w:eastAsia="ar-SA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EA69E9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B32AFE" w:rsidRPr="00B32AFE" w:rsidRDefault="00B32AFE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VII.</w:t>
      </w:r>
    </w:p>
    <w:p w:rsidR="00EA69E9" w:rsidRPr="00B32AFE" w:rsidRDefault="00EA69E9" w:rsidP="00EA69E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>Smluvní strany se dohodly, že návrh na záznam změny příslušnosti hospodařit s majetkem uvedeným v čl. I. této smlouvy podá u příslušného katastrálního úřadu výhradně předávající po uveřejnění této smlouvy v registru smluv dle zákona č. 340/2015 Sb., o zvláštních podmínkách účinnosti některých smluv, uveřejňování těchto smluv a o registru smluv, a to do 60 dnů ode dne udělení schvalovací doložky zřizovatele přejímajícího.</w:t>
      </w:r>
    </w:p>
    <w:p w:rsidR="00EA69E9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B32AFE" w:rsidRPr="00B32AFE" w:rsidRDefault="00B32AFE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VIII.</w:t>
      </w:r>
    </w:p>
    <w:p w:rsidR="00EA69E9" w:rsidRPr="00B32AFE" w:rsidRDefault="00EA69E9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B32AFE" w:rsidRPr="00B32AFE" w:rsidRDefault="00B32AFE" w:rsidP="00EA69E9">
      <w:pPr>
        <w:pStyle w:val="vnintext"/>
        <w:rPr>
          <w:rFonts w:ascii="Arial" w:hAnsi="Arial" w:cs="Arial"/>
          <w:color w:val="000000" w:themeColor="text1"/>
          <w:sz w:val="20"/>
        </w:rPr>
      </w:pPr>
    </w:p>
    <w:p w:rsidR="00EA69E9" w:rsidRPr="00B32AFE" w:rsidRDefault="00EA69E9" w:rsidP="00B32AFE">
      <w:pPr>
        <w:pStyle w:val="vnintext"/>
        <w:ind w:left="284" w:hanging="284"/>
        <w:rPr>
          <w:rFonts w:ascii="Arial" w:hAnsi="Arial" w:cs="Arial"/>
          <w:color w:val="000000" w:themeColor="text1"/>
          <w:sz w:val="20"/>
        </w:rPr>
      </w:pPr>
      <w:r w:rsidRPr="00B32AFE">
        <w:rPr>
          <w:rFonts w:ascii="Arial" w:hAnsi="Arial" w:cs="Arial"/>
          <w:color w:val="000000" w:themeColor="text1"/>
          <w:sz w:val="20"/>
        </w:rPr>
        <w:t>2) Tato smlouva je vyhotovena ve čtyřech stejnopisech, z nichž jeden je určen pro předávajícího, jeden pro přejímajícího, jeden pro zřizovatele přejímajícího a jeden pro příslušný katastrální úřad.</w:t>
      </w:r>
    </w:p>
    <w:p w:rsidR="00EA69E9" w:rsidRDefault="00EA69E9" w:rsidP="00EA69E9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B32AFE" w:rsidRDefault="00B32AFE" w:rsidP="00EA69E9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B32AFE" w:rsidRDefault="00B32AFE" w:rsidP="00EA69E9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B32AFE" w:rsidRPr="00B32AFE" w:rsidRDefault="00B32AFE" w:rsidP="00EA69E9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A69E9" w:rsidRPr="00B32AFE" w:rsidRDefault="00EA69E9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lastRenderedPageBreak/>
        <w:t xml:space="preserve">3) Tato smlouva je uzavřena okamžikem podpisu poslední smluvní stranou a nabývá platnosti a účinnosti dnem udělení schvalovací doložky zřizovatelem přejímajícího podle zákona č. 219/2000 Sb. pouze za předpokladu, že smlouva byla uveřejněna v registru smluv v souladu se zákonem č. 340/2015 Sb., o zvláštních podmínkách účinnosti některých smluv, uveřejňování těchto smluv a o registru smluv. </w:t>
      </w:r>
    </w:p>
    <w:p w:rsidR="00EA69E9" w:rsidRPr="00B32AFE" w:rsidRDefault="00EA69E9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Přejímající zašle tuto smlouvu správci registru smluv k uveřejnění bez zbytečného odkladu. Přejímající předá předávajícímu doklad o uveřejnění smlouvy v registru smluv podle § 5 odst. 4 zákona o registru smluv, jako potvrzení skutečnosti, že smlouva byla zveřejněna.</w:t>
      </w:r>
    </w:p>
    <w:p w:rsidR="00EA69E9" w:rsidRPr="00B32AFE" w:rsidRDefault="00EA69E9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/>
          <w:lang w:eastAsia="ar-SA"/>
        </w:rPr>
        <w:t>IX.</w:t>
      </w:r>
    </w:p>
    <w:p w:rsidR="00EA69E9" w:rsidRPr="00B32AFE" w:rsidRDefault="00EA69E9" w:rsidP="00B32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</w:pPr>
      <w:r w:rsidRPr="00B32AF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EA69E9" w:rsidRPr="00B32AFE" w:rsidRDefault="00EA69E9" w:rsidP="00EA6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bdr w:val="none" w:sz="0" w:space="0" w:color="auto"/>
          <w:lang w:eastAsia="ar-SA"/>
        </w:rPr>
      </w:pPr>
    </w:p>
    <w:tbl>
      <w:tblPr>
        <w:tblpPr w:leftFromText="141" w:rightFromText="141" w:vertAnchor="text" w:horzAnchor="margin" w:tblpXSpec="center" w:tblpY="2173"/>
        <w:tblW w:w="10633" w:type="dxa"/>
        <w:tblLook w:val="04A0" w:firstRow="1" w:lastRow="0" w:firstColumn="1" w:lastColumn="0" w:noHBand="0" w:noVBand="1"/>
      </w:tblPr>
      <w:tblGrid>
        <w:gridCol w:w="6238"/>
        <w:gridCol w:w="4395"/>
      </w:tblGrid>
      <w:tr w:rsidR="00B32AFE" w:rsidRPr="00B32AFE" w:rsidTr="00B32AFE">
        <w:trPr>
          <w:trHeight w:val="1230"/>
        </w:trPr>
        <w:tc>
          <w:tcPr>
            <w:tcW w:w="6238" w:type="dxa"/>
          </w:tcPr>
          <w:p w:rsidR="00C25939" w:rsidRPr="00B32AFE" w:rsidRDefault="00C25939" w:rsidP="00B32AFE">
            <w:pPr>
              <w:pStyle w:val="adres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….…………............................................</w:t>
            </w:r>
          </w:p>
          <w:p w:rsidR="00C25939" w:rsidRPr="00B32AFE" w:rsidRDefault="00C25939" w:rsidP="00B32AFE">
            <w:pPr>
              <w:pStyle w:val="adres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Státní pozemkový úřad</w:t>
            </w:r>
          </w:p>
          <w:p w:rsidR="00C25939" w:rsidRPr="00B32AFE" w:rsidRDefault="00C25939" w:rsidP="00B32AFE">
            <w:pPr>
              <w:pStyle w:val="adresa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ředitel Krajského pozemkového úřadu </w:t>
            </w: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pro Jihomoravský kraj</w:t>
            </w:r>
          </w:p>
          <w:p w:rsidR="00C25939" w:rsidRPr="00B32AFE" w:rsidRDefault="00C25939" w:rsidP="00B32AFE">
            <w:pPr>
              <w:pStyle w:val="adres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Ing. Jan Ševčík</w:t>
            </w:r>
          </w:p>
        </w:tc>
        <w:tc>
          <w:tcPr>
            <w:tcW w:w="4395" w:type="dxa"/>
          </w:tcPr>
          <w:p w:rsidR="00C25939" w:rsidRPr="00B32AFE" w:rsidRDefault="00C25939" w:rsidP="00B32AFE">
            <w:pPr>
              <w:pStyle w:val="adres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….…………............................................</w:t>
            </w:r>
          </w:p>
          <w:p w:rsidR="00C25939" w:rsidRPr="00B32AFE" w:rsidRDefault="00C25939" w:rsidP="00B32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Ředitelství silnic a dálnic ČR                            </w:t>
            </w: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ředitel ŘSD ČR, Správa Zlín</w:t>
            </w:r>
          </w:p>
          <w:p w:rsidR="00C25939" w:rsidRPr="00B32AFE" w:rsidRDefault="00C25939" w:rsidP="00B32AF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2AFE">
              <w:rPr>
                <w:rFonts w:ascii="Arial" w:hAnsi="Arial" w:cs="Arial"/>
                <w:color w:val="000000" w:themeColor="text1"/>
                <w:sz w:val="20"/>
                <w:szCs w:val="20"/>
              </w:rPr>
              <w:t>Ing. Karel Chudárek</w:t>
            </w:r>
          </w:p>
        </w:tc>
      </w:tr>
    </w:tbl>
    <w:p w:rsidR="00C25939" w:rsidRPr="00B32AFE" w:rsidRDefault="00C25939" w:rsidP="00C25939">
      <w:pPr>
        <w:pStyle w:val="adresa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 xml:space="preserve">V Brně dne ……………. </w:t>
      </w:r>
      <w:r w:rsidRPr="00B32AFE">
        <w:rPr>
          <w:rFonts w:ascii="Arial" w:hAnsi="Arial" w:cs="Arial"/>
          <w:color w:val="000000" w:themeColor="text1"/>
          <w:sz w:val="20"/>
          <w:szCs w:val="20"/>
        </w:rPr>
        <w:tab/>
      </w:r>
      <w:r w:rsidRPr="00B32AFE">
        <w:rPr>
          <w:rFonts w:ascii="Arial" w:hAnsi="Arial" w:cs="Arial"/>
          <w:color w:val="000000" w:themeColor="text1"/>
          <w:sz w:val="20"/>
          <w:szCs w:val="20"/>
        </w:rPr>
        <w:tab/>
      </w:r>
      <w:r w:rsidRPr="00B32AFE">
        <w:rPr>
          <w:rFonts w:ascii="Arial" w:hAnsi="Arial" w:cs="Arial"/>
          <w:color w:val="000000" w:themeColor="text1"/>
          <w:sz w:val="20"/>
          <w:szCs w:val="20"/>
        </w:rPr>
        <w:tab/>
      </w:r>
      <w:r w:rsidRPr="00B32AFE">
        <w:rPr>
          <w:rFonts w:ascii="Arial" w:hAnsi="Arial" w:cs="Arial"/>
          <w:color w:val="000000" w:themeColor="text1"/>
          <w:sz w:val="20"/>
          <w:szCs w:val="20"/>
        </w:rPr>
        <w:tab/>
        <w:t xml:space="preserve">………………………. </w:t>
      </w:r>
    </w:p>
    <w:p w:rsidR="00C25939" w:rsidRDefault="00C25939" w:rsidP="00C25939">
      <w:pPr>
        <w:tabs>
          <w:tab w:val="center" w:pos="1980"/>
          <w:tab w:val="center" w:pos="6660"/>
        </w:tabs>
        <w:jc w:val="center"/>
        <w:rPr>
          <w:rFonts w:ascii="Arial" w:hAnsi="Arial" w:cs="Arial"/>
          <w:sz w:val="20"/>
          <w:szCs w:val="20"/>
        </w:rPr>
      </w:pPr>
    </w:p>
    <w:p w:rsidR="00B32AFE" w:rsidRDefault="00B32AFE" w:rsidP="00C25939">
      <w:pPr>
        <w:tabs>
          <w:tab w:val="center" w:pos="1980"/>
          <w:tab w:val="center" w:pos="6660"/>
        </w:tabs>
        <w:jc w:val="center"/>
        <w:rPr>
          <w:rFonts w:ascii="Arial" w:hAnsi="Arial" w:cs="Arial"/>
          <w:sz w:val="20"/>
          <w:szCs w:val="20"/>
        </w:rPr>
      </w:pPr>
    </w:p>
    <w:p w:rsidR="00B32AFE" w:rsidRDefault="00B32AFE" w:rsidP="00C25939">
      <w:pPr>
        <w:tabs>
          <w:tab w:val="center" w:pos="1980"/>
          <w:tab w:val="center" w:pos="6660"/>
        </w:tabs>
        <w:jc w:val="center"/>
        <w:rPr>
          <w:rFonts w:ascii="Arial" w:hAnsi="Arial" w:cs="Arial"/>
          <w:sz w:val="20"/>
          <w:szCs w:val="20"/>
        </w:rPr>
      </w:pPr>
    </w:p>
    <w:p w:rsidR="00B32AFE" w:rsidRPr="00B32AFE" w:rsidRDefault="00B32AFE" w:rsidP="00C25939">
      <w:pPr>
        <w:tabs>
          <w:tab w:val="center" w:pos="1980"/>
          <w:tab w:val="center" w:pos="6660"/>
        </w:tabs>
        <w:jc w:val="center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tabs>
          <w:tab w:val="center" w:pos="1980"/>
          <w:tab w:val="center" w:pos="6660"/>
        </w:tabs>
        <w:jc w:val="center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tabs>
          <w:tab w:val="center" w:pos="1980"/>
          <w:tab w:val="center" w:pos="6660"/>
        </w:tabs>
        <w:jc w:val="center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 xml:space="preserve">          </w:t>
      </w: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 xml:space="preserve">                                    předávající </w:t>
      </w:r>
      <w:r w:rsidRPr="00B32AF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přejímající</w:t>
      </w: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25939" w:rsidRDefault="00C2593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32869" w:rsidRDefault="00D3286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32869" w:rsidRDefault="00D3286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32869" w:rsidRDefault="00D3286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32869" w:rsidRPr="00B32AFE" w:rsidRDefault="00D3286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 xml:space="preserve">Tato smlouva byla uveřejněna v registru smluv, vedeném dle zákona č. 340/2015 Sb., o registru smluv. </w:t>
      </w: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 xml:space="preserve">Datum registrace …………………………. </w:t>
      </w: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 xml:space="preserve">ID smlouvy ……………………………... </w:t>
      </w: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32AFE">
        <w:rPr>
          <w:rFonts w:ascii="Arial" w:hAnsi="Arial" w:cs="Arial"/>
          <w:color w:val="000000" w:themeColor="text1"/>
          <w:sz w:val="20"/>
          <w:szCs w:val="20"/>
        </w:rPr>
        <w:t>Registraci provedl:</w:t>
      </w:r>
      <w:r w:rsidR="00D32869">
        <w:rPr>
          <w:rFonts w:ascii="Arial" w:hAnsi="Arial" w:cs="Arial"/>
          <w:color w:val="000000" w:themeColor="text1"/>
          <w:sz w:val="20"/>
          <w:szCs w:val="20"/>
        </w:rPr>
        <w:t>…………………………….</w:t>
      </w:r>
    </w:p>
    <w:p w:rsidR="00EA69E9" w:rsidRDefault="00EA69E9" w:rsidP="00EA69E9">
      <w:pPr>
        <w:pStyle w:val="vnintext"/>
        <w:ind w:firstLine="0"/>
        <w:rPr>
          <w:rFonts w:ascii="Arial" w:hAnsi="Arial" w:cs="Arial"/>
          <w:i/>
          <w:color w:val="FF0000"/>
          <w:sz w:val="20"/>
        </w:rPr>
      </w:pPr>
    </w:p>
    <w:p w:rsidR="00B32AFE" w:rsidRDefault="00B32AFE" w:rsidP="00EA69E9">
      <w:pPr>
        <w:pStyle w:val="vnintext"/>
        <w:ind w:firstLine="0"/>
        <w:rPr>
          <w:rFonts w:ascii="Arial" w:hAnsi="Arial" w:cs="Arial"/>
          <w:i/>
          <w:color w:val="FF0000"/>
          <w:sz w:val="20"/>
        </w:rPr>
      </w:pPr>
    </w:p>
    <w:p w:rsidR="00B32AFE" w:rsidRPr="00B32AFE" w:rsidRDefault="00B32AFE" w:rsidP="00EA69E9">
      <w:pPr>
        <w:pStyle w:val="vnintext"/>
        <w:ind w:firstLine="0"/>
        <w:rPr>
          <w:rFonts w:ascii="Arial" w:hAnsi="Arial" w:cs="Arial"/>
          <w:i/>
          <w:color w:val="FF0000"/>
          <w:sz w:val="20"/>
        </w:rPr>
      </w:pP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B32AFE">
        <w:rPr>
          <w:rFonts w:ascii="Arial" w:hAnsi="Arial" w:cs="Arial"/>
          <w:bCs/>
          <w:iCs/>
          <w:sz w:val="20"/>
          <w:szCs w:val="20"/>
        </w:rPr>
        <w:t>za věcnou a formální správnost odpovídá vedoucí oddělení převodů a privatizace</w:t>
      </w: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B32AFE">
        <w:rPr>
          <w:rFonts w:ascii="Arial" w:hAnsi="Arial" w:cs="Arial"/>
          <w:bCs/>
          <w:iCs/>
          <w:sz w:val="20"/>
          <w:szCs w:val="20"/>
        </w:rPr>
        <w:t xml:space="preserve"> JUDr. Jarmila Báčová</w:t>
      </w:r>
    </w:p>
    <w:p w:rsidR="00B32AFE" w:rsidRDefault="00B32AFE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32AFE" w:rsidRDefault="00B32AFE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25939" w:rsidRPr="00B32AFE" w:rsidRDefault="00C25939" w:rsidP="00C2593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32AFE">
        <w:rPr>
          <w:rFonts w:ascii="Arial" w:hAnsi="Arial" w:cs="Arial"/>
          <w:sz w:val="20"/>
          <w:szCs w:val="20"/>
        </w:rPr>
        <w:t xml:space="preserve">správnost KPÚ: </w:t>
      </w:r>
      <w:r w:rsidRPr="00B32AFE">
        <w:rPr>
          <w:rFonts w:ascii="Arial" w:hAnsi="Arial" w:cs="Arial"/>
          <w:bCs/>
          <w:iCs/>
          <w:sz w:val="20"/>
          <w:szCs w:val="20"/>
        </w:rPr>
        <w:t>Ing. Dušan Račko</w:t>
      </w:r>
      <w:r w:rsidRPr="00B32AFE">
        <w:rPr>
          <w:rFonts w:ascii="Arial" w:hAnsi="Arial" w:cs="Arial"/>
          <w:sz w:val="20"/>
          <w:szCs w:val="20"/>
        </w:rPr>
        <w:t xml:space="preserve">     </w:t>
      </w:r>
    </w:p>
    <w:p w:rsidR="00167292" w:rsidRPr="00B32AFE" w:rsidRDefault="00167292">
      <w:pPr>
        <w:rPr>
          <w:color w:val="FF0000"/>
          <w:sz w:val="20"/>
          <w:szCs w:val="20"/>
        </w:rPr>
      </w:pPr>
    </w:p>
    <w:sectPr w:rsidR="00167292" w:rsidRPr="00B32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F1" w:rsidRDefault="00B462F1" w:rsidP="00B462F1">
      <w:r>
        <w:separator/>
      </w:r>
    </w:p>
  </w:endnote>
  <w:endnote w:type="continuationSeparator" w:id="0">
    <w:p w:rsidR="00B462F1" w:rsidRDefault="00B462F1" w:rsidP="00B4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1" w:rsidRDefault="00B4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1" w:rsidRDefault="00B462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1" w:rsidRDefault="00B46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F1" w:rsidRDefault="00B462F1" w:rsidP="00B462F1">
      <w:r>
        <w:separator/>
      </w:r>
    </w:p>
  </w:footnote>
  <w:footnote w:type="continuationSeparator" w:id="0">
    <w:p w:rsidR="00B462F1" w:rsidRDefault="00B462F1" w:rsidP="00B4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1" w:rsidRDefault="00B462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1" w:rsidRDefault="00B462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F1" w:rsidRDefault="00B462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E9"/>
    <w:rsid w:val="00167292"/>
    <w:rsid w:val="00252EEE"/>
    <w:rsid w:val="0039311D"/>
    <w:rsid w:val="007D38D2"/>
    <w:rsid w:val="00B32AFE"/>
    <w:rsid w:val="00B462F1"/>
    <w:rsid w:val="00C25939"/>
    <w:rsid w:val="00CE45E6"/>
    <w:rsid w:val="00D32869"/>
    <w:rsid w:val="00EA69E9"/>
    <w:rsid w:val="00E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A69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A69E9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EA69E9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9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69E9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EA69E9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EA69E9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EA69E9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EA69E9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EA69E9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A69E9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EA69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EA69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EA69E9"/>
    <w:rPr>
      <w:rFonts w:ascii="Arial" w:hAnsi="Arial" w:cs="Times New Roman"/>
      <w:sz w:val="16"/>
    </w:rPr>
  </w:style>
  <w:style w:type="character" w:customStyle="1" w:styleId="Styl11b">
    <w:name w:val="Styl 11 b."/>
    <w:rsid w:val="00EA69E9"/>
    <w:rPr>
      <w:rFonts w:ascii="Arial" w:hAnsi="Arial" w:cs="Times New Roman"/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939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cs-CZ"/>
    </w:rPr>
  </w:style>
  <w:style w:type="paragraph" w:customStyle="1" w:styleId="adresa">
    <w:name w:val="adresa"/>
    <w:basedOn w:val="Normln"/>
    <w:rsid w:val="00C25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402"/>
        <w:tab w:val="left" w:pos="6237"/>
      </w:tabs>
      <w:suppressAutoHyphens/>
      <w:jc w:val="both"/>
    </w:pPr>
    <w:rPr>
      <w:rFonts w:eastAsia="Times New Roman" w:hAnsi="Times New Roman" w:cs="Times New Roman"/>
      <w:color w:val="auto"/>
      <w:bdr w:val="none" w:sz="0" w:space="0" w:color="auto"/>
      <w:lang w:eastAsia="ar-SA"/>
    </w:rPr>
  </w:style>
  <w:style w:type="paragraph" w:styleId="Zkladntext2">
    <w:name w:val="Body Text 2"/>
    <w:basedOn w:val="Normln"/>
    <w:link w:val="Zkladntext2Char"/>
    <w:unhideWhenUsed/>
    <w:rsid w:val="00C25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480" w:lineRule="auto"/>
    </w:pPr>
    <w:rPr>
      <w:rFonts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Zkladntext2Char">
    <w:name w:val="Základní text 2 Char"/>
    <w:basedOn w:val="Standardnpsmoodstavce"/>
    <w:link w:val="Zkladntext2"/>
    <w:rsid w:val="00C259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A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E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6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6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2019-02-28T08:54:00Z</dcterms:created>
  <dcterms:modified xsi:type="dcterms:W3CDTF">2019-02-28T08:54:00Z</dcterms:modified>
</cp:coreProperties>
</file>