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6CD" w:rsidRDefault="008269C4">
      <w:pPr>
        <w:pStyle w:val="Nadpis10"/>
        <w:keepNext/>
        <w:keepLines/>
        <w:shd w:val="clear" w:color="auto" w:fill="auto"/>
        <w:spacing w:after="0" w:line="800" w:lineRule="exact"/>
        <w:ind w:left="380"/>
      </w:pPr>
      <w:bookmarkStart w:id="0" w:name="bookmark0"/>
      <w:r>
        <w:rPr>
          <w:rStyle w:val="Nadpis11"/>
          <w:b/>
          <w:bCs/>
        </w:rPr>
        <w:t>ha-vel</w:t>
      </w:r>
      <w:bookmarkEnd w:id="0"/>
    </w:p>
    <w:p w:rsidR="001A06CD" w:rsidRDefault="008269C4">
      <w:pPr>
        <w:pStyle w:val="Zkladntext30"/>
        <w:shd w:val="clear" w:color="auto" w:fill="auto"/>
        <w:spacing w:before="0" w:after="210" w:line="200" w:lineRule="exact"/>
        <w:ind w:left="4380"/>
      </w:pPr>
      <w:r>
        <w:rPr>
          <w:rStyle w:val="Zkladntext31"/>
          <w:b/>
          <w:bCs/>
        </w:rPr>
        <w:t xml:space="preserve">f a m </w:t>
      </w:r>
      <w:r>
        <w:rPr>
          <w:rStyle w:val="Zkladntext310ptNetun"/>
        </w:rPr>
        <w:t xml:space="preserve">i </w:t>
      </w:r>
      <w:proofErr w:type="spellStart"/>
      <w:r>
        <w:rPr>
          <w:rStyle w:val="Zkladntext31"/>
          <w:b/>
          <w:bCs/>
        </w:rPr>
        <w:t>I</w:t>
      </w:r>
      <w:proofErr w:type="spellEnd"/>
      <w:r>
        <w:rPr>
          <w:rStyle w:val="Zkladntext31"/>
          <w:b/>
          <w:bCs/>
        </w:rPr>
        <w:t xml:space="preserve"> y</w:t>
      </w:r>
    </w:p>
    <w:p w:rsidR="001A06CD" w:rsidRDefault="008269C4">
      <w:pPr>
        <w:pStyle w:val="Nadpis20"/>
        <w:keepNext/>
        <w:keepLines/>
        <w:shd w:val="clear" w:color="auto" w:fill="auto"/>
        <w:spacing w:before="0" w:after="168" w:line="240" w:lineRule="exact"/>
        <w:ind w:left="600"/>
      </w:pPr>
      <w:bookmarkStart w:id="1" w:name="bookmark1"/>
      <w:r>
        <w:t xml:space="preserve">Příloha </w:t>
      </w:r>
      <w:r>
        <w:rPr>
          <w:rStyle w:val="Nadpis210ptNetun"/>
        </w:rPr>
        <w:t xml:space="preserve">č. </w:t>
      </w:r>
      <w:r>
        <w:t>1: Obchodní podmínky</w:t>
      </w:r>
      <w:bookmarkEnd w:id="1"/>
    </w:p>
    <w:p w:rsidR="001A06CD" w:rsidRDefault="008269C4">
      <w:pPr>
        <w:pStyle w:val="Zkladntext20"/>
        <w:numPr>
          <w:ilvl w:val="0"/>
          <w:numId w:val="1"/>
        </w:numPr>
        <w:shd w:val="clear" w:color="auto" w:fill="auto"/>
        <w:tabs>
          <w:tab w:val="left" w:pos="571"/>
        </w:tabs>
        <w:spacing w:before="0"/>
        <w:ind w:left="600" w:right="400"/>
      </w:pPr>
      <w:r>
        <w:t xml:space="preserve">Smlouva se řídí zákonem č. 89/2012 Sb., občanský zákoník. Práva a povinnosti smluvních stran ze smlouvy se dále řídí podmínkami uvedenými v zadávací dokumentaci k zakázce s názvem „Outsourcing ICT </w:t>
      </w:r>
      <w:r>
        <w:t>Technických služeb Moravská Ostrava a Přívoz 2014" a jejich přílohách, jakož i nabídkou dodavatele podanou ve výběrovém řízení objednatele na zakázku s názvem „Outsourcing ICT Technických služeb Moravská Ostrava a Přívoz 2014".</w:t>
      </w:r>
    </w:p>
    <w:p w:rsidR="001A06CD" w:rsidRDefault="008269C4">
      <w:pPr>
        <w:pStyle w:val="Zkladntext20"/>
        <w:numPr>
          <w:ilvl w:val="0"/>
          <w:numId w:val="1"/>
        </w:numPr>
        <w:shd w:val="clear" w:color="auto" w:fill="auto"/>
        <w:tabs>
          <w:tab w:val="left" w:pos="571"/>
        </w:tabs>
        <w:spacing w:before="0"/>
        <w:ind w:left="600"/>
      </w:pPr>
      <w:r>
        <w:t>Dodavatel poskytuje služby d</w:t>
      </w:r>
      <w:r>
        <w:t>le smlouvy zejména v následující podobě:</w:t>
      </w:r>
    </w:p>
    <w:p w:rsidR="001A06CD" w:rsidRDefault="008269C4">
      <w:pPr>
        <w:pStyle w:val="Zkladntext20"/>
        <w:numPr>
          <w:ilvl w:val="0"/>
          <w:numId w:val="2"/>
        </w:numPr>
        <w:shd w:val="clear" w:color="auto" w:fill="auto"/>
        <w:tabs>
          <w:tab w:val="left" w:pos="1174"/>
        </w:tabs>
        <w:spacing w:before="0"/>
        <w:ind w:left="600" w:firstLine="0"/>
      </w:pPr>
      <w:r>
        <w:t>pravidelná týdenní profylaxe vždy v pracovních dnech v rozsahu dle potřeby objednatele</w:t>
      </w:r>
    </w:p>
    <w:p w:rsidR="001A06CD" w:rsidRDefault="008269C4">
      <w:pPr>
        <w:pStyle w:val="Zkladntext20"/>
        <w:numPr>
          <w:ilvl w:val="0"/>
          <w:numId w:val="2"/>
        </w:numPr>
        <w:shd w:val="clear" w:color="auto" w:fill="auto"/>
        <w:tabs>
          <w:tab w:val="left" w:pos="1174"/>
        </w:tabs>
        <w:spacing w:before="0"/>
        <w:ind w:left="600" w:firstLine="0"/>
      </w:pPr>
      <w:r>
        <w:t>Hotline ve formě telefonické nebo e-mailové konzultace (HelpDesk)</w:t>
      </w:r>
    </w:p>
    <w:p w:rsidR="001A06CD" w:rsidRDefault="008269C4">
      <w:pPr>
        <w:pStyle w:val="Zkladntext20"/>
        <w:numPr>
          <w:ilvl w:val="0"/>
          <w:numId w:val="2"/>
        </w:numPr>
        <w:shd w:val="clear" w:color="auto" w:fill="auto"/>
        <w:tabs>
          <w:tab w:val="left" w:pos="1174"/>
        </w:tabs>
        <w:spacing w:before="0"/>
        <w:ind w:left="600" w:firstLine="0"/>
      </w:pPr>
      <w:r>
        <w:t>dálková správa serveru, počítačové sítě a stanic</w:t>
      </w:r>
    </w:p>
    <w:p w:rsidR="001A06CD" w:rsidRDefault="008269C4">
      <w:pPr>
        <w:pStyle w:val="Zkladntext20"/>
        <w:numPr>
          <w:ilvl w:val="0"/>
          <w:numId w:val="2"/>
        </w:numPr>
        <w:shd w:val="clear" w:color="auto" w:fill="auto"/>
        <w:tabs>
          <w:tab w:val="left" w:pos="1174"/>
        </w:tabs>
        <w:spacing w:before="0"/>
        <w:ind w:left="600" w:firstLine="0"/>
      </w:pPr>
      <w:r>
        <w:t>vedení projek</w:t>
      </w:r>
      <w:r>
        <w:t xml:space="preserve">tů IS a </w:t>
      </w:r>
      <w:proofErr w:type="spellStart"/>
      <w:r>
        <w:t>profýlaxe</w:t>
      </w:r>
      <w:proofErr w:type="spellEnd"/>
      <w:r>
        <w:t xml:space="preserve"> IS (Informační systémy objednatele)</w:t>
      </w:r>
    </w:p>
    <w:p w:rsidR="001A06CD" w:rsidRDefault="008269C4">
      <w:pPr>
        <w:pStyle w:val="Zkladntext20"/>
        <w:numPr>
          <w:ilvl w:val="0"/>
          <w:numId w:val="2"/>
        </w:numPr>
        <w:shd w:val="clear" w:color="auto" w:fill="auto"/>
        <w:tabs>
          <w:tab w:val="left" w:pos="1174"/>
        </w:tabs>
        <w:spacing w:before="0"/>
        <w:ind w:left="600" w:firstLine="0"/>
      </w:pPr>
      <w:r>
        <w:t>řešení závažnějších problémů sítě přímo na pracovišti objednatele.</w:t>
      </w:r>
    </w:p>
    <w:p w:rsidR="001A06CD" w:rsidRDefault="008269C4">
      <w:pPr>
        <w:pStyle w:val="Zkladntext20"/>
        <w:shd w:val="clear" w:color="auto" w:fill="auto"/>
        <w:spacing w:before="0"/>
        <w:ind w:left="600" w:right="400" w:firstLine="0"/>
      </w:pPr>
      <w:r>
        <w:t xml:space="preserve">V případě, že součástí plnění dodavatele dle smlouvy bude nákup HW nebo SW, musí být takové dodávky předem písemně </w:t>
      </w:r>
      <w:r>
        <w:t>odsouhlaseny objednatelem včetně jejich ceny, jinak nemá dodavatel vůči objednateli nárok na jejich úhradu.</w:t>
      </w:r>
    </w:p>
    <w:p w:rsidR="001A06CD" w:rsidRDefault="008269C4">
      <w:pPr>
        <w:pStyle w:val="Zkladntext20"/>
        <w:numPr>
          <w:ilvl w:val="0"/>
          <w:numId w:val="1"/>
        </w:numPr>
        <w:shd w:val="clear" w:color="auto" w:fill="auto"/>
        <w:tabs>
          <w:tab w:val="left" w:pos="571"/>
        </w:tabs>
        <w:spacing w:before="0"/>
        <w:ind w:left="600" w:right="400"/>
      </w:pPr>
      <w:r>
        <w:t>Plnění v rámci paušální měsíční platby zahrnuje pravidelnou prohlídku prováděnou dodavatelem nejméně jednou týdně v pracovních dnech, a to v rozsahu</w:t>
      </w:r>
      <w:r>
        <w:t xml:space="preserve"> dle potřeb objednatele.</w:t>
      </w:r>
    </w:p>
    <w:p w:rsidR="001A06CD" w:rsidRDefault="008269C4">
      <w:pPr>
        <w:pStyle w:val="Zkladntext20"/>
        <w:numPr>
          <w:ilvl w:val="0"/>
          <w:numId w:val="1"/>
        </w:numPr>
        <w:shd w:val="clear" w:color="auto" w:fill="auto"/>
        <w:tabs>
          <w:tab w:val="left" w:pos="571"/>
        </w:tabs>
        <w:spacing w:before="0"/>
        <w:ind w:left="600" w:right="400"/>
      </w:pPr>
      <w:r>
        <w:t>V případě úkonů dodavatele účtovaných hodinovou sazbou, které jsou specifikovány ve Smlouvě, je dodavatel povinen poskytnout službu v reakční době maximálně 12 hodin, a to jak v pracovní dny, tak v sobotu, neděli a státem uznaný sv</w:t>
      </w:r>
      <w:r>
        <w:t>átek. Cena hodinové sazby je platná bez ohledu na to, v jakou dobu byla služba dodavatelem poskytnuta. Cena hodinové sazby zahrnuje rovněž cestovné, jakož i veškeré další náklady dodavatele. V případě úkonů dodavatele účtovaných hodinovou sazbou se první h</w:t>
      </w:r>
      <w:r>
        <w:t>odina započítává vždy celá a úkony nad rámec první odpracované hodiny se počítají po půlhodinách a zaokrouhlují se na celé půlhodiny směrem nahoru.</w:t>
      </w:r>
    </w:p>
    <w:p w:rsidR="001A06CD" w:rsidRDefault="008269C4">
      <w:pPr>
        <w:pStyle w:val="Zkladntext20"/>
        <w:numPr>
          <w:ilvl w:val="0"/>
          <w:numId w:val="1"/>
        </w:numPr>
        <w:shd w:val="clear" w:color="auto" w:fill="auto"/>
        <w:tabs>
          <w:tab w:val="left" w:pos="571"/>
        </w:tabs>
        <w:spacing w:before="0"/>
        <w:ind w:left="600" w:right="400"/>
      </w:pPr>
      <w:r>
        <w:t>Paušální měsíční platba a úkony účtované hodinovou sazbou jsou splatné měsíčně zpětně, a to za služby poskyt</w:t>
      </w:r>
      <w:r>
        <w:t xml:space="preserve">nuté dodavatelem v předchozím kalendářním měsíci, to vše na základě faktury splatné do </w:t>
      </w:r>
      <w:proofErr w:type="gramStart"/>
      <w:r>
        <w:t>14-ti</w:t>
      </w:r>
      <w:proofErr w:type="gramEnd"/>
      <w:r>
        <w:t xml:space="preserve"> dnů ode dne doručení objednateli. Podkladem pro zaplacení úkonů účtovaných hodinovou sazbou je soupis úkonů písemně potvrzený objednatelem, který je dodavatel povi</w:t>
      </w:r>
      <w:r>
        <w:t>nen připojit k faktuře. Kromě náležitostí stanovených zákonem pro účetní doklad musí faktura obsahovat také:</w:t>
      </w:r>
    </w:p>
    <w:p w:rsidR="001A06CD" w:rsidRDefault="008269C4">
      <w:pPr>
        <w:pStyle w:val="Zkladntext20"/>
        <w:numPr>
          <w:ilvl w:val="0"/>
          <w:numId w:val="3"/>
        </w:numPr>
        <w:shd w:val="clear" w:color="auto" w:fill="auto"/>
        <w:tabs>
          <w:tab w:val="left" w:pos="1174"/>
        </w:tabs>
        <w:spacing w:before="0"/>
        <w:ind w:left="600" w:firstLine="0"/>
      </w:pPr>
      <w:r>
        <w:t>číslo a datum vystavení faktury</w:t>
      </w:r>
    </w:p>
    <w:p w:rsidR="001A06CD" w:rsidRDefault="008269C4">
      <w:pPr>
        <w:pStyle w:val="Zkladntext20"/>
        <w:numPr>
          <w:ilvl w:val="0"/>
          <w:numId w:val="3"/>
        </w:numPr>
        <w:shd w:val="clear" w:color="auto" w:fill="auto"/>
        <w:tabs>
          <w:tab w:val="left" w:pos="1174"/>
        </w:tabs>
        <w:spacing w:before="0"/>
        <w:ind w:left="600" w:firstLine="0"/>
      </w:pPr>
      <w:r>
        <w:t>číslo smlouvy</w:t>
      </w:r>
    </w:p>
    <w:p w:rsidR="001A06CD" w:rsidRDefault="008269C4">
      <w:pPr>
        <w:pStyle w:val="Zkladntext20"/>
        <w:numPr>
          <w:ilvl w:val="0"/>
          <w:numId w:val="3"/>
        </w:numPr>
        <w:shd w:val="clear" w:color="auto" w:fill="auto"/>
        <w:tabs>
          <w:tab w:val="left" w:pos="1174"/>
        </w:tabs>
        <w:spacing w:before="0"/>
        <w:ind w:left="1200"/>
        <w:jc w:val="left"/>
      </w:pPr>
      <w:r>
        <w:t>účel plnění a jeho přesnou specifikaci ve slovním vyjádření (nestačí pouze odkaz na číslo uzavřené sm</w:t>
      </w:r>
      <w:r>
        <w:t>louvy)</w:t>
      </w:r>
    </w:p>
    <w:p w:rsidR="001A06CD" w:rsidRDefault="008269C4">
      <w:pPr>
        <w:pStyle w:val="Zkladntext20"/>
        <w:numPr>
          <w:ilvl w:val="0"/>
          <w:numId w:val="3"/>
        </w:numPr>
        <w:shd w:val="clear" w:color="auto" w:fill="auto"/>
        <w:tabs>
          <w:tab w:val="left" w:pos="1174"/>
        </w:tabs>
        <w:spacing w:before="0"/>
        <w:ind w:left="600" w:firstLine="0"/>
      </w:pPr>
      <w:r>
        <w:t>označení banky a čísla účtu, na které musí být zaplaceno</w:t>
      </w:r>
    </w:p>
    <w:p w:rsidR="001A06CD" w:rsidRDefault="008269C4">
      <w:pPr>
        <w:pStyle w:val="Zkladntext20"/>
        <w:numPr>
          <w:ilvl w:val="0"/>
          <w:numId w:val="3"/>
        </w:numPr>
        <w:shd w:val="clear" w:color="auto" w:fill="auto"/>
        <w:tabs>
          <w:tab w:val="left" w:pos="1174"/>
        </w:tabs>
        <w:spacing w:before="0"/>
        <w:ind w:left="600" w:firstLine="0"/>
      </w:pPr>
      <w:r>
        <w:t xml:space="preserve">lhůta </w:t>
      </w:r>
      <w:proofErr w:type="spellStart"/>
      <w:r>
        <w:t>splatnostj</w:t>
      </w:r>
      <w:proofErr w:type="spellEnd"/>
      <w:r>
        <w:t xml:space="preserve"> faktury</w:t>
      </w:r>
    </w:p>
    <w:p w:rsidR="001A06CD" w:rsidRDefault="008269C4">
      <w:pPr>
        <w:pStyle w:val="Zkladntext20"/>
        <w:numPr>
          <w:ilvl w:val="0"/>
          <w:numId w:val="3"/>
        </w:numPr>
        <w:shd w:val="clear" w:color="auto" w:fill="auto"/>
        <w:tabs>
          <w:tab w:val="left" w:pos="1174"/>
        </w:tabs>
        <w:spacing w:before="0"/>
        <w:ind w:left="600" w:firstLine="0"/>
      </w:pPr>
      <w:r>
        <w:t>název, sídlo, IČ, DIČ dodavatele a objednatele</w:t>
      </w:r>
    </w:p>
    <w:p w:rsidR="001A06CD" w:rsidRDefault="008269C4">
      <w:pPr>
        <w:pStyle w:val="Zkladntext20"/>
        <w:numPr>
          <w:ilvl w:val="0"/>
          <w:numId w:val="3"/>
        </w:numPr>
        <w:shd w:val="clear" w:color="auto" w:fill="auto"/>
        <w:tabs>
          <w:tab w:val="left" w:pos="1174"/>
        </w:tabs>
        <w:spacing w:before="0"/>
        <w:ind w:left="600" w:firstLine="0"/>
      </w:pPr>
      <w:r>
        <w:t>jméno a podpis osoby, která fakturu vystavila včetně kontaktního telefonu</w:t>
      </w:r>
    </w:p>
    <w:p w:rsidR="001A06CD" w:rsidRDefault="008269C4">
      <w:pPr>
        <w:pStyle w:val="Zkladntext20"/>
        <w:shd w:val="clear" w:color="auto" w:fill="auto"/>
        <w:spacing w:before="0"/>
        <w:ind w:left="600" w:right="400" w:firstLine="0"/>
      </w:pPr>
      <w:r>
        <w:t>Nebude-li faktura, obsahovat některou povinou,</w:t>
      </w:r>
      <w:r>
        <w:t xml:space="preserve"> nebo dohodnutou náležitost, nebo bude chybně vyúčtována cena, je objednatel oprávněn fakturu před uplynutím lhůty splatnosti vrátit dodavateli k provedení opravy s vyznačením důvodu vrácení. Dodavatel provede opravu vystavením nové faktury. Lhůta splatnos</w:t>
      </w:r>
      <w:r>
        <w:t>ti běží ode dne doručení nově vyhotovené faktury.</w:t>
      </w:r>
    </w:p>
    <w:p w:rsidR="001A06CD" w:rsidRDefault="008269C4">
      <w:pPr>
        <w:pStyle w:val="Zkladntext20"/>
        <w:numPr>
          <w:ilvl w:val="0"/>
          <w:numId w:val="1"/>
        </w:numPr>
        <w:shd w:val="clear" w:color="auto" w:fill="auto"/>
        <w:tabs>
          <w:tab w:val="left" w:pos="571"/>
        </w:tabs>
        <w:spacing w:before="0"/>
        <w:ind w:left="600" w:right="400"/>
      </w:pPr>
      <w:r>
        <w:t>V případě prodlení dodavatele s poskytnutím plnění v rámci paušální platby je dodavatel povinen zaplatit objednateli smluvní pokutu ve výši 1.000,00 Kč za každý i započatý den prodlení. V případě prodlení d</w:t>
      </w:r>
      <w:r>
        <w:t xml:space="preserve">odavatele s provedením úkonu účtovaného hodinovou sazbou je dodavatel povinen zaplatit objednateli smluvní pokutu ve výši 500,00 Kč za každou i započatou hodinu prodlení. V případě prodlení dodavatele s poskytnutím plnění v rámci paušální platby </w:t>
      </w:r>
      <w:proofErr w:type="gramStart"/>
      <w:r>
        <w:t>delším</w:t>
      </w:r>
      <w:proofErr w:type="gramEnd"/>
      <w:r>
        <w:t xml:space="preserve"> než</w:t>
      </w:r>
      <w:r>
        <w:t xml:space="preserve"> jeden týden je objednatel oprávněn zajistit poskytnutí služby třetí osobou a dodavatel je povinen uhradit mu veškeré náklady s tím spojené. V případě prodlení dodavatele s provedením úkonu účtovaného hodinovou sazbou delším než 24 hodin je objednatel oprá</w:t>
      </w:r>
      <w:r>
        <w:t>vněn zajistit provedení úkonu třetí osobou a dodavatel je povinen uhradit mu veškeré náklady s tím spojené. Zaplacením smluvní pokuty není dotčen nárok objednatele na náhradu újmy převyšující smluvní pokutu.</w:t>
      </w:r>
    </w:p>
    <w:p w:rsidR="001A06CD" w:rsidRDefault="008269C4">
      <w:pPr>
        <w:pStyle w:val="Zkladntext20"/>
        <w:numPr>
          <w:ilvl w:val="0"/>
          <w:numId w:val="1"/>
        </w:numPr>
        <w:shd w:val="clear" w:color="auto" w:fill="auto"/>
        <w:tabs>
          <w:tab w:val="left" w:pos="571"/>
        </w:tabs>
        <w:spacing w:before="0"/>
        <w:ind w:left="600" w:right="400"/>
      </w:pPr>
      <w:r>
        <w:t>Dodavatel není oprávněn poskytovat služby dle sm</w:t>
      </w:r>
      <w:r>
        <w:t>louvy prostřednictvím jiných subdodavatelů než těch, kteří byli předem písemně schváleni objednatelem. V případě porušení této povinnosti je dodavatel povinen zaplatit objednateli smluvní pokutu ve výši 10.000,00 Kč za každý jednotlivý případ porušení. Zap</w:t>
      </w:r>
      <w:r>
        <w:t>lacením smluvní pokuty není dotčen nárok objednatele na náhradu újmy převyšující smluvní pokutu.</w:t>
      </w:r>
    </w:p>
    <w:p w:rsidR="001A06CD" w:rsidRDefault="008269C4">
      <w:pPr>
        <w:pStyle w:val="Zkladntext50"/>
        <w:shd w:val="clear" w:color="auto" w:fill="auto"/>
        <w:tabs>
          <w:tab w:val="left" w:pos="10346"/>
        </w:tabs>
        <w:ind w:left="2940"/>
      </w:pPr>
      <w:bookmarkStart w:id="2" w:name="_GoBack"/>
      <w:bookmarkEnd w:id="2"/>
      <w:r>
        <w:tab/>
      </w:r>
      <w:r>
        <w:rPr>
          <w:lang w:val="cs-CZ" w:eastAsia="cs-CZ" w:bidi="cs-CZ"/>
        </w:rPr>
        <w:t>5/9</w:t>
      </w:r>
    </w:p>
    <w:sectPr w:rsidR="001A06CD">
      <w:pgSz w:w="11900" w:h="16840"/>
      <w:pgMar w:top="591" w:right="485" w:bottom="447" w:left="7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C4" w:rsidRDefault="008269C4">
      <w:r>
        <w:separator/>
      </w:r>
    </w:p>
  </w:endnote>
  <w:endnote w:type="continuationSeparator" w:id="0">
    <w:p w:rsidR="008269C4" w:rsidRDefault="0082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C4" w:rsidRDefault="008269C4"/>
  </w:footnote>
  <w:footnote w:type="continuationSeparator" w:id="0">
    <w:p w:rsidR="008269C4" w:rsidRDefault="008269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964B6"/>
    <w:multiLevelType w:val="multilevel"/>
    <w:tmpl w:val="E70C50F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7C5DDA"/>
    <w:multiLevelType w:val="multilevel"/>
    <w:tmpl w:val="64F8E24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8862DC"/>
    <w:multiLevelType w:val="multilevel"/>
    <w:tmpl w:val="B5F03F8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CD"/>
    <w:rsid w:val="001A06CD"/>
    <w:rsid w:val="008269C4"/>
    <w:rsid w:val="00B9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72235-55FB-47B9-9F0F-B411788C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pacing w:val="-60"/>
      <w:sz w:val="80"/>
      <w:szCs w:val="80"/>
      <w:u w:val="none"/>
    </w:rPr>
  </w:style>
  <w:style w:type="character" w:customStyle="1" w:styleId="Nadpis11">
    <w:name w:val="Nadpis #1"/>
    <w:basedOn w:val="Nadpis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60"/>
      <w:w w:val="100"/>
      <w:position w:val="0"/>
      <w:sz w:val="80"/>
      <w:szCs w:val="8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10ptNetun">
    <w:name w:val="Základní text (3) + 10 pt;Ne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Nadpis210ptNetun">
    <w:name w:val="Nadpis #2 + 10 pt;Ne tučné"/>
    <w:basedOn w:val="Nadpis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Tun">
    <w:name w:val="Základní text (4) + Tučné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Cambria" w:eastAsia="Cambria" w:hAnsi="Cambria" w:cs="Cambria"/>
      <w:b/>
      <w:bCs/>
      <w:spacing w:val="-60"/>
      <w:sz w:val="80"/>
      <w:szCs w:val="8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0" w:lineRule="atLeast"/>
      <w:ind w:hanging="600"/>
      <w:jc w:val="both"/>
      <w:outlineLvl w:val="1"/>
    </w:pPr>
    <w:rPr>
      <w:rFonts w:ascii="Tahoma" w:eastAsia="Tahoma" w:hAnsi="Tahoma" w:cs="Tahoma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40" w:lineRule="exact"/>
      <w:ind w:hanging="60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2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2" w:lineRule="exact"/>
      <w:jc w:val="both"/>
    </w:pPr>
    <w:rPr>
      <w:rFonts w:ascii="Tahoma" w:eastAsia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MINOLTA TS-20190131094810</dc:title>
  <dc:subject/>
  <dc:creator>Hana Lichotová</dc:creator>
  <cp:keywords/>
  <cp:lastModifiedBy>Hana Lichotová</cp:lastModifiedBy>
  <cp:revision>2</cp:revision>
  <dcterms:created xsi:type="dcterms:W3CDTF">2019-02-27T12:06:00Z</dcterms:created>
  <dcterms:modified xsi:type="dcterms:W3CDTF">2019-02-27T12:07:00Z</dcterms:modified>
</cp:coreProperties>
</file>