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E7" w:rsidRDefault="00ED4DB3" w:rsidP="0031296E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0.85pt;margin-top:184.25pt;width:493.7pt;height:550.25pt;z-index:251668480;mso-width-relative:margin;mso-height-relative:margin" filled="f" stroked="f">
            <v:textbox style="mso-next-textbox:#_x0000_s1032">
              <w:txbxContent>
                <w:p w:rsidR="005D185B" w:rsidRDefault="005D185B" w:rsidP="005D185B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  <w:r w:rsidRPr="006974FE"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Z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UŠ Kutná Hora – výměna vypínačů a zásuvek - výkaz materiálu</w:t>
                  </w:r>
                </w:p>
                <w:p w:rsidR="005D185B" w:rsidRDefault="005D185B" w:rsidP="005D185B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</w:p>
                <w:tbl>
                  <w:tblPr>
                    <w:tblStyle w:val="Mkatabulky"/>
                    <w:tblW w:w="9612" w:type="dxa"/>
                    <w:tblLook w:val="04A0"/>
                  </w:tblPr>
                  <w:tblGrid>
                    <w:gridCol w:w="3219"/>
                    <w:gridCol w:w="625"/>
                    <w:gridCol w:w="1922"/>
                    <w:gridCol w:w="1923"/>
                    <w:gridCol w:w="1923"/>
                  </w:tblGrid>
                  <w:tr w:rsidR="005D185B" w:rsidTr="003E134A">
                    <w:trPr>
                      <w:trHeight w:val="764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Spínač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č.5. ABB</w:t>
                        </w:r>
                        <w:proofErr w:type="gramEnd"/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CC42E5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120,90,-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CC42E5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120,90,-</w:t>
                        </w:r>
                      </w:p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185B" w:rsidTr="003E134A">
                    <w:trPr>
                      <w:trHeight w:val="764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Spínač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č.6 ABB</w:t>
                        </w:r>
                        <w:proofErr w:type="gramEnd"/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CC42E5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83,60,-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CC42E5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418,-</w:t>
                        </w:r>
                      </w:p>
                    </w:tc>
                  </w:tr>
                  <w:tr w:rsidR="005D185B" w:rsidTr="003E134A">
                    <w:trPr>
                      <w:trHeight w:val="721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Kryt spínače dělený Tango-Bílá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42,70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42,70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</w:tr>
                  <w:tr w:rsidR="005D185B" w:rsidTr="003E134A">
                    <w:trPr>
                      <w:trHeight w:val="721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Kryt spínače jednoduchý Tango-Bílá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CC42E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34,3</w:t>
                        </w:r>
                        <w:r w:rsidR="00CC42E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34,3</w:t>
                        </w:r>
                        <w:r w:rsidR="00CC42E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185B" w:rsidTr="003E134A">
                    <w:trPr>
                      <w:trHeight w:val="721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Rámeček jednoduchý Tango-Bílá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21,60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151,2</w:t>
                        </w:r>
                        <w:r w:rsidR="00CC42E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</w:tr>
                  <w:tr w:rsidR="005D185B" w:rsidTr="003E134A">
                    <w:trPr>
                      <w:trHeight w:val="721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Přístroj spínače otočného 2250 U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CC42E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275,50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CC42E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275,50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</w:tr>
                  <w:tr w:rsidR="005D185B" w:rsidTr="003E134A">
                    <w:trPr>
                      <w:trHeight w:val="764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Kryt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stmívače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otočného 2250 U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82,60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82,60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</w:tr>
                  <w:tr w:rsidR="005D185B" w:rsidTr="003E134A">
                    <w:trPr>
                      <w:trHeight w:val="764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Dvojzásuvka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Tango-Bílá pootočená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1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161,70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323,40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</w:tr>
                  <w:tr w:rsidR="005D185B" w:rsidTr="003E134A">
                    <w:trPr>
                      <w:trHeight w:val="721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Malý pomocný materiál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7F1140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113,70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7F1140" w:rsidRDefault="009B5B9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113,70</w:t>
                        </w:r>
                        <w:r w:rsidR="005D18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,-</w:t>
                        </w:r>
                      </w:p>
                    </w:tc>
                  </w:tr>
                  <w:tr w:rsidR="005D185B" w:rsidTr="003E134A">
                    <w:trPr>
                      <w:trHeight w:val="764"/>
                    </w:trPr>
                    <w:tc>
                      <w:tcPr>
                        <w:tcW w:w="3219" w:type="dxa"/>
                        <w:vAlign w:val="center"/>
                      </w:tcPr>
                      <w:p w:rsidR="005D185B" w:rsidRPr="005D2F02" w:rsidRDefault="003E134A" w:rsidP="003E13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D2F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CELKEM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5D185B" w:rsidRPr="005D2F02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2" w:type="dxa"/>
                        <w:vAlign w:val="center"/>
                      </w:tcPr>
                      <w:p w:rsidR="005D185B" w:rsidRPr="005D2F02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5D2F02" w:rsidRDefault="005D185B" w:rsidP="003E134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5D185B" w:rsidRPr="005D2F02" w:rsidRDefault="007C2F3B" w:rsidP="00CC42E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D2F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CC42E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5D2F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56</w:t>
                        </w:r>
                        <w:r w:rsidR="00CC42E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2,30</w:t>
                        </w:r>
                      </w:p>
                    </w:tc>
                  </w:tr>
                </w:tbl>
                <w:p w:rsidR="005D185B" w:rsidRDefault="005D185B" w:rsidP="005D185B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Pr="00585165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585165" w:rsidRPr="00585165" w:rsidRDefault="00585165" w:rsidP="00585165">
                  <w:pPr>
                    <w:ind w:left="708" w:hanging="70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59.3pt;margin-top:-14.3pt;width:697.35pt;height:0;z-index:251666432" o:connectortype="straight"/>
        </w:pict>
      </w:r>
      <w:r>
        <w:rPr>
          <w:noProof/>
        </w:rPr>
        <w:pict>
          <v:shape id="_x0000_s1029" type="#_x0000_t202" style="position:absolute;left:0;text-align:left;margin-left:-46.85pt;margin-top:30.7pt;width:204.9pt;height:160.75pt;z-index:251663360;mso-height-percent:200;mso-height-percent:200;mso-width-relative:margin;mso-height-relative:margin" filled="f" stroked="f">
            <v:textbox style="mso-next-textbox:#_x0000_s1029;mso-fit-shape-to-text:t">
              <w:txbxContent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F87AAF"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  <w:t>SOVADINA  s.</w:t>
                  </w:r>
                  <w:proofErr w:type="gramEnd"/>
                  <w:r w:rsidRPr="00F87AAF"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  <w:t>r.o.</w:t>
                  </w:r>
                </w:p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Boženy Němcové 1207</w:t>
                  </w:r>
                </w:p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28601 Čáslav</w:t>
                  </w:r>
                </w:p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722712316</w:t>
                  </w:r>
                </w:p>
                <w:p w:rsidR="00F87AAF" w:rsidRPr="00F87AAF" w:rsidRDefault="00ED4DB3" w:rsidP="00F87AA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Microsoft Sans Serif" w:hAnsi="Microsoft Sans Serif" w:cs="Microsoft Sans Serif"/>
                        <w:color w:val="000000" w:themeColor="text1"/>
                        <w:sz w:val="24"/>
                        <w:szCs w:val="24"/>
                      </w:rPr>
                      <w:alias w:val="Zadejte e-mail:"/>
                      <w:tag w:val="Zadejte e-mail:"/>
                      <w:id w:val="685618154"/>
                      <w:placeholder>
                        <w:docPart w:val="1BCDF112861646E79ACDC12CFC439449"/>
                      </w:placeholder>
                      <w:temporary/>
                      <w:showingPlcHdr/>
                    </w:sdtPr>
                    <w:sdtContent>
                      <w:r w:rsidR="00F87AAF" w:rsidRPr="00F87AAF">
                        <w:rPr>
                          <w:rFonts w:ascii="Microsoft Sans Serif" w:eastAsia="Microsoft Sans Serif" w:hAnsi="Microsoft Sans Serif" w:cs="Microsoft Sans Serif"/>
                          <w:color w:val="000000" w:themeColor="text1"/>
                          <w:sz w:val="24"/>
                          <w:szCs w:val="24"/>
                          <w:lang w:bidi="cs-CZ"/>
                        </w:rPr>
                        <w:t>E-mail</w:t>
                      </w:r>
                    </w:sdtContent>
                  </w:sdt>
                  <w:r w:rsidR="00F87AAF"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: sovadinasro@gmail.com</w:t>
                  </w:r>
                </w:p>
                <w:p w:rsidR="00F87AAF" w:rsidRDefault="00F87AA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6.85pt;margin-top:-48.25pt;width:512.25pt;height:86.85pt;z-index:251661312;mso-position-horizontal-relative:margin;mso-position-vertical-relative:margin;mso-width-relative:margin;mso-height-relative:margin" filled="f" stroked="f">
            <v:textbox style="mso-next-textbox:#_x0000_s1028">
              <w:txbxContent>
                <w:p w:rsidR="00F87AAF" w:rsidRDefault="005D185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PŘÍLOHA K CENOVÉ NABÍDCE</w:t>
                  </w:r>
                </w:p>
                <w:p w:rsidR="00F87AAF" w:rsidRPr="00F87AAF" w:rsidRDefault="00F87AAF">
                  <w:pPr>
                    <w:rPr>
                      <w:rFonts w:ascii="Franklin Gothic Book" w:hAnsi="Franklin Gothic Book" w:cs="Microsoft Sans Serif"/>
                      <w:b/>
                      <w:sz w:val="28"/>
                      <w:szCs w:val="28"/>
                    </w:rPr>
                  </w:pPr>
                  <w:r w:rsidRPr="00F87AAF">
                    <w:rPr>
                      <w:rFonts w:ascii="Franklin Gothic Book" w:hAnsi="Franklin Gothic Book" w:cs="Microsoft Sans Serif"/>
                      <w:b/>
                      <w:sz w:val="28"/>
                      <w:szCs w:val="28"/>
                    </w:rPr>
                    <w:t>DATUM: 25. 2. 2019</w:t>
                  </w:r>
                </w:p>
                <w:p w:rsidR="00F87AAF" w:rsidRPr="00F87AAF" w:rsidRDefault="00F87AAF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284.5pt;margin-top:44.05pt;width:225.4pt;height:107.45pt;z-index:251665408;mso-width-relative:margin;mso-height-relative:margin" filled="f" stroked="f">
            <v:textbox style="mso-next-textbox:#_x0000_s1030">
              <w:txbxContent>
                <w:p w:rsidR="00F87AAF" w:rsidRPr="00F87AAF" w:rsidRDefault="00F87AAF" w:rsidP="00F87AAF">
                  <w:pPr>
                    <w:ind w:left="-108"/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  <w:t>ODBĚRATEL:</w:t>
                  </w: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 xml:space="preserve">  ZUŠ Kutná Hora</w:t>
                  </w:r>
                </w:p>
                <w:p w:rsidR="00F87AAF" w:rsidRPr="00F87AAF" w:rsidRDefault="00F87AAF" w:rsidP="00F87AAF">
                  <w:pPr>
                    <w:ind w:left="600" w:firstLine="816"/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Vladislavova ul.</w:t>
                  </w:r>
                </w:p>
                <w:p w:rsidR="00F87AAF" w:rsidRPr="00F87AAF" w:rsidRDefault="00F87AAF" w:rsidP="00F87AAF">
                  <w:pPr>
                    <w:ind w:left="600" w:firstLine="816"/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284 01 Kutná Hora</w:t>
                  </w:r>
                </w:p>
                <w:p w:rsidR="00F87AAF" w:rsidRDefault="00F87AAF"/>
              </w:txbxContent>
            </v:textbox>
          </v:shape>
        </w:pict>
      </w:r>
      <w:r w:rsidRPr="00ED4DB3">
        <w:rPr>
          <w:rFonts w:ascii="Franklin Gothic Book" w:hAnsi="Franklin Gothic Book"/>
          <w:noProof/>
          <w:lang w:eastAsia="cs-CZ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left:0;text-align:left;margin-left:-238.5pt;margin-top:-209.5pt;width:787.05pt;height:361pt;rotation:-439418fd;z-index:251658240" fillcolor="#92cddc [1944]" stroked="f">
            <v:fill color2="#ffc" rotate="t" angle="-45" type="gradient"/>
          </v:shape>
        </w:pict>
      </w:r>
      <w:r>
        <w:rPr>
          <w:noProof/>
          <w:lang w:eastAsia="cs-CZ"/>
        </w:rPr>
        <w:pict>
          <v:shape id="_x0000_s1027" type="#_x0000_t118" style="position:absolute;left:0;text-align:left;margin-left:-175.1pt;margin-top:644.9pt;width:787.05pt;height:361pt;z-index:251659264" fillcolor="#92cddc [1944]" stroked="f">
            <v:fill color2="#ffc" rotate="t" angle="-45" type="gradient"/>
          </v:shape>
        </w:pict>
      </w:r>
    </w:p>
    <w:sectPr w:rsidR="001B37E7" w:rsidSect="001B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hyphenationZone w:val="425"/>
  <w:characterSpacingControl w:val="doNotCompress"/>
  <w:compat/>
  <w:rsids>
    <w:rsidRoot w:val="005D185B"/>
    <w:rsid w:val="00087CAB"/>
    <w:rsid w:val="000D38B2"/>
    <w:rsid w:val="001B37E7"/>
    <w:rsid w:val="0031296E"/>
    <w:rsid w:val="003E134A"/>
    <w:rsid w:val="0041684A"/>
    <w:rsid w:val="004243E9"/>
    <w:rsid w:val="00585165"/>
    <w:rsid w:val="005D185B"/>
    <w:rsid w:val="005D2F02"/>
    <w:rsid w:val="005F24C2"/>
    <w:rsid w:val="006C74ED"/>
    <w:rsid w:val="007C2F3B"/>
    <w:rsid w:val="009B5B9B"/>
    <w:rsid w:val="00B47882"/>
    <w:rsid w:val="00CC42E5"/>
    <w:rsid w:val="00ED4DB3"/>
    <w:rsid w:val="00F70D50"/>
    <w:rsid w:val="00F8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2c3f4"/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AAF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link w:val="Znakstylu1"/>
    <w:qFormat/>
    <w:rsid w:val="005851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9BBB59" w:themeColor="accent3"/>
      <w:spacing w:val="4"/>
      <w:sz w:val="24"/>
      <w:szCs w:val="28"/>
      <w:lang w:eastAsia="ja-JP"/>
    </w:rPr>
  </w:style>
  <w:style w:type="character" w:customStyle="1" w:styleId="Znakstylu1">
    <w:name w:val="Znak stylu 1"/>
    <w:basedOn w:val="Standardnpsmoodstavce"/>
    <w:link w:val="Styl1"/>
    <w:rsid w:val="00585165"/>
    <w:rPr>
      <w:rFonts w:ascii="Franklin Gothic Demi" w:eastAsiaTheme="majorEastAsia" w:hAnsi="Franklin Gothic Demi" w:cs="Microsoft Sans Serif"/>
      <w:color w:val="9BBB59" w:themeColor="accent3"/>
      <w:spacing w:val="4"/>
      <w:sz w:val="24"/>
      <w:szCs w:val="28"/>
      <w:lang w:eastAsia="ja-JP"/>
    </w:rPr>
  </w:style>
  <w:style w:type="table" w:customStyle="1" w:styleId="Tabulkasobsahem">
    <w:name w:val="Tabulka s obsahem"/>
    <w:basedOn w:val="Normlntabulka"/>
    <w:uiPriority w:val="99"/>
    <w:rsid w:val="00585165"/>
    <w:pPr>
      <w:spacing w:before="60" w:after="20" w:line="312" w:lineRule="auto"/>
    </w:pPr>
    <w:rPr>
      <w:rFonts w:eastAsiaTheme="minorEastAsia"/>
      <w:color w:val="9BBB59" w:themeColor="accent3"/>
      <w:sz w:val="18"/>
      <w:szCs w:val="18"/>
      <w:lang w:eastAsia="ja-JP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9BBB59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lnvpravo">
    <w:name w:val="Normální vpravo"/>
    <w:basedOn w:val="Normln"/>
    <w:qFormat/>
    <w:rsid w:val="005851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styleId="Bezmezer">
    <w:name w:val="No Spacing"/>
    <w:link w:val="BezmezerChar"/>
    <w:uiPriority w:val="1"/>
    <w:qFormat/>
    <w:rsid w:val="0031296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1296E"/>
    <w:rPr>
      <w:rFonts w:eastAsiaTheme="minorEastAsia"/>
    </w:rPr>
  </w:style>
  <w:style w:type="table" w:styleId="Mkatabulky">
    <w:name w:val="Table Grid"/>
    <w:basedOn w:val="Normlntabulka"/>
    <w:uiPriority w:val="59"/>
    <w:rsid w:val="005D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&#345;ina\Desktop\L&#193;SKA%20PR&#193;CE\NAB&#205;DKY\NAB&#205;DKY%20&#352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CDF112861646E79ACDC12CFC439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0E8F0-673F-45E8-B11D-26BA08C5938C}"/>
      </w:docPartPr>
      <w:docPartBody>
        <w:p w:rsidR="005173F9" w:rsidRDefault="002D6287">
          <w:pPr>
            <w:pStyle w:val="1BCDF112861646E79ACDC12CFC439449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Cs w:val="24"/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E4C"/>
    <w:rsid w:val="002D6287"/>
    <w:rsid w:val="005173F9"/>
    <w:rsid w:val="00CF3981"/>
    <w:rsid w:val="00DB2F32"/>
    <w:rsid w:val="00F0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7CA9722D2647BF9C07B4533C96521F">
    <w:name w:val="DD7CA9722D2647BF9C07B4533C96521F"/>
    <w:rsid w:val="005173F9"/>
  </w:style>
  <w:style w:type="paragraph" w:customStyle="1" w:styleId="1BCDF112861646E79ACDC12CFC439449">
    <w:name w:val="1BCDF112861646E79ACDC12CFC439449"/>
    <w:rsid w:val="005173F9"/>
  </w:style>
  <w:style w:type="paragraph" w:customStyle="1" w:styleId="1114AD3C42D34C318088AF9870FF6F56">
    <w:name w:val="1114AD3C42D34C318088AF9870FF6F56"/>
    <w:rsid w:val="00F02E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NABÍDKY ŠABLONA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5</cp:revision>
  <dcterms:created xsi:type="dcterms:W3CDTF">2019-02-25T17:43:00Z</dcterms:created>
  <dcterms:modified xsi:type="dcterms:W3CDTF">2019-02-25T20:36:00Z</dcterms:modified>
</cp:coreProperties>
</file>