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ind w:right="0" w:hanging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b/>
          <w:sz w:val="22"/>
          <w:szCs w:val="22"/>
        </w:rPr>
        <w:t xml:space="preserve">Dodatek č. 1 </w:t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b/>
          <w:sz w:val="22"/>
          <w:szCs w:val="22"/>
        </w:rPr>
        <w:t>č.j. 1998/2016</w:t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b/>
          <w:sz w:val="22"/>
          <w:szCs w:val="22"/>
        </w:rPr>
        <w:t>k Veřejnoprávní smlouvě</w:t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b/>
          <w:sz w:val="22"/>
          <w:szCs w:val="22"/>
        </w:rPr>
        <w:t xml:space="preserve">o poskytnutí investiční dotace z rozpočtu Městské části Praha - Vinoř </w:t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>(dále jen „dodatek č. 1“)</w:t>
      </w:r>
    </w:p>
    <w:p>
      <w:pPr>
        <w:pStyle w:val="Tlotextu"/>
        <w:ind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sz w:val="22"/>
          <w:szCs w:val="22"/>
        </w:rPr>
        <w:t>mezi:</w:t>
      </w:r>
    </w:p>
    <w:p>
      <w:pPr>
        <w:pStyle w:val="Tlotextu"/>
        <w:ind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ind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Poskytovatel dotace:</w:t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ab/>
      </w:r>
    </w:p>
    <w:p>
      <w:pPr>
        <w:pStyle w:val="ListParagraph"/>
        <w:tabs>
          <w:tab w:val="left" w:pos="2016" w:leader="none"/>
        </w:tabs>
        <w:ind w:left="0" w:hanging="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Městská část Praha-Vinoř</w:t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Bohdanečská 97, 190 17, Praha 9-Vinoř</w:t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IČ 00240982</w:t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DIČ CZ00240982</w:t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zastoupená starostou Františkem Švarcem</w:t>
        <w:tab/>
        <w:tab/>
        <w:tab/>
        <w:tab/>
        <w:tab/>
        <w:tab/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bankovní spojení: ČSOB</w:t>
        <w:tab/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/>
      </w:pPr>
      <w:r>
        <w:rPr>
          <w:rFonts w:ascii="Times New Roman" w:hAnsi="Times New Roman"/>
          <w:sz w:val="22"/>
          <w:szCs w:val="22"/>
        </w:rPr>
        <w:t>číslo účtu: 274 958 902/0300</w:t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/>
      </w:pPr>
      <w:r>
        <w:rPr>
          <w:rFonts w:ascii="Times New Roman" w:hAnsi="Times New Roman"/>
          <w:sz w:val="22"/>
          <w:szCs w:val="22"/>
        </w:rPr>
        <w:t>(dále jen „</w:t>
      </w:r>
      <w:r>
        <w:rPr>
          <w:rFonts w:ascii="Times New Roman" w:hAnsi="Times New Roman"/>
          <w:b/>
          <w:sz w:val="22"/>
          <w:szCs w:val="22"/>
        </w:rPr>
        <w:t>poskytovatel“</w:t>
      </w:r>
      <w:r>
        <w:rPr>
          <w:rFonts w:ascii="Times New Roman" w:hAnsi="Times New Roman"/>
          <w:sz w:val="22"/>
          <w:szCs w:val="22"/>
        </w:rPr>
        <w:t>)</w:t>
      </w:r>
    </w:p>
    <w:p>
      <w:pPr>
        <w:pStyle w:val="Tlotextu"/>
        <w:ind w:right="0" w:hanging="0"/>
        <w:rPr>
          <w:rFonts w:ascii="Times New Roman" w:hAnsi="Times New Roman"/>
          <w:sz w:val="22"/>
          <w:szCs w:val="22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sz w:val="22"/>
          <w:szCs w:val="22"/>
        </w:rPr>
      </w:r>
    </w:p>
    <w:p>
      <w:pPr>
        <w:pStyle w:val="Tlotextu"/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</w:p>
    <w:p>
      <w:pPr>
        <w:pStyle w:val="Tlotextu"/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tabs>
          <w:tab w:val="left" w:pos="2016" w:leader="none"/>
        </w:tabs>
        <w:jc w:val="both"/>
        <w:rPr/>
      </w:pPr>
      <w:r>
        <w:rPr>
          <w:b/>
          <w:sz w:val="22"/>
          <w:szCs w:val="22"/>
        </w:rPr>
        <w:t xml:space="preserve">Příjemce dotace: </w:t>
        <w:tab/>
        <w:tab/>
        <w:tab/>
        <w:tab/>
      </w:r>
    </w:p>
    <w:p>
      <w:pPr>
        <w:pStyle w:val="Normal"/>
        <w:tabs>
          <w:tab w:val="left" w:pos="2016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Tělocvičná jednota Sokol Vinoř</w:t>
      </w:r>
    </w:p>
    <w:p>
      <w:pPr>
        <w:pStyle w:val="Normal"/>
        <w:tabs>
          <w:tab w:val="left" w:pos="2016" w:leader="none"/>
        </w:tabs>
        <w:jc w:val="both"/>
        <w:rPr/>
      </w:pPr>
      <w:r>
        <w:rPr>
          <w:b/>
          <w:sz w:val="22"/>
          <w:szCs w:val="22"/>
        </w:rPr>
        <w:t>pobočný spolek</w:t>
      </w:r>
    </w:p>
    <w:p>
      <w:pPr>
        <w:pStyle w:val="ListParagraph"/>
        <w:tabs>
          <w:tab w:val="left" w:pos="2016" w:leader="none"/>
        </w:tabs>
        <w:ind w:left="0" w:hanging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IČ 49281771</w:t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Klenovská 35, 190 17, Praha 9</w:t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zastoupená starostou Ing. Myronem Gawdunem a</w:t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jednatelem Milanem Klivickým</w:t>
        <w:tab/>
        <w:tab/>
        <w:tab/>
        <w:tab/>
        <w:tab/>
        <w:t xml:space="preserve"> </w:t>
        <w:tab/>
        <w:tab/>
        <w:tab/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bankovní spojení: Česká spořitelna</w:t>
        <w:tab/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číslo účtu: 247588379/0800</w:t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(dále jen „</w:t>
      </w:r>
      <w:r>
        <w:rPr>
          <w:b/>
          <w:sz w:val="22"/>
          <w:szCs w:val="22"/>
        </w:rPr>
        <w:t>příjemce“</w:t>
      </w:r>
      <w:r>
        <w:rPr>
          <w:sz w:val="22"/>
          <w:szCs w:val="22"/>
        </w:rPr>
        <w:t>)</w:t>
      </w:r>
    </w:p>
    <w:p>
      <w:pPr>
        <w:pStyle w:val="Normal"/>
        <w:tabs>
          <w:tab w:val="left" w:pos="2016" w:leader="none"/>
        </w:tabs>
        <w:ind w:hanging="25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2016" w:leader="none"/>
        </w:tabs>
        <w:ind w:hanging="2520"/>
        <w:jc w:val="both"/>
        <w:rPr>
          <w:rFonts w:ascii="Arial" w:hAnsi="Arial" w:cs="Arial"/>
          <w:b/>
          <w:b/>
        </w:rPr>
      </w:pPr>
      <w:r>
        <w:rPr>
          <w:sz w:val="22"/>
          <w:szCs w:val="22"/>
        </w:rPr>
        <w:tab/>
        <w:tab/>
      </w:r>
    </w:p>
    <w:p>
      <w:pPr>
        <w:pStyle w:val="Normal"/>
        <w:jc w:val="both"/>
        <w:rPr/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  <w:tab/>
        <w:t xml:space="preserve">uzavírají níže uvedeného dne, měsíce a roku dle ustanovení § 159 a násl. zákona </w:t>
        <w:br/>
        <w:t xml:space="preserve">č. 500/2004 Sb., správní řád, ve znění pozdějších předpisů a v souladu se zákonem č. 250/2000 Sb., </w:t>
        <w:br/>
        <w:t>o rozpočtových pravidlech územních rozpočtů, ve znění pozdějších předpisů a zákonem č. 131/2000 Sb., o hlavním městě Praze, ve znění pozdějších předpisů tento dodatek č. 1 k Veřejnoprávní smlouvě  o poskytnutí investiční dotace z rozpočtu Městské části Praha – Vinoř ze dne 10.1.02016.</w:t>
      </w:r>
    </w:p>
    <w:p>
      <w:pPr>
        <w:pStyle w:val="Normal"/>
        <w:jc w:val="both"/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</w:r>
    </w:p>
    <w:p>
      <w:pPr>
        <w:pStyle w:val="Normal"/>
        <w:jc w:val="both"/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</w:r>
    </w:p>
    <w:p>
      <w:pPr>
        <w:pStyle w:val="Normal"/>
        <w:widowControl/>
        <w:bidi w:val="0"/>
        <w:spacing w:lineRule="auto" w:line="240" w:before="0" w:after="0"/>
        <w:ind w:left="0" w:right="57" w:hanging="0"/>
        <w:jc w:val="center"/>
        <w:rPr/>
      </w:pPr>
      <w:r>
        <w:rPr>
          <w:b/>
          <w:sz w:val="22"/>
          <w:szCs w:val="22"/>
        </w:rPr>
        <w:t>Preambule</w:t>
      </w:r>
    </w:p>
    <w:p>
      <w:pPr>
        <w:pStyle w:val="Normal"/>
        <w:ind w:left="0" w:right="85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  <w:t>Dne 10.10.2016 byla mezi Poskytovatelem a Příjemce uzavřena Veřejnoprávní smlouva  o poskytnutí investiční dotace z rozpočtu Městské části Praha – Vinoř   ve znění jejích pozdějších dohod a dodatků (dále též „Smlouva“)  na úhradu nákladů spojených s výstavbou fotbalového hřiště s umělou trávou (dále jen „hřiště“) v Městské části Praha – Vinoř. Zastupitelstvo Městské části Prahy-Vinoř na svém. 14. zasedání zastupitelstva Městské části Prahy-Vinoř konaném dne 6.9.2016 v usnesení č. Z259/9/16 schválilo poskytnutí investiční dotace ve výši 2.000.000,- Kč na úhradu nákladů  spojených s výstavbou fotbalového hřiště s umělou trávou v Městské části Praha – Vinoř.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</w:r>
    </w:p>
    <w:p>
      <w:pPr>
        <w:pStyle w:val="Normal"/>
        <w:widowControl/>
        <w:tabs>
          <w:tab w:val="left" w:pos="2016" w:leader="none"/>
        </w:tabs>
        <w:bidi w:val="0"/>
        <w:spacing w:lineRule="auto" w:line="240" w:before="0" w:after="0"/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Calibri" w:cs="Times New Roman" w:eastAsiaTheme="minorHAnsi"/>
          <w:b/>
          <w:b/>
          <w:bCs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b/>
          <w:bCs/>
          <w:color w:val="00000A"/>
          <w:sz w:val="22"/>
          <w:szCs w:val="22"/>
          <w:lang w:val="cs-CZ" w:eastAsia="en-US" w:bidi="ar-SA"/>
        </w:rPr>
        <w:t>I.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  <w:t>Výše uvedené smluvní strany tímto po vzájemném konsensu sjednávají, že  čl. 1. Odst. 1.  Smlouvy  ze dne 10.1.02016 ve znění jejich pozdějších dohod a   dodatků se mění a zní:</w:t>
      </w:r>
    </w:p>
    <w:p>
      <w:pPr>
        <w:pStyle w:val="Normal"/>
        <w:tabs>
          <w:tab w:val="left" w:pos="2016" w:leader="none"/>
        </w:tabs>
        <w:ind w:left="0" w:hanging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</w:r>
    </w:p>
    <w:p>
      <w:pPr>
        <w:pStyle w:val="Normal"/>
        <w:tabs>
          <w:tab w:val="left" w:pos="2016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1"/>
          <w:numId w:val="1"/>
        </w:numPr>
        <w:tabs>
          <w:tab w:val="left" w:pos="2016" w:leader="none"/>
        </w:tabs>
        <w:ind w:left="0" w:hanging="42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Usnesením Zastupitelstva městské části Praha – Vinoř č. Z259/9/16b ze dne 6.9.2016 bylo schváleno poskytnou účelovou  investiční dotaci (dále jen „dotace“) z rozpočtu Městské části Praha – Vinoř ve výši 2.000.000 Kč (slovy: dvamiliony korun českých)  na úhradu nákladů spojených s výstavbou fotbalového hřiště s umělou trávou (dále jen „hřiště“) v Městské části Praha 9-Vinoř v roce 2016.</w:t>
      </w:r>
    </w:p>
    <w:p>
      <w:pPr>
        <w:pStyle w:val="ListParagraph"/>
        <w:numPr>
          <w:ilvl w:val="0"/>
          <w:numId w:val="0"/>
        </w:numPr>
        <w:tabs>
          <w:tab w:val="left" w:pos="2016" w:leader="none"/>
        </w:tabs>
        <w:ind w:left="0" w:hanging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left" w:pos="2016" w:leader="none"/>
        </w:tabs>
        <w:ind w:left="0" w:hanging="42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 xml:space="preserve">Poskytovatel poskytne příjemci dotaci za podmínek uvedených v Článcích II. až III. této smlouvy. </w:t>
      </w:r>
    </w:p>
    <w:p>
      <w:pPr>
        <w:pStyle w:val="ListParagraph"/>
        <w:numPr>
          <w:ilvl w:val="0"/>
          <w:numId w:val="0"/>
        </w:numPr>
        <w:tabs>
          <w:tab w:val="left" w:pos="2016" w:leader="none"/>
        </w:tabs>
        <w:ind w:left="0" w:hanging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left" w:pos="2016" w:leader="none"/>
        </w:tabs>
        <w:ind w:left="0" w:hanging="42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II.</w:t>
      </w:r>
    </w:p>
    <w:p>
      <w:pPr>
        <w:pStyle w:val="Normal"/>
        <w:numPr>
          <w:ilvl w:val="0"/>
          <w:numId w:val="0"/>
        </w:numPr>
        <w:tabs>
          <w:tab w:val="left" w:pos="2016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widowControl/>
        <w:numPr>
          <w:ilvl w:val="1"/>
          <w:numId w:val="1"/>
        </w:numPr>
        <w:tabs>
          <w:tab w:val="left" w:pos="2016" w:leader="none"/>
        </w:tabs>
        <w:bidi w:val="0"/>
        <w:spacing w:lineRule="auto" w:line="240" w:before="0" w:after="0"/>
        <w:ind w:left="780" w:right="0" w:hanging="397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>Tento  Dodatek č. 1</w:t>
      </w:r>
      <w:r>
        <w:rPr>
          <w:rFonts w:cs="Times New Roman" w:ascii="Times New Roman" w:hAnsi="Times New Roman"/>
          <w:color w:val="00000A"/>
          <w:sz w:val="22"/>
          <w:szCs w:val="22"/>
          <w:lang w:val="cs-CZ" w:bidi="ar-SA"/>
        </w:rPr>
        <w:t xml:space="preserve"> ke Smlouvě nabývá účinnosti a platnosti dnem jeho uzavření.</w:t>
      </w:r>
    </w:p>
    <w:p>
      <w:pPr>
        <w:pStyle w:val="ListParagraph"/>
        <w:widowControl/>
        <w:numPr>
          <w:ilvl w:val="1"/>
          <w:numId w:val="1"/>
        </w:numPr>
        <w:tabs>
          <w:tab w:val="left" w:pos="2016" w:leader="none"/>
        </w:tabs>
        <w:bidi w:val="0"/>
        <w:spacing w:lineRule="auto" w:line="240" w:before="0" w:after="0"/>
        <w:ind w:left="780" w:right="0" w:hanging="397"/>
        <w:contextualSpacing/>
        <w:jc w:val="both"/>
        <w:rPr/>
      </w:pPr>
      <w:r>
        <w:rPr>
          <w:rFonts w:cs="Times New Roman" w:ascii="Times New Roman" w:hAnsi="Times New Roman"/>
          <w:color w:val="00000A"/>
          <w:sz w:val="22"/>
          <w:szCs w:val="22"/>
          <w:lang w:val="cs-CZ" w:bidi="ar-SA"/>
        </w:rPr>
        <w:t>Dodatek č. 1 je vyhotoven ve dvou stejnopisech, kdy každá ze smluvních stran obdrží po jednom vyhotovení.</w:t>
      </w:r>
    </w:p>
    <w:p>
      <w:pPr>
        <w:pStyle w:val="ListParagraph"/>
        <w:widowControl/>
        <w:numPr>
          <w:ilvl w:val="1"/>
          <w:numId w:val="1"/>
        </w:numPr>
        <w:tabs>
          <w:tab w:val="left" w:pos="2016" w:leader="none"/>
        </w:tabs>
        <w:bidi w:val="0"/>
        <w:spacing w:lineRule="auto" w:line="240" w:before="0" w:after="0"/>
        <w:ind w:left="780" w:right="0" w:hanging="397"/>
        <w:contextualSpacing/>
        <w:jc w:val="both"/>
        <w:rPr/>
      </w:pPr>
      <w:r>
        <w:rPr>
          <w:rFonts w:cs="Times New Roman" w:ascii="Times New Roman" w:hAnsi="Times New Roman"/>
          <w:color w:val="00000A"/>
          <w:sz w:val="22"/>
          <w:szCs w:val="22"/>
          <w:lang w:val="cs-CZ" w:bidi="ar-SA"/>
        </w:rPr>
        <w:t>Smluvní strany prohlašují, že se s Dodatek č. 1 řádně seznámily, že tento  dodatek je projevem jejich pravé, svobodné a vážné vůle, že nebyl uzavřen v tísni ani za  jinak nápadně nevýhodných podmínek, na důkaz čehož připojují své vlastnoruční podpisy.</w:t>
      </w:r>
    </w:p>
    <w:p>
      <w:pPr>
        <w:pStyle w:val="ListParagraph"/>
        <w:widowControl/>
        <w:numPr>
          <w:ilvl w:val="0"/>
          <w:numId w:val="0"/>
        </w:numPr>
        <w:tabs>
          <w:tab w:val="left" w:pos="2016" w:leader="none"/>
        </w:tabs>
        <w:bidi w:val="0"/>
        <w:spacing w:lineRule="auto" w:line="240" w:before="0" w:after="0"/>
        <w:ind w:left="0" w:right="0" w:hanging="397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color w:val="00000A"/>
          <w:lang w:val="cs-CZ" w:bidi="ar-SA"/>
        </w:rPr>
      </w:pPr>
      <w:r>
        <w:rPr>
          <w:color w:val="00000A"/>
          <w:lang w:val="cs-CZ" w:bidi="ar-SA"/>
        </w:rPr>
      </w:r>
    </w:p>
    <w:p>
      <w:pPr>
        <w:pStyle w:val="Normal"/>
        <w:tabs>
          <w:tab w:val="left" w:pos="2016" w:leader="none"/>
        </w:tabs>
        <w:ind w:left="0" w:hanging="0"/>
        <w:rPr>
          <w:rFonts w:ascii="Times New Roman" w:hAnsi="Times New Roman" w:cs="Times New Roman"/>
          <w:b/>
          <w:b/>
          <w:color w:val="00000A"/>
          <w:sz w:val="22"/>
          <w:szCs w:val="22"/>
          <w:lang w:val="cs-CZ" w:bidi="ar-SA"/>
        </w:rPr>
      </w:pPr>
      <w:r>
        <w:rPr>
          <w:rFonts w:cs="Times New Roman"/>
          <w:b/>
          <w:color w:val="00000A"/>
          <w:sz w:val="22"/>
          <w:szCs w:val="22"/>
          <w:lang w:val="cs-CZ" w:bidi="ar-SA"/>
        </w:rPr>
      </w:r>
    </w:p>
    <w:p>
      <w:pPr>
        <w:pStyle w:val="Normal"/>
        <w:tabs>
          <w:tab w:val="left" w:pos="2016" w:leader="none"/>
        </w:tabs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>V  Praze  dne 10. 11. 2016</w:t>
        <w:tab/>
        <w:tab/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/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ab/>
        <w:t xml:space="preserve">  Za poskytovatele:</w:t>
        <w:tab/>
        <w:tab/>
        <w:tab/>
        <w:tab/>
        <w:tab/>
        <w:t>Za příjemce:</w:t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/>
      </w:pPr>
      <w:r>
        <w:rPr>
          <w:rFonts w:ascii="Times New Roman" w:hAnsi="Times New Roman"/>
          <w:sz w:val="22"/>
          <w:szCs w:val="22"/>
        </w:rPr>
        <w:t xml:space="preserve">  </w:t>
      </w:r>
    </w:p>
    <w:p>
      <w:pPr>
        <w:pStyle w:val="Normal"/>
        <w:tabs>
          <w:tab w:val="left" w:pos="2016" w:leader="none"/>
          <w:tab w:val="left" w:pos="2835" w:leader="none"/>
        </w:tabs>
        <w:ind w:hanging="426"/>
        <w:jc w:val="both"/>
        <w:rPr/>
      </w:pPr>
      <w:r>
        <w:rPr>
          <w:sz w:val="22"/>
          <w:szCs w:val="22"/>
        </w:rPr>
        <w:t xml:space="preserve">          </w:t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 xml:space="preserve">  ………………………………..</w:t>
        <w:tab/>
        <w:t xml:space="preserve">                                          …………………………………..</w:t>
      </w:r>
    </w:p>
    <w:p>
      <w:pPr>
        <w:pStyle w:val="Tlotextu"/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 xml:space="preserve">         František Švarc, starosta</w:t>
        <w:tab/>
        <w:tab/>
        <w:tab/>
        <w:t xml:space="preserve">        Myron Gawdun, starosta</w:t>
      </w:r>
    </w:p>
    <w:p>
      <w:pPr>
        <w:pStyle w:val="Tlotextu"/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 xml:space="preserve">                  poskytovatel</w:t>
        <w:tab/>
        <w:tab/>
        <w:tab/>
        <w:tab/>
      </w:r>
    </w:p>
    <w:p>
      <w:pPr>
        <w:pStyle w:val="Tlotextu"/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 xml:space="preserve"> …………………………………..</w:t>
      </w:r>
    </w:p>
    <w:p>
      <w:pPr>
        <w:pStyle w:val="Tlotextu"/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 xml:space="preserve">       </w:t>
        <w:tab/>
        <w:tab/>
        <w:tab/>
        <w:tab/>
        <w:t xml:space="preserve">        Milan Klivický, jednotel</w:t>
      </w:r>
    </w:p>
    <w:p>
      <w:pPr>
        <w:pStyle w:val="Tlotextu"/>
        <w:ind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</w:r>
      <w:r>
        <w:rPr>
          <w:rFonts w:ascii="Times New Roman" w:hAnsi="Times New Roman"/>
          <w:sz w:val="22"/>
          <w:szCs w:val="22"/>
        </w:rPr>
        <w:t xml:space="preserve">                     </w:t>
      </w:r>
    </w:p>
    <w:sectPr>
      <w:footerReference w:type="default" r:id="rId2"/>
      <w:type w:val="nextPage"/>
      <w:pgSz w:w="11906" w:h="16838"/>
      <w:pgMar w:left="1418" w:right="1413" w:header="0" w:top="1418" w:footer="1418" w:bottom="197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Calibri">
    <w:altName w:val="Arial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3a6aa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semiHidden/>
    <w:unhideWhenUsed/>
    <w:rsid w:val="003a6aac"/>
    <w:rPr>
      <w:rFonts w:ascii="Arial" w:hAnsi="Arial" w:cs="Arial"/>
      <w:i w:val="false"/>
      <w:iCs w:val="false"/>
      <w:strike w:val="false"/>
      <w:dstrike w:val="false"/>
      <w:color w:val="0000FF"/>
      <w:sz w:val="14"/>
      <w:szCs w:val="14"/>
      <w:u w:val="none"/>
      <w:effect w:val="blinkBackground"/>
    </w:rPr>
  </w:style>
  <w:style w:type="character" w:styleId="TextpoznpodarouChar" w:customStyle="1">
    <w:name w:val="Text pozn. pod čarou Char"/>
    <w:basedOn w:val="DefaultParagraphFont"/>
    <w:link w:val="Textpoznpodarou"/>
    <w:semiHidden/>
    <w:qFormat/>
    <w:rsid w:val="003a6aac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kladntextChar" w:customStyle="1">
    <w:name w:val="Základní text Char"/>
    <w:basedOn w:val="DefaultParagraphFont"/>
    <w:link w:val="Zkladntext"/>
    <w:qFormat/>
    <w:rsid w:val="003a6aac"/>
    <w:rPr>
      <w:rFonts w:ascii="Courier New" w:hAnsi="Courier New" w:eastAsia="Times New Roman" w:cs="Times New Roman"/>
      <w:sz w:val="24"/>
      <w:szCs w:val="20"/>
      <w:lang w:eastAsia="cs-CZ"/>
    </w:rPr>
  </w:style>
  <w:style w:type="character" w:styleId="OdstavecseseznamemChar" w:customStyle="1">
    <w:name w:val="Odstavec se seznamem Char"/>
    <w:basedOn w:val="DefaultParagraphFont"/>
    <w:link w:val="Odstavecseseznamem"/>
    <w:uiPriority w:val="34"/>
    <w:qFormat/>
    <w:locked/>
    <w:rsid w:val="003a6aac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qFormat/>
    <w:rsid w:val="003a6aac"/>
    <w:rPr>
      <w:vertAlign w:val="superscript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763353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 w:customStyle="1">
    <w:name w:val="Zápatí Char"/>
    <w:basedOn w:val="DefaultParagraphFont"/>
    <w:link w:val="Zpat"/>
    <w:uiPriority w:val="99"/>
    <w:qFormat/>
    <w:rsid w:val="00763353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eb3aee"/>
    <w:rPr>
      <w:rFonts w:ascii="Segoe UI" w:hAnsi="Segoe UI" w:eastAsia="Times New Roman" w:cs="Segoe UI"/>
      <w:sz w:val="18"/>
      <w:szCs w:val="18"/>
      <w:lang w:eastAsia="cs-CZ"/>
    </w:rPr>
  </w:style>
  <w:style w:type="character" w:styleId="TextvysvtlivekChar" w:customStyle="1">
    <w:name w:val="Text vysvětlivek Char"/>
    <w:basedOn w:val="DefaultParagraphFont"/>
    <w:link w:val="Textvysvtlivek"/>
    <w:uiPriority w:val="99"/>
    <w:semiHidden/>
    <w:qFormat/>
    <w:rsid w:val="00f03b12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f03b12"/>
    <w:rPr>
      <w:vertAlign w:val="superscript"/>
    </w:rPr>
  </w:style>
  <w:style w:type="character" w:styleId="ListLabel1">
    <w:name w:val="ListLabel 1"/>
    <w:qFormat/>
    <w:rPr>
      <w:rFonts w:cs="Times New Roman"/>
      <w:b/>
      <w:sz w:val="22"/>
      <w:szCs w:val="22"/>
    </w:rPr>
  </w:style>
  <w:style w:type="character" w:styleId="ListLabel2">
    <w:name w:val="ListLabel 2"/>
    <w:qFormat/>
    <w:rPr>
      <w:rFonts w:eastAsia="Times New Roman" w:cs="Arial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/>
      <w:i w:val="false"/>
      <w:color w:val="00000A"/>
      <w:sz w:val="22"/>
    </w:rPr>
  </w:style>
  <w:style w:type="character" w:styleId="ListLabel5">
    <w:name w:val="ListLabel 5"/>
    <w:qFormat/>
    <w:rPr>
      <w:rFonts w:cs="Arial"/>
      <w:color w:val="00000A"/>
      <w:sz w:val="20"/>
      <w:szCs w:val="20"/>
    </w:rPr>
  </w:style>
  <w:style w:type="character" w:styleId="ListLabel6">
    <w:name w:val="ListLabel 6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7">
    <w:name w:val="ListLabel 7"/>
    <w:qFormat/>
    <w:rPr>
      <w:rFonts w:cs="Times New Roman"/>
      <w:b w:val="false"/>
      <w:bCs w:val="false"/>
      <w:sz w:val="22"/>
      <w:szCs w:val="22"/>
    </w:rPr>
  </w:style>
  <w:style w:type="character" w:styleId="ListLabel8">
    <w:name w:val="ListLabel 8"/>
    <w:qFormat/>
    <w:rPr>
      <w:rFonts w:ascii="Times New Roman" w:hAnsi="Times New Roman"/>
      <w:i w:val="false"/>
      <w:color w:val="00000A"/>
      <w:sz w:val="22"/>
    </w:rPr>
  </w:style>
  <w:style w:type="character" w:styleId="ListLabel9">
    <w:name w:val="ListLabel 9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10">
    <w:name w:val="ListLabel 10"/>
    <w:qFormat/>
    <w:rPr>
      <w:rFonts w:cs="Times New Roman"/>
      <w:b w:val="false"/>
      <w:bCs w:val="false"/>
      <w:sz w:val="22"/>
      <w:szCs w:val="22"/>
    </w:rPr>
  </w:style>
  <w:style w:type="character" w:styleId="ListLabel11">
    <w:name w:val="ListLabel 11"/>
    <w:qFormat/>
    <w:rPr>
      <w:rFonts w:ascii="Times New Roman" w:hAnsi="Times New Roman"/>
      <w:i w:val="false"/>
      <w:color w:val="00000A"/>
      <w:sz w:val="22"/>
    </w:rPr>
  </w:style>
  <w:style w:type="character" w:styleId="ListLabel12">
    <w:name w:val="ListLabel 12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13">
    <w:name w:val="ListLabel 13"/>
    <w:qFormat/>
    <w:rPr>
      <w:rFonts w:cs="Times New Roman"/>
      <w:b w:val="false"/>
      <w:bCs w:val="false"/>
      <w:sz w:val="22"/>
      <w:szCs w:val="22"/>
    </w:rPr>
  </w:style>
  <w:style w:type="character" w:styleId="ListLabel14">
    <w:name w:val="ListLabel 14"/>
    <w:qFormat/>
    <w:rPr>
      <w:rFonts w:ascii="Times New Roman" w:hAnsi="Times New Roman"/>
      <w:i w:val="false"/>
      <w:color w:val="00000A"/>
      <w:sz w:val="22"/>
    </w:rPr>
  </w:style>
  <w:style w:type="character" w:styleId="ListLabel15">
    <w:name w:val="ListLabel 15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16">
    <w:name w:val="ListLabel 16"/>
    <w:qFormat/>
    <w:rPr>
      <w:rFonts w:cs="Times New Roman"/>
      <w:b w:val="false"/>
      <w:bCs w:val="false"/>
      <w:sz w:val="22"/>
      <w:szCs w:val="22"/>
    </w:rPr>
  </w:style>
  <w:style w:type="character" w:styleId="ListLabel17">
    <w:name w:val="ListLabel 17"/>
    <w:qFormat/>
    <w:rPr>
      <w:rFonts w:ascii="Times New Roman" w:hAnsi="Times New Roman"/>
      <w:i w:val="false"/>
      <w:color w:val="00000A"/>
      <w:sz w:val="22"/>
    </w:rPr>
  </w:style>
  <w:style w:type="character" w:styleId="ListLabel18">
    <w:name w:val="ListLabel 18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19">
    <w:name w:val="ListLabel 19"/>
    <w:qFormat/>
    <w:rPr>
      <w:rFonts w:cs="Times New Roman"/>
      <w:b w:val="false"/>
      <w:bCs w:val="false"/>
      <w:sz w:val="22"/>
      <w:szCs w:val="22"/>
    </w:rPr>
  </w:style>
  <w:style w:type="character" w:styleId="ListLabel20">
    <w:name w:val="ListLabel 20"/>
    <w:qFormat/>
    <w:rPr>
      <w:rFonts w:ascii="Times New Roman" w:hAnsi="Times New Roman"/>
      <w:i w:val="false"/>
      <w:color w:val="00000A"/>
      <w:sz w:val="22"/>
    </w:rPr>
  </w:style>
  <w:style w:type="character" w:styleId="ListLabel21">
    <w:name w:val="ListLabel 21"/>
    <w:qFormat/>
    <w:rPr>
      <w:rFonts w:ascii="Times New Roman" w:hAnsi="Times New Roman" w:cs="Times New Roman"/>
      <w:color w:val="00000A"/>
      <w:sz w:val="22"/>
      <w:szCs w:val="22"/>
    </w:rPr>
  </w:style>
  <w:style w:type="character" w:styleId="WW8Num2z0">
    <w:name w:val="WW8Num2z0"/>
    <w:qFormat/>
    <w:rPr>
      <w:rFonts w:ascii="Calibri;Arial" w:hAnsi="Calibri;Arial" w:cs="Calibri;Arial"/>
      <w:b w:val="false"/>
      <w:i w:val="false"/>
      <w:sz w:val="22"/>
      <w:szCs w:val="22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link w:val="ZkladntextChar"/>
    <w:unhideWhenUsed/>
    <w:rsid w:val="003a6aac"/>
    <w:pPr>
      <w:widowControl w:val="false"/>
      <w:tabs>
        <w:tab w:val="left" w:pos="2016" w:leader="none"/>
        <w:tab w:val="left" w:pos="3168" w:leader="none"/>
        <w:tab w:val="left" w:pos="4320" w:leader="none"/>
        <w:tab w:val="left" w:pos="5472" w:leader="none"/>
        <w:tab w:val="left" w:pos="6624" w:leader="none"/>
        <w:tab w:val="left" w:pos="7776" w:leader="none"/>
        <w:tab w:val="left" w:pos="8928" w:leader="none"/>
      </w:tabs>
      <w:ind w:right="144" w:hanging="0"/>
      <w:jc w:val="both"/>
    </w:pPr>
    <w:rPr>
      <w:rFonts w:ascii="Courier New" w:hAnsi="Courier New"/>
      <w:szCs w:val="20"/>
    </w:rPr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TextpoznpodarouChar"/>
    <w:semiHidden/>
    <w:unhideWhenUsed/>
    <w:qFormat/>
    <w:rsid w:val="003a6aac"/>
    <w:pPr/>
    <w:rPr>
      <w:sz w:val="20"/>
      <w:szCs w:val="20"/>
    </w:rPr>
  </w:style>
  <w:style w:type="paragraph" w:styleId="ListParagraph">
    <w:name w:val="List Paragraph"/>
    <w:basedOn w:val="Normal"/>
    <w:link w:val="OdstavecseseznamemChar"/>
    <w:uiPriority w:val="34"/>
    <w:qFormat/>
    <w:rsid w:val="003a6aac"/>
    <w:pPr>
      <w:spacing w:before="0" w:after="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Zhlav">
    <w:name w:val="Záhlaví"/>
    <w:basedOn w:val="Normal"/>
    <w:link w:val="ZhlavChar"/>
    <w:uiPriority w:val="99"/>
    <w:unhideWhenUsed/>
    <w:rsid w:val="00763353"/>
    <w:pPr>
      <w:tabs>
        <w:tab w:val="center" w:pos="4536" w:leader="none"/>
        <w:tab w:val="right" w:pos="9072" w:leader="none"/>
      </w:tabs>
    </w:pPr>
    <w:rPr/>
  </w:style>
  <w:style w:type="paragraph" w:styleId="Zpat">
    <w:name w:val="Zápatí"/>
    <w:basedOn w:val="Normal"/>
    <w:link w:val="ZpatChar"/>
    <w:uiPriority w:val="99"/>
    <w:unhideWhenUsed/>
    <w:rsid w:val="00763353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b3aee"/>
    <w:pPr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TextvysvtlivekChar"/>
    <w:uiPriority w:val="99"/>
    <w:semiHidden/>
    <w:unhideWhenUsed/>
    <w:qFormat/>
    <w:rsid w:val="00f03b12"/>
    <w:pPr/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numbering" w:styleId="WW8Num6">
    <w:name w:val="WW8Num6"/>
  </w:style>
  <w:style w:type="numbering" w:styleId="WW8Num2">
    <w:name w:val="WW8Num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724C-CEB3-4945-997E-176CBA95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LibreOffice/5.0.3.2$Windows_x86 LibreOffice_project/e5f16313668ac592c1bfb310f4390624e3dbfb75</Application>
  <Paragraphs>50</Paragraphs>
  <Company>Krajský úřad Zlínského kraje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2016-04-29T11:11:00Z</dcterms:created>
  <dc:creator>Koláčková Lucie</dc:creator>
  <dc:language>cs-CZ</dc:language>
  <cp:lastPrinted>2016-11-05T18:36:20Z</cp:lastPrinted>
  <dcterms:modified xsi:type="dcterms:W3CDTF">2016-12-01T10:02:19Z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Zlínského kraje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