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C5" w:rsidRPr="002C02E8" w:rsidRDefault="00AC30C5">
      <w:pPr>
        <w:shd w:val="clear" w:color="auto" w:fill="FFFFFF"/>
        <w:spacing w:line="382" w:lineRule="exact"/>
        <w:ind w:right="-23"/>
        <w:jc w:val="center"/>
        <w:rPr>
          <w:color w:val="000000"/>
          <w:spacing w:val="40"/>
          <w:sz w:val="28"/>
          <w:szCs w:val="24"/>
        </w:rPr>
      </w:pPr>
      <w:bookmarkStart w:id="0" w:name="_GoBack"/>
      <w:bookmarkEnd w:id="0"/>
      <w:r w:rsidRPr="002C02E8">
        <w:rPr>
          <w:color w:val="000000"/>
          <w:spacing w:val="40"/>
          <w:sz w:val="28"/>
          <w:szCs w:val="24"/>
        </w:rPr>
        <w:t>PROVOZNÍ</w:t>
      </w:r>
      <w:r w:rsidR="00D64976" w:rsidRPr="002C02E8">
        <w:rPr>
          <w:color w:val="000000"/>
          <w:spacing w:val="40"/>
          <w:sz w:val="28"/>
          <w:szCs w:val="24"/>
        </w:rPr>
        <w:t xml:space="preserve"> </w:t>
      </w:r>
      <w:r w:rsidRPr="002C02E8">
        <w:rPr>
          <w:color w:val="000000"/>
          <w:spacing w:val="40"/>
          <w:sz w:val="28"/>
          <w:szCs w:val="24"/>
        </w:rPr>
        <w:t>ŘÁD</w:t>
      </w:r>
    </w:p>
    <w:p w:rsidR="00AC30C5" w:rsidRDefault="00AC30C5">
      <w:pPr>
        <w:shd w:val="clear" w:color="auto" w:fill="FFFFFF"/>
        <w:spacing w:line="360" w:lineRule="auto"/>
        <w:ind w:right="-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budov užívaných Úřadem průmyslového vlastnictví</w:t>
      </w:r>
    </w:p>
    <w:p w:rsidR="00AC30C5" w:rsidRDefault="00AC30C5">
      <w:pPr>
        <w:pStyle w:val="Zkladntext3"/>
      </w:pPr>
      <w:r>
        <w:t xml:space="preserve">ve znění Příkazu č. 10 ze dne 11. 5. 2006, Příkazu č. 23 ze dne 18. 12. 2007, </w:t>
      </w:r>
      <w:r>
        <w:br/>
        <w:t>Příkazu č. 14 ze dne 26. 9. 2008</w:t>
      </w:r>
      <w:r w:rsidR="002954A0">
        <w:t>,</w:t>
      </w:r>
      <w:r>
        <w:t xml:space="preserve"> Příkazu č. 11 ze dne 20. 4. 2009</w:t>
      </w:r>
      <w:r w:rsidR="004249DF">
        <w:t xml:space="preserve">, </w:t>
      </w:r>
      <w:r w:rsidR="002954A0">
        <w:t>Příkazu č. 14 ze dne 1. 6. 2009</w:t>
      </w:r>
      <w:r w:rsidR="00396B83">
        <w:t xml:space="preserve">, </w:t>
      </w:r>
      <w:r w:rsidR="004249DF">
        <w:t>Pří</w:t>
      </w:r>
      <w:r w:rsidR="003771FE">
        <w:t>kazu č. 22 ze dne 14. 10</w:t>
      </w:r>
      <w:r w:rsidR="004249DF">
        <w:t>. 2009</w:t>
      </w:r>
      <w:r w:rsidR="00D64976">
        <w:t>,</w:t>
      </w:r>
      <w:r w:rsidR="00396B83">
        <w:t xml:space="preserve"> Příkazu č. 36 ze dne 24. 9. 2010</w:t>
      </w:r>
      <w:r w:rsidR="005827F9">
        <w:t>,</w:t>
      </w:r>
      <w:r w:rsidR="00D64976">
        <w:t xml:space="preserve"> Př</w:t>
      </w:r>
      <w:r w:rsidR="005A579D">
        <w:t>íkazu č. 14 ze dne 15. 11. 2013,</w:t>
      </w:r>
      <w:r w:rsidR="005A579D">
        <w:br/>
      </w:r>
      <w:r w:rsidR="005827F9">
        <w:t xml:space="preserve"> Příkazu č. 19 ze dne 20. 6. 2014</w:t>
      </w:r>
      <w:r w:rsidR="00746861">
        <w:t xml:space="preserve">, </w:t>
      </w:r>
      <w:r w:rsidR="005A579D">
        <w:t>Příkazu č. 25 ze dne 8. 12. 2014</w:t>
      </w:r>
      <w:r w:rsidR="00746861">
        <w:t>, Příkazu č.</w:t>
      </w:r>
      <w:r w:rsidR="00742C54">
        <w:t xml:space="preserve"> </w:t>
      </w:r>
      <w:r w:rsidR="00746861">
        <w:t>5 ze dne 13.</w:t>
      </w:r>
      <w:r w:rsidR="00742C54">
        <w:t xml:space="preserve"> </w:t>
      </w:r>
      <w:r w:rsidR="00746861">
        <w:t>2.</w:t>
      </w:r>
      <w:r w:rsidR="00742C54">
        <w:t xml:space="preserve"> </w:t>
      </w:r>
      <w:r w:rsidR="00746861">
        <w:t>2015</w:t>
      </w:r>
      <w:r w:rsidR="00CB6E18">
        <w:t>,</w:t>
      </w:r>
      <w:r w:rsidR="00746861">
        <w:t xml:space="preserve"> </w:t>
      </w:r>
      <w:r w:rsidR="00742C54">
        <w:t>Služebního předpisu</w:t>
      </w:r>
      <w:r w:rsidR="00746861">
        <w:t xml:space="preserve"> č.</w:t>
      </w:r>
      <w:r w:rsidR="00742C54">
        <w:t xml:space="preserve"> 30 </w:t>
      </w:r>
      <w:r w:rsidR="00746861">
        <w:t xml:space="preserve">ze dne </w:t>
      </w:r>
      <w:r w:rsidR="00742C54">
        <w:t xml:space="preserve">11. </w:t>
      </w:r>
      <w:r w:rsidR="00746861">
        <w:t>5.</w:t>
      </w:r>
      <w:r w:rsidR="00742C54">
        <w:t xml:space="preserve"> </w:t>
      </w:r>
      <w:r w:rsidR="00746861">
        <w:t>2016</w:t>
      </w:r>
      <w:r w:rsidR="00C17796">
        <w:t>,</w:t>
      </w:r>
      <w:r w:rsidR="00CB6E18">
        <w:t xml:space="preserve"> Služebního předpis</w:t>
      </w:r>
      <w:r w:rsidR="00C17796">
        <w:t>u č. 32 ze dne 16</w:t>
      </w:r>
      <w:r w:rsidR="00CB6E18">
        <w:t>. 6. 2016</w:t>
      </w:r>
      <w:r w:rsidR="00C17796">
        <w:t xml:space="preserve"> a Služebního předpisu č. 35 ze dne 4. 7. 2016</w:t>
      </w:r>
    </w:p>
    <w:p w:rsidR="00AC30C5" w:rsidRDefault="00AC30C5">
      <w:pPr>
        <w:shd w:val="clear" w:color="auto" w:fill="FFFFFF"/>
        <w:spacing w:line="382" w:lineRule="exact"/>
        <w:ind w:right="-23"/>
        <w:jc w:val="center"/>
        <w:rPr>
          <w:sz w:val="24"/>
        </w:rPr>
      </w:pPr>
    </w:p>
    <w:p w:rsidR="00AC30C5" w:rsidRDefault="00AC30C5">
      <w:pPr>
        <w:pStyle w:val="Nadpis5"/>
        <w:spacing w:before="0"/>
        <w:ind w:left="0" w:right="-23"/>
        <w:rPr>
          <w:spacing w:val="0"/>
          <w:w w:val="100"/>
        </w:rPr>
      </w:pPr>
      <w:r>
        <w:rPr>
          <w:spacing w:val="0"/>
          <w:w w:val="100"/>
        </w:rPr>
        <w:t>Preambule</w:t>
      </w:r>
    </w:p>
    <w:p w:rsidR="00AC30C5" w:rsidRDefault="00AC30C5"/>
    <w:p w:rsidR="00AC30C5" w:rsidRDefault="00AC30C5">
      <w:pPr>
        <w:pStyle w:val="Zkladntext"/>
        <w:spacing w:before="0"/>
      </w:pPr>
      <w:r>
        <w:t>Provozní řád se vztahuje na budovy Úřadu průmyslového vlastnictví</w:t>
      </w:r>
      <w:r w:rsidR="001A790B">
        <w:t xml:space="preserve"> v ul</w:t>
      </w:r>
      <w:r w:rsidR="00A3043C">
        <w:t>ici</w:t>
      </w:r>
      <w:r>
        <w:t xml:space="preserve"> Antonína Čermáka 2a, Praha 6</w:t>
      </w:r>
      <w:r w:rsidR="00746861">
        <w:t xml:space="preserve"> a </w:t>
      </w:r>
      <w:r w:rsidR="00D23985">
        <w:t>Ujkovice 66, Dolní Bousov</w:t>
      </w:r>
      <w:r>
        <w:t>.</w:t>
      </w:r>
    </w:p>
    <w:p w:rsidR="00AC30C5" w:rsidRDefault="00AC30C5">
      <w:pPr>
        <w:pStyle w:val="Nadpis7"/>
        <w:spacing w:before="0"/>
        <w:jc w:val="center"/>
      </w:pPr>
    </w:p>
    <w:p w:rsidR="00F0520F" w:rsidRPr="00F0520F" w:rsidRDefault="00F0520F" w:rsidP="00F0520F"/>
    <w:p w:rsidR="00AC30C5" w:rsidRDefault="00AC30C5">
      <w:pPr>
        <w:pStyle w:val="Nadpis7"/>
        <w:spacing w:before="0"/>
        <w:jc w:val="center"/>
      </w:pPr>
      <w:r>
        <w:t>Čl. 1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Přístup do budov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sz w:val="24"/>
        </w:rPr>
      </w:pPr>
    </w:p>
    <w:p w:rsidR="00AC30C5" w:rsidRDefault="001A790B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Budova </w:t>
      </w:r>
      <w:r w:rsidR="00177A11">
        <w:t>skladu spisů Ujkovice 66</w:t>
      </w:r>
      <w:r w:rsidR="00E5089B">
        <w:t xml:space="preserve"> </w:t>
      </w:r>
      <w:r w:rsidR="00746861">
        <w:t>je</w:t>
      </w:r>
      <w:r w:rsidR="00E5089B">
        <w:t xml:space="preserve"> </w:t>
      </w:r>
      <w:r w:rsidR="00AC30C5">
        <w:t xml:space="preserve">trvale </w:t>
      </w:r>
      <w:r w:rsidR="00746861">
        <w:t>uzamčena</w:t>
      </w:r>
      <w:r w:rsidR="00AC30C5">
        <w:t xml:space="preserve">. Vstup do </w:t>
      </w:r>
      <w:r w:rsidR="00746861">
        <w:t xml:space="preserve">areálu a do </w:t>
      </w:r>
      <w:r w:rsidR="00AC30C5">
        <w:t>budov</w:t>
      </w:r>
      <w:r w:rsidR="00746861">
        <w:t>y</w:t>
      </w:r>
      <w:r w:rsidR="00AC30C5">
        <w:t xml:space="preserve"> je zabezpečován </w:t>
      </w:r>
      <w:r w:rsidR="00177A11">
        <w:t>správcem objektu</w:t>
      </w:r>
      <w:r w:rsidR="00AC30C5">
        <w:t>. Vstupující oprávněné osoby</w:t>
      </w:r>
      <w:r w:rsidR="00A46F1E">
        <w:t xml:space="preserve"> a </w:t>
      </w:r>
      <w:r w:rsidR="00D23985">
        <w:t>dodavatelské firmy</w:t>
      </w:r>
      <w:r w:rsidR="00AC30C5">
        <w:t xml:space="preserve"> se zapisují do knihy příchodů a odchodů </w:t>
      </w:r>
      <w:r w:rsidR="00177A11">
        <w:t>umístěn</w:t>
      </w:r>
      <w:r w:rsidR="00A46F1E">
        <w:t>é</w:t>
      </w:r>
      <w:r w:rsidR="00177A11">
        <w:t xml:space="preserve"> ve vstupní hale</w:t>
      </w:r>
      <w:r w:rsidR="00AC30C5">
        <w:t xml:space="preserve">. Vstup je možný jen v pracovních dnech od 9:00 h do </w:t>
      </w:r>
      <w:r w:rsidR="00177A11">
        <w:t>13</w:t>
      </w:r>
      <w:r w:rsidR="00AC30C5">
        <w:t>:00</w:t>
      </w:r>
      <w:r w:rsidR="00F0520F">
        <w:t xml:space="preserve"> </w:t>
      </w:r>
      <w:r w:rsidR="00AC30C5">
        <w:t>h</w:t>
      </w:r>
      <w:r w:rsidR="00A46F1E">
        <w:t>,</w:t>
      </w:r>
      <w:r w:rsidR="00177A11">
        <w:t xml:space="preserve"> případně podle potřeb provozu objektu. Budova </w:t>
      </w:r>
      <w:r w:rsidR="00C16FC7">
        <w:t>skladu spisů</w:t>
      </w:r>
      <w:r w:rsidR="00960A50">
        <w:t xml:space="preserve"> </w:t>
      </w:r>
      <w:proofErr w:type="gramStart"/>
      <w:r w:rsidR="00960A50">
        <w:t>Ujkovice</w:t>
      </w:r>
      <w:proofErr w:type="gramEnd"/>
      <w:r w:rsidR="00960A50">
        <w:t xml:space="preserve"> 66</w:t>
      </w:r>
      <w:r w:rsidR="002C02E8">
        <w:t xml:space="preserve"> </w:t>
      </w:r>
      <w:proofErr w:type="gramStart"/>
      <w:r w:rsidR="00177A11">
        <w:t>je</w:t>
      </w:r>
      <w:proofErr w:type="gramEnd"/>
      <w:r w:rsidR="00177A11">
        <w:t xml:space="preserve"> nepřetržitě monitorována</w:t>
      </w:r>
      <w:r w:rsidR="00746861">
        <w:t xml:space="preserve"> protipožárním systémem a</w:t>
      </w:r>
      <w:r w:rsidR="00177A11">
        <w:t xml:space="preserve"> </w:t>
      </w:r>
      <w:r w:rsidR="00A46F1E">
        <w:t>e</w:t>
      </w:r>
      <w:r w:rsidR="00177A11">
        <w:t>lektronickým zabezpečovacím systémem</w:t>
      </w:r>
      <w:r w:rsidR="00746861">
        <w:t xml:space="preserve"> napojeným na</w:t>
      </w:r>
      <w:r w:rsidR="00A3043C">
        <w:t xml:space="preserve"> pult centrální ochrany</w:t>
      </w:r>
      <w:r w:rsidR="00177A11">
        <w:t>.</w:t>
      </w:r>
    </w:p>
    <w:p w:rsidR="00AC30C5" w:rsidRDefault="00AC30C5">
      <w:pPr>
        <w:pStyle w:val="Zkladntext2"/>
        <w:spacing w:before="0"/>
      </w:pPr>
    </w:p>
    <w:p w:rsidR="00AC30C5" w:rsidRDefault="00AC30C5" w:rsidP="00A3043C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Vstup do budovy </w:t>
      </w:r>
      <w:r w:rsidR="001A790B">
        <w:t xml:space="preserve">v ulici </w:t>
      </w:r>
      <w:r>
        <w:t>Antonína Čermáka 2a, Praha 6 (dále jen „budova“) je zabezpečován nepřetržitou službou v recepci. Budova se otevírá v úřední dny v 6:00h a uzavírá ve 20:00</w:t>
      </w:r>
      <w:r w:rsidR="00F0520F">
        <w:t xml:space="preserve"> </w:t>
      </w:r>
      <w:r>
        <w:t xml:space="preserve">h. Ve dnech pracovního volna je budova uzavřena. Pro </w:t>
      </w:r>
      <w:r w:rsidR="00746861">
        <w:t xml:space="preserve">státní </w:t>
      </w:r>
      <w:r>
        <w:t>zaměstnance</w:t>
      </w:r>
      <w:r w:rsidR="00746861">
        <w:t xml:space="preserve"> a zaměstnance Úřadu (dále jen „zaměstnanec“) </w:t>
      </w:r>
      <w:r w:rsidR="0032283B">
        <w:t>a pracovníky cizích firem,</w:t>
      </w:r>
      <w:r w:rsidR="00A3043C">
        <w:t xml:space="preserve"> </w:t>
      </w:r>
      <w:r w:rsidR="0032283B">
        <w:t>kteří</w:t>
      </w:r>
      <w:r w:rsidR="00A3043C">
        <w:t xml:space="preserve"> </w:t>
      </w:r>
      <w:r>
        <w:t>mají pracoviště v budově, je budova přístupná v úředních dnech od 6:</w:t>
      </w:r>
      <w:r w:rsidR="00396B83">
        <w:t>0</w:t>
      </w:r>
      <w:r>
        <w:t>0</w:t>
      </w:r>
      <w:r w:rsidR="00F0520F">
        <w:t xml:space="preserve"> </w:t>
      </w:r>
      <w:r>
        <w:t xml:space="preserve">h do </w:t>
      </w:r>
      <w:r w:rsidR="00F0520F">
        <w:br/>
      </w:r>
      <w:r w:rsidR="0032283B">
        <w:t>19</w:t>
      </w:r>
      <w:r>
        <w:t>:00</w:t>
      </w:r>
      <w:r w:rsidR="00F0520F">
        <w:t xml:space="preserve"> </w:t>
      </w:r>
      <w:r>
        <w:t xml:space="preserve">h. Výjimky povoluje </w:t>
      </w:r>
      <w:r w:rsidR="004249DF">
        <w:t>ředitel ekonomického odboru</w:t>
      </w:r>
      <w:r>
        <w:t xml:space="preserve"> nebo jeho zástupce na základě písemného zdůvodnění podepsaného příslušným vedoucím.</w:t>
      </w:r>
    </w:p>
    <w:p w:rsidR="00AC30C5" w:rsidRDefault="00AC30C5">
      <w:pPr>
        <w:pStyle w:val="Zkladntext2"/>
        <w:spacing w:before="0"/>
        <w:ind w:left="426"/>
      </w:pPr>
      <w:r>
        <w:t>Zaměstnanci Úřadu se v případě úrazu v budově ihned podrobí zjištění</w:t>
      </w:r>
      <w:r w:rsidR="00D64976">
        <w:t>,</w:t>
      </w:r>
      <w:r>
        <w:t xml:space="preserve"> zda nejsou pod vlivem alkoholu. V souladu s ustanovením § 106 zákona č. 262/2006 Sb. předseda Úřadu tímto určuje následující zaměstnance k provádění takového zjišťování: </w:t>
      </w:r>
      <w:r w:rsidRPr="0070405F">
        <w:t>J. Pánek, L. Churáček</w:t>
      </w:r>
      <w:r w:rsidR="002954A0" w:rsidRPr="0070405F">
        <w:t xml:space="preserve"> a</w:t>
      </w:r>
      <w:r w:rsidRPr="0070405F">
        <w:t xml:space="preserve"> J. Dvornák</w:t>
      </w:r>
      <w:r>
        <w:t xml:space="preserve">. Služba na recepci zajistí neprodlené vyrozumění výše uvedených zaměstnanců. O provedení zjištění bude pořízen písemný záznam </w:t>
      </w:r>
      <w:r w:rsidR="005A579D">
        <w:br/>
      </w:r>
      <w:r>
        <w:t>a bezodkladně předán předsedovi Úřadu.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Zaměstnanci Úřadu</w:t>
      </w:r>
      <w:r w:rsidR="009B1A97">
        <w:t xml:space="preserve"> a pracovníci </w:t>
      </w:r>
      <w:r w:rsidR="00757F9F">
        <w:t>dodavatelů</w:t>
      </w:r>
      <w:r>
        <w:t>, kteří mají pracoviště v budově, při průchodu recepcí označují svůj příchod a odchod pomocí elektronického identifikačního zařízení.</w:t>
      </w:r>
      <w:r w:rsidR="00757F9F">
        <w:t xml:space="preserve"> Uvedená povinnost se nevztahuje na pracovníky, kteří zajišťují ostrahu budovy.</w:t>
      </w:r>
      <w:r>
        <w:t xml:space="preserve">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Pro veřejnost je budova přístupná v pondělí a ve středu </w:t>
      </w:r>
      <w:r w:rsidR="00F0520F">
        <w:t xml:space="preserve">od </w:t>
      </w:r>
      <w:r>
        <w:t xml:space="preserve">8:00 </w:t>
      </w:r>
      <w:r w:rsidR="00F0520F">
        <w:t>h do</w:t>
      </w:r>
      <w:r>
        <w:t xml:space="preserve"> 17:00</w:t>
      </w:r>
      <w:r w:rsidR="00F0520F">
        <w:t xml:space="preserve"> </w:t>
      </w:r>
      <w:r>
        <w:t xml:space="preserve">h, v úterý a ve čtvrtek </w:t>
      </w:r>
      <w:r w:rsidR="00F0520F">
        <w:t xml:space="preserve">od 8:00 h do </w:t>
      </w:r>
      <w:r>
        <w:t>16:00</w:t>
      </w:r>
      <w:r w:rsidR="00F0520F">
        <w:t xml:space="preserve"> </w:t>
      </w:r>
      <w:r>
        <w:t>h a v</w:t>
      </w:r>
      <w:r w:rsidR="00F0520F">
        <w:t> </w:t>
      </w:r>
      <w:r>
        <w:t>pátek</w:t>
      </w:r>
      <w:r w:rsidR="00F0520F">
        <w:t xml:space="preserve"> od</w:t>
      </w:r>
      <w:r>
        <w:t xml:space="preserve"> 8:00</w:t>
      </w:r>
      <w:r w:rsidR="00F0520F">
        <w:t xml:space="preserve"> h</w:t>
      </w:r>
      <w:r>
        <w:t xml:space="preserve"> </w:t>
      </w:r>
      <w:r w:rsidR="00F0520F">
        <w:t>do</w:t>
      </w:r>
      <w:r>
        <w:t xml:space="preserve"> 14:30</w:t>
      </w:r>
      <w:r w:rsidR="00F0520F">
        <w:t xml:space="preserve"> </w:t>
      </w:r>
      <w:r>
        <w:t xml:space="preserve">h. </w:t>
      </w:r>
      <w:r w:rsidR="00CC50C4">
        <w:t xml:space="preserve">Návštěvy </w:t>
      </w:r>
      <w:r>
        <w:t>se zapisují</w:t>
      </w:r>
      <w:r w:rsidR="009B1A97">
        <w:t xml:space="preserve"> na recepci</w:t>
      </w:r>
      <w:r>
        <w:t xml:space="preserve"> do knihy návštěv</w:t>
      </w:r>
      <w:r w:rsidR="00CC50C4">
        <w:t>, kde je jim vydán</w:t>
      </w:r>
      <w:r w:rsidR="00CC50C4" w:rsidRPr="00746861">
        <w:t xml:space="preserve"> </w:t>
      </w:r>
      <w:proofErr w:type="spellStart"/>
      <w:r w:rsidR="00937BC5" w:rsidRPr="00746861">
        <w:t>badge</w:t>
      </w:r>
      <w:proofErr w:type="spellEnd"/>
      <w:r w:rsidR="00CC50C4">
        <w:t xml:space="preserve"> „Návštěva“</w:t>
      </w:r>
      <w:r w:rsidR="00CC50C4" w:rsidRPr="00CC50C4">
        <w:t xml:space="preserve"> </w:t>
      </w:r>
      <w:r w:rsidR="00CC50C4">
        <w:t>po předložení platného občanského průkazu, případně cestovního pasu</w:t>
      </w:r>
      <w:r>
        <w:t>. Po budově se návštěvníci pohybují</w:t>
      </w:r>
      <w:r w:rsidR="009B1A97">
        <w:t xml:space="preserve"> výhradně</w:t>
      </w:r>
      <w:r>
        <w:t xml:space="preserve"> v doprovodu navštívené osoby nebo určeného zaměstnance.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Návštěvníci infor</w:t>
      </w:r>
      <w:r w:rsidR="007E079A">
        <w:t>mačního</w:t>
      </w:r>
      <w:r>
        <w:t xml:space="preserve"> středisk</w:t>
      </w:r>
      <w:r w:rsidR="007E079A">
        <w:t>a</w:t>
      </w:r>
      <w:r>
        <w:t xml:space="preserve">, podatelny a pokladny správních poplatků, jakož </w:t>
      </w:r>
      <w:r w:rsidR="005A579D">
        <w:br/>
      </w:r>
      <w:r>
        <w:t xml:space="preserve">i uživatelé internetového pracoviště pro veřejnost a návštěvy přijímané ve vstupní hale Úřadu, se nezapisují v recepci do knihy návštěv. Rovněž se nezapisují ti návštěvníci </w:t>
      </w:r>
      <w:r>
        <w:lastRenderedPageBreak/>
        <w:t xml:space="preserve">studovny pro veřejnost, kteří zde hodlají pouze buď pořídit kopie přinesených písemností, zakoupit odbornou literaturu, zaplatit poplatek za rešerši, nebo převzít připravenou rešerši.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Posluchači</w:t>
      </w:r>
      <w:r w:rsidR="009B1A97">
        <w:t xml:space="preserve"> a vyučující</w:t>
      </w:r>
      <w:r>
        <w:t xml:space="preserve"> Institutu průmyslově právní výchovy, lektoři jazykových kurzů pro zaměstnance Úřadu</w:t>
      </w:r>
      <w:r w:rsidR="009E7DE3">
        <w:t>,</w:t>
      </w:r>
      <w:r>
        <w:t xml:space="preserve"> posluchači</w:t>
      </w:r>
      <w:r w:rsidR="00F70F02">
        <w:t xml:space="preserve"> a vyučující</w:t>
      </w:r>
      <w:r>
        <w:t xml:space="preserve"> Metropolitní univerzity Praha, o.p.s. ve dnech výuky a zkoušek mají umožněn vstup do určených prostor Úřadu bez zápisu do knihy návštěv, a to na základě </w:t>
      </w:r>
      <w:r w:rsidR="00F70F02">
        <w:t>trvalého</w:t>
      </w:r>
      <w:r w:rsidR="00F70F02" w:rsidRPr="00746861">
        <w:t xml:space="preserve"> </w:t>
      </w:r>
      <w:proofErr w:type="spellStart"/>
      <w:r w:rsidR="00937BC5" w:rsidRPr="00746861">
        <w:t>badge</w:t>
      </w:r>
      <w:proofErr w:type="spellEnd"/>
      <w:r w:rsidR="00F70F02">
        <w:t>, který jim bude vydán na recepci Úřadu nebo Institutem průmyslov</w:t>
      </w:r>
      <w:r w:rsidR="00F85CBF">
        <w:t>ě</w:t>
      </w:r>
      <w:r w:rsidR="00F70F02">
        <w:t xml:space="preserve"> právní výchovy po předložení platného výkazu o studiu nebo občanského průkazu, případně cestovního pasu.</w:t>
      </w:r>
      <w:r>
        <w:t xml:space="preserve"> V ostatní době jsou považováni za návštěvníky Úřadu.</w:t>
      </w:r>
    </w:p>
    <w:p w:rsidR="00AC30C5" w:rsidRDefault="00AC30C5">
      <w:pPr>
        <w:pStyle w:val="Zkladntext2"/>
        <w:spacing w:before="0"/>
        <w:ind w:left="426"/>
      </w:pPr>
      <w:r>
        <w:t>Důchodci, kteří v Úřadu pracovali do odchodu do důchodu</w:t>
      </w:r>
      <w:r w:rsidR="00CB6E18">
        <w:t>,</w:t>
      </w:r>
      <w:r w:rsidR="00C626B1">
        <w:t xml:space="preserve"> </w:t>
      </w:r>
      <w:r>
        <w:t>mají umožněn přístup do jídelny Úřadu</w:t>
      </w:r>
      <w:r w:rsidR="00F85CBF">
        <w:t xml:space="preserve"> </w:t>
      </w:r>
      <w:r>
        <w:t xml:space="preserve">bez zápisu do knihy návštěv, a to na základě </w:t>
      </w:r>
      <w:r w:rsidR="00F70F02">
        <w:t xml:space="preserve">trvalého </w:t>
      </w:r>
      <w:proofErr w:type="spellStart"/>
      <w:r w:rsidR="00937BC5">
        <w:t>badge</w:t>
      </w:r>
      <w:proofErr w:type="spellEnd"/>
      <w:r w:rsidR="00F70F02">
        <w:t>, který jim bude vydán na recepci Úřadu po předložení platného občanského průkazu nebo cestovního pasu</w:t>
      </w:r>
      <w:r w:rsidR="00F85CBF">
        <w:t>.</w:t>
      </w:r>
      <w:r>
        <w:t xml:space="preserve"> </w:t>
      </w:r>
    </w:p>
    <w:p w:rsidR="00F70F02" w:rsidRDefault="00F70F02">
      <w:pPr>
        <w:pStyle w:val="Zkladntext2"/>
        <w:spacing w:before="0"/>
        <w:ind w:left="426"/>
      </w:pPr>
      <w:r>
        <w:t xml:space="preserve">Osoby, kterým byl vydán trvalý </w:t>
      </w:r>
      <w:proofErr w:type="spellStart"/>
      <w:r w:rsidR="00937BC5">
        <w:t>badge</w:t>
      </w:r>
      <w:proofErr w:type="spellEnd"/>
      <w:r>
        <w:t xml:space="preserve"> se pohybují v neveřejných prostorách Úřadu bez doprovodu.</w:t>
      </w:r>
    </w:p>
    <w:p w:rsidR="00AC30C5" w:rsidRDefault="00AC30C5"/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Rovněž se nezapisují do knihy návštěv přihlášení účastníci seminářů, školení, exkurzí </w:t>
      </w:r>
      <w:r w:rsidR="005A579D">
        <w:br/>
      </w:r>
      <w:r>
        <w:t>a pozvaní externí účastníci porad či obdobných jednání, konaných v </w:t>
      </w:r>
      <w:r w:rsidR="00F85CBF">
        <w:t>prostorách přiléhajících ke vstupní hale</w:t>
      </w:r>
      <w:r>
        <w:t xml:space="preserve">, v případě souhlasu předsedy Úřadu nebo jeho zástupce, konaných i v jiných konkrétně určených prostorách v budově. Před konáním seminářů, školení, porad či pracovních jednání je organizátorem nebo gestorem vyhotoven, </w:t>
      </w:r>
      <w:r w:rsidR="005A579D">
        <w:br/>
      </w:r>
      <w:r>
        <w:t xml:space="preserve">a v předstihu předán do recepce, seznam přítomných externích účastníků na prezenční listině.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Vstup a přítomnost osob dodavatelů zabezpečujících provoz budovy (opravy, údržba apod.) povoluje pro dobu od </w:t>
      </w:r>
      <w:r w:rsidR="009E7DE3">
        <w:t>7</w:t>
      </w:r>
      <w:r>
        <w:t>:00</w:t>
      </w:r>
      <w:r w:rsidR="00F0520F">
        <w:t xml:space="preserve"> </w:t>
      </w:r>
      <w:r>
        <w:t xml:space="preserve">h do </w:t>
      </w:r>
      <w:r w:rsidR="009E7DE3">
        <w:t>18</w:t>
      </w:r>
      <w:r>
        <w:t>:00</w:t>
      </w:r>
      <w:r w:rsidR="00F0520F">
        <w:t xml:space="preserve"> </w:t>
      </w:r>
      <w:r>
        <w:t xml:space="preserve">h v pracovních dnech věcně odpovědný vedoucí zaměstnanec; mimo tuto dobu </w:t>
      </w:r>
      <w:r w:rsidR="002954A0">
        <w:t>ředitel ekonomického odboru</w:t>
      </w:r>
      <w:r>
        <w:t>.</w:t>
      </w:r>
      <w:r w:rsidR="00CC50C4">
        <w:t xml:space="preserve"> Dodavatelé se zapisují na recepci do knihy návštěv, kde je jim vydán </w:t>
      </w:r>
      <w:proofErr w:type="spellStart"/>
      <w:r w:rsidR="00937BC5">
        <w:t>badge</w:t>
      </w:r>
      <w:proofErr w:type="spellEnd"/>
      <w:r w:rsidR="00CC50C4">
        <w:t xml:space="preserve"> „Dodavatel“</w:t>
      </w:r>
      <w:r w:rsidR="00CC50C4" w:rsidRPr="00CC50C4">
        <w:t xml:space="preserve"> </w:t>
      </w:r>
      <w:r w:rsidR="00CC50C4">
        <w:t xml:space="preserve">po </w:t>
      </w:r>
      <w:r w:rsidR="00CC50C4">
        <w:br/>
        <w:t>předložení platného občanského průkazu, případně</w:t>
      </w:r>
      <w:r w:rsidR="005A579D">
        <w:t xml:space="preserve"> </w:t>
      </w:r>
      <w:r w:rsidR="00CC50C4">
        <w:t>cestovního pasu. Dodavatelé se pohybují v neveřejných prostorách Úřadu bez doprovodu.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Cizinci mají vstup do budovy povolen jen v doprovodu zaměstnance, který jejich pobyt zabezpečuje. Tento zaměstnanec zajistí ve spolupráci se zaměstnancem recepce zápis v knize návštěv. Toto ustanovení se nevztahuje na</w:t>
      </w:r>
      <w:r w:rsidR="007E079A">
        <w:t xml:space="preserve"> vstup do podatelny, informační</w:t>
      </w:r>
      <w:r>
        <w:t>h</w:t>
      </w:r>
      <w:r w:rsidR="007E079A">
        <w:t>o středis</w:t>
      </w:r>
      <w:r>
        <w:t>k</w:t>
      </w:r>
      <w:r w:rsidR="007E079A">
        <w:t>a</w:t>
      </w:r>
      <w:r>
        <w:t>, pokladny správních poplatků a studovny pro veřejnost.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Neomezený přístup do budovy mají: předseda Úřadu, ředitel ekonomického odboru</w:t>
      </w:r>
      <w:r w:rsidR="005827F9">
        <w:t>,</w:t>
      </w:r>
      <w:r>
        <w:t xml:space="preserve"> vedo</w:t>
      </w:r>
      <w:r w:rsidR="005827F9">
        <w:t xml:space="preserve">ucí oddělení technických služeb, zástupce vedoucího oddělení technických služeb, ředitel odboru patentových informací a vedoucí oddělení analýz. </w:t>
      </w:r>
    </w:p>
    <w:p w:rsidR="00AC30C5" w:rsidRDefault="00AC30C5">
      <w:pPr>
        <w:shd w:val="clear" w:color="auto" w:fill="FFFFFF"/>
        <w:spacing w:line="266" w:lineRule="exact"/>
        <w:ind w:right="-23"/>
        <w:jc w:val="center"/>
        <w:rPr>
          <w:sz w:val="24"/>
          <w:szCs w:val="24"/>
        </w:rPr>
      </w:pPr>
    </w:p>
    <w:p w:rsidR="005A579D" w:rsidRDefault="005A579D">
      <w:pPr>
        <w:shd w:val="clear" w:color="auto" w:fill="FFFFFF"/>
        <w:spacing w:line="266" w:lineRule="exact"/>
        <w:ind w:right="-23"/>
        <w:jc w:val="center"/>
        <w:rPr>
          <w:sz w:val="24"/>
          <w:szCs w:val="24"/>
        </w:rPr>
      </w:pPr>
    </w:p>
    <w:p w:rsidR="00AC30C5" w:rsidRDefault="00AC30C5">
      <w:pPr>
        <w:shd w:val="clear" w:color="auto" w:fill="FFFFFF"/>
        <w:spacing w:line="266" w:lineRule="exact"/>
        <w:ind w:right="-23"/>
        <w:jc w:val="center"/>
        <w:rPr>
          <w:sz w:val="24"/>
        </w:rPr>
      </w:pPr>
      <w:r>
        <w:rPr>
          <w:sz w:val="24"/>
          <w:szCs w:val="24"/>
        </w:rPr>
        <w:t>Čl</w:t>
      </w:r>
      <w:r>
        <w:rPr>
          <w:sz w:val="24"/>
        </w:rPr>
        <w:t>. 2</w:t>
      </w:r>
    </w:p>
    <w:p w:rsidR="00AC30C5" w:rsidRDefault="00AC30C5">
      <w:pPr>
        <w:pStyle w:val="Nadpis9"/>
        <w:spacing w:before="0"/>
      </w:pPr>
      <w:r>
        <w:t>Pohyb dopravních prostředků</w:t>
      </w:r>
    </w:p>
    <w:p w:rsidR="00AC30C5" w:rsidRDefault="00AC30C5"/>
    <w:p w:rsidR="00AC30C5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2"/>
        </w:rPr>
        <w:t xml:space="preserve">Služební </w:t>
      </w:r>
      <w:r w:rsidR="00572CBF">
        <w:rPr>
          <w:sz w:val="24"/>
          <w:szCs w:val="22"/>
        </w:rPr>
        <w:t xml:space="preserve">a </w:t>
      </w:r>
      <w:r w:rsidR="00C16FC7">
        <w:rPr>
          <w:sz w:val="24"/>
          <w:szCs w:val="22"/>
        </w:rPr>
        <w:t>určená</w:t>
      </w:r>
      <w:r w:rsidR="00572CBF">
        <w:rPr>
          <w:sz w:val="24"/>
          <w:szCs w:val="22"/>
        </w:rPr>
        <w:t xml:space="preserve"> soukromá </w:t>
      </w:r>
      <w:r>
        <w:rPr>
          <w:sz w:val="24"/>
          <w:szCs w:val="22"/>
        </w:rPr>
        <w:t xml:space="preserve">osobní auta parkují v garáži v suterénu budovy. </w:t>
      </w:r>
      <w:r w:rsidR="00A46F1E">
        <w:rPr>
          <w:sz w:val="24"/>
          <w:szCs w:val="22"/>
        </w:rPr>
        <w:t xml:space="preserve">Ovladače </w:t>
      </w:r>
      <w:r w:rsidR="005A579D">
        <w:rPr>
          <w:sz w:val="24"/>
          <w:szCs w:val="22"/>
        </w:rPr>
        <w:br/>
      </w:r>
      <w:r>
        <w:rPr>
          <w:sz w:val="24"/>
          <w:szCs w:val="22"/>
        </w:rPr>
        <w:t xml:space="preserve">od vrat garáže mají trvale řidiči a </w:t>
      </w:r>
      <w:r w:rsidR="009813F4">
        <w:rPr>
          <w:sz w:val="24"/>
          <w:szCs w:val="22"/>
        </w:rPr>
        <w:t xml:space="preserve">  otevírání vrat zajistí </w:t>
      </w:r>
      <w:r w:rsidR="00A3043C">
        <w:rPr>
          <w:sz w:val="24"/>
          <w:szCs w:val="22"/>
        </w:rPr>
        <w:t xml:space="preserve">v případě potřeby </w:t>
      </w:r>
      <w:r w:rsidR="009813F4">
        <w:rPr>
          <w:sz w:val="24"/>
          <w:szCs w:val="22"/>
        </w:rPr>
        <w:t>služba v recepci</w:t>
      </w:r>
      <w:r>
        <w:rPr>
          <w:sz w:val="24"/>
          <w:szCs w:val="24"/>
        </w:rPr>
        <w:t>.</w:t>
      </w:r>
    </w:p>
    <w:p w:rsidR="00AC30C5" w:rsidRDefault="00AC30C5">
      <w:pPr>
        <w:shd w:val="clear" w:color="auto" w:fill="FFFFFF"/>
        <w:spacing w:line="271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>Služební nákladní auto</w:t>
      </w:r>
      <w:r w:rsidR="00572CBF">
        <w:rPr>
          <w:sz w:val="24"/>
          <w:szCs w:val="24"/>
        </w:rPr>
        <w:t xml:space="preserve"> a </w:t>
      </w:r>
      <w:r w:rsidR="00C16FC7">
        <w:rPr>
          <w:sz w:val="24"/>
          <w:szCs w:val="24"/>
        </w:rPr>
        <w:t>určená</w:t>
      </w:r>
      <w:r w:rsidR="00572CBF">
        <w:rPr>
          <w:sz w:val="24"/>
          <w:szCs w:val="24"/>
        </w:rPr>
        <w:t xml:space="preserve"> soukromá vozidla</w:t>
      </w:r>
      <w:r>
        <w:rPr>
          <w:sz w:val="24"/>
          <w:szCs w:val="24"/>
        </w:rPr>
        <w:t xml:space="preserve"> </w:t>
      </w:r>
      <w:r w:rsidR="00572CBF">
        <w:rPr>
          <w:sz w:val="24"/>
          <w:szCs w:val="24"/>
        </w:rPr>
        <w:t xml:space="preserve">parkují </w:t>
      </w:r>
      <w:r w:rsidR="00C16FC7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dvoře. </w:t>
      </w:r>
      <w:r w:rsidR="00A46F1E">
        <w:rPr>
          <w:sz w:val="24"/>
          <w:szCs w:val="22"/>
        </w:rPr>
        <w:t xml:space="preserve"> Ovladače </w:t>
      </w:r>
      <w:r>
        <w:rPr>
          <w:sz w:val="24"/>
          <w:szCs w:val="22"/>
        </w:rPr>
        <w:t xml:space="preserve">od vrat mají trvale řidiči a </w:t>
      </w:r>
      <w:r w:rsidR="009813F4">
        <w:rPr>
          <w:sz w:val="24"/>
          <w:szCs w:val="22"/>
        </w:rPr>
        <w:t xml:space="preserve">otevírání vrat </w:t>
      </w:r>
      <w:r w:rsidR="00A3043C">
        <w:rPr>
          <w:sz w:val="24"/>
          <w:szCs w:val="22"/>
        </w:rPr>
        <w:t xml:space="preserve">v případě potřeby </w:t>
      </w:r>
      <w:r w:rsidR="009813F4">
        <w:rPr>
          <w:sz w:val="24"/>
          <w:szCs w:val="22"/>
        </w:rPr>
        <w:t>zajistí služba v recepci.</w:t>
      </w:r>
    </w:p>
    <w:p w:rsidR="00AC30C5" w:rsidRDefault="00AC30C5">
      <w:pPr>
        <w:shd w:val="clear" w:color="auto" w:fill="FFFFFF"/>
        <w:spacing w:line="271" w:lineRule="exact"/>
        <w:ind w:right="-23"/>
        <w:jc w:val="both"/>
        <w:rPr>
          <w:sz w:val="24"/>
        </w:rPr>
      </w:pPr>
    </w:p>
    <w:p w:rsidR="00CB6E18" w:rsidRDefault="00CB6E18">
      <w:pPr>
        <w:shd w:val="clear" w:color="auto" w:fill="FFFFFF"/>
        <w:spacing w:line="271" w:lineRule="exact"/>
        <w:ind w:right="-23"/>
        <w:jc w:val="both"/>
        <w:rPr>
          <w:sz w:val="24"/>
        </w:rPr>
      </w:pPr>
    </w:p>
    <w:p w:rsidR="00C17796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Dopravní prostředky dodavatelů vpouští do dvora služba v recepci po zápisu </w:t>
      </w:r>
      <w:r w:rsidR="00C16FC7">
        <w:rPr>
          <w:sz w:val="24"/>
          <w:szCs w:val="24"/>
        </w:rPr>
        <w:t xml:space="preserve">RZ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 xml:space="preserve">do </w:t>
      </w:r>
      <w:r w:rsidR="009813F4">
        <w:rPr>
          <w:sz w:val="24"/>
          <w:szCs w:val="24"/>
        </w:rPr>
        <w:t xml:space="preserve">evidenční </w:t>
      </w:r>
      <w:r>
        <w:rPr>
          <w:sz w:val="24"/>
          <w:szCs w:val="24"/>
        </w:rPr>
        <w:t>knihy.</w:t>
      </w:r>
      <w:r w:rsidR="00C17796" w:rsidRPr="00C17796">
        <w:rPr>
          <w:sz w:val="24"/>
          <w:szCs w:val="24"/>
        </w:rPr>
        <w:t xml:space="preserve"> </w:t>
      </w:r>
    </w:p>
    <w:p w:rsidR="00C17796" w:rsidRDefault="00C17796" w:rsidP="00C17796">
      <w:pPr>
        <w:shd w:val="clear" w:color="auto" w:fill="FFFFFF"/>
        <w:spacing w:line="271" w:lineRule="exact"/>
        <w:ind w:left="426" w:right="-23"/>
        <w:jc w:val="both"/>
        <w:rPr>
          <w:sz w:val="24"/>
          <w:szCs w:val="24"/>
        </w:rPr>
      </w:pPr>
    </w:p>
    <w:p w:rsidR="00AC30C5" w:rsidRDefault="00C17796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Zaměstnance, </w:t>
      </w:r>
      <w:proofErr w:type="gramStart"/>
      <w:r>
        <w:rPr>
          <w:sz w:val="24"/>
          <w:szCs w:val="24"/>
        </w:rPr>
        <w:t>kteří</w:t>
      </w:r>
      <w:proofErr w:type="gramEnd"/>
      <w:r>
        <w:rPr>
          <w:sz w:val="24"/>
          <w:szCs w:val="24"/>
        </w:rPr>
        <w:t xml:space="preserve"> parkují jízdní </w:t>
      </w:r>
      <w:proofErr w:type="gramStart"/>
      <w:r>
        <w:rPr>
          <w:sz w:val="24"/>
          <w:szCs w:val="24"/>
        </w:rPr>
        <w:t>kola</w:t>
      </w:r>
      <w:proofErr w:type="gramEnd"/>
      <w:r>
        <w:rPr>
          <w:sz w:val="24"/>
          <w:szCs w:val="24"/>
        </w:rPr>
        <w:t xml:space="preserve"> na dvoře, vpouští do dvora služba na recepci. Zaměstnanci jsou povinni jízdní kola na dvoře uzamykat proti odcizení.</w:t>
      </w:r>
    </w:p>
    <w:p w:rsidR="005A579D" w:rsidRDefault="005A579D">
      <w:pPr>
        <w:shd w:val="clear" w:color="auto" w:fill="FFFFFF"/>
        <w:spacing w:line="271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</w:rPr>
      </w:pPr>
      <w:r>
        <w:rPr>
          <w:sz w:val="24"/>
        </w:rPr>
        <w:t>Kromě doby od 6:</w:t>
      </w:r>
      <w:r w:rsidR="00C16FC7">
        <w:rPr>
          <w:sz w:val="24"/>
        </w:rPr>
        <w:t>00</w:t>
      </w:r>
      <w:r w:rsidR="00F0520F">
        <w:rPr>
          <w:sz w:val="24"/>
        </w:rPr>
        <w:t xml:space="preserve"> </w:t>
      </w:r>
      <w:r w:rsidR="00C16FC7">
        <w:rPr>
          <w:sz w:val="24"/>
        </w:rPr>
        <w:t xml:space="preserve">h </w:t>
      </w:r>
      <w:r>
        <w:rPr>
          <w:sz w:val="24"/>
        </w:rPr>
        <w:t xml:space="preserve">do </w:t>
      </w:r>
      <w:r w:rsidR="009813F4">
        <w:rPr>
          <w:sz w:val="24"/>
        </w:rPr>
        <w:t>19</w:t>
      </w:r>
      <w:r>
        <w:rPr>
          <w:sz w:val="24"/>
        </w:rPr>
        <w:t>:00</w:t>
      </w:r>
      <w:r w:rsidR="00F0520F">
        <w:rPr>
          <w:sz w:val="24"/>
        </w:rPr>
        <w:t xml:space="preserve"> </w:t>
      </w:r>
      <w:r>
        <w:rPr>
          <w:sz w:val="24"/>
        </w:rPr>
        <w:t xml:space="preserve">h v pracovních dnech je vjezd vozidel do areálu zakázán, případnou výjimku může povolit ředitel ekonomického odboru, </w:t>
      </w:r>
      <w:r w:rsidR="007E079A">
        <w:rPr>
          <w:sz w:val="24"/>
        </w:rPr>
        <w:t xml:space="preserve">případně </w:t>
      </w:r>
      <w:r>
        <w:rPr>
          <w:sz w:val="24"/>
        </w:rPr>
        <w:t xml:space="preserve">předseda Úřadu. Služba v recepci o tom pořídí zápis do </w:t>
      </w:r>
      <w:r w:rsidR="009813F4">
        <w:rPr>
          <w:sz w:val="24"/>
        </w:rPr>
        <w:t xml:space="preserve">evidenční </w:t>
      </w:r>
      <w:r>
        <w:rPr>
          <w:sz w:val="24"/>
        </w:rPr>
        <w:t xml:space="preserve">knihy. </w:t>
      </w:r>
    </w:p>
    <w:p w:rsidR="00AC30C5" w:rsidRDefault="00AC30C5">
      <w:pPr>
        <w:pStyle w:val="Nadpis9"/>
        <w:spacing w:before="0" w:line="266" w:lineRule="exact"/>
      </w:pPr>
    </w:p>
    <w:p w:rsidR="002C02E8" w:rsidRPr="002C02E8" w:rsidRDefault="002C02E8" w:rsidP="002C02E8"/>
    <w:p w:rsidR="00AC30C5" w:rsidRDefault="00AC30C5">
      <w:pPr>
        <w:pStyle w:val="Nadpis9"/>
        <w:spacing w:before="0" w:line="266" w:lineRule="exact"/>
      </w:pPr>
      <w:r>
        <w:t>Čl. 3</w:t>
      </w:r>
    </w:p>
    <w:p w:rsidR="00AC30C5" w:rsidRDefault="00AC30C5">
      <w:pPr>
        <w:pStyle w:val="Nadpis9"/>
        <w:spacing w:before="0" w:line="254" w:lineRule="exact"/>
      </w:pPr>
      <w:r>
        <w:t>Ochrana majetku, služebních a osobních věcí, užívání kanceláří</w:t>
      </w:r>
    </w:p>
    <w:p w:rsidR="00AC30C5" w:rsidRDefault="00AC30C5"/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Vstupy do všech kanceláří v budově jsou opatřeny zámkem a klíče jsou uloženy v recepci. Při příchodu si zaměstnanec vyzvedne klíč od místnosti, která mu je určena jako pracoviště. Při odchodu zaměstnanec odevzdá klíč službě </w:t>
      </w:r>
      <w:r w:rsidR="00A3043C">
        <w:rPr>
          <w:sz w:val="24"/>
          <w:szCs w:val="24"/>
        </w:rPr>
        <w:t>v recepci</w:t>
      </w:r>
      <w:r>
        <w:rPr>
          <w:sz w:val="24"/>
          <w:szCs w:val="24"/>
        </w:rPr>
        <w:t>. Pokud zaměstnanec vyzvedává klíče od jiné místnosti, zapíše toto služba do knihy s uvedením jména zaměstnance a časů, kdy byl klíč vydán a vrácen. Prázdné pracoviště musí být uzamčeno. Náhradní klíče od všech místností jsou uloženy u vedoucího oddělení technických služeb.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>Zaměstnanci ukládají písemnosti obvykle do skříní a stolů na svém pracovišti. Cenné předměty svěřené jim organizací, razítka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a služební peníze ukládají zaměstnanci na místě k tomu určeném příslušným vedoucím zaměstnancem.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Inventář pracoviště je zapsán do podepsaného místního seznamu na předepsaném formuláři. 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Zaměstnanci jsou povinni šetrně zacházet s veškerým zařízením, inventářem budovy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 xml:space="preserve">a kanceláří a chránit jej před poškozením, zneužitím nebo odcizením. Každý případ svévolného poškození a ztráty musí zaměstnanci neprodleně hlásit nadřízenému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>a vedoucímu oddělení technických služeb.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Zaměstnancům je zakázáno na pracovišti používat soukromé elektrické spotřebiče, které nemají platnou revizní zprávu uloženou v oddělení technických služeb. Elektrická topidla, která nejsou majetkem Úřadu, </w:t>
      </w:r>
      <w:r>
        <w:rPr>
          <w:sz w:val="24"/>
          <w:szCs w:val="24"/>
          <w:u w:val="single"/>
        </w:rPr>
        <w:t>je zakázáno používat</w:t>
      </w:r>
      <w:r>
        <w:rPr>
          <w:sz w:val="24"/>
          <w:szCs w:val="24"/>
        </w:rPr>
        <w:t>.</w:t>
      </w:r>
    </w:p>
    <w:p w:rsidR="00AC30C5" w:rsidRDefault="00AC30C5">
      <w:pPr>
        <w:pStyle w:val="Nadpis1"/>
        <w:spacing w:before="0"/>
        <w:ind w:right="-23"/>
        <w:rPr>
          <w:color w:val="auto"/>
          <w:spacing w:val="0"/>
        </w:rPr>
      </w:pPr>
    </w:p>
    <w:p w:rsidR="005A579D" w:rsidRPr="005A579D" w:rsidRDefault="005A579D" w:rsidP="005A579D"/>
    <w:p w:rsidR="00AC30C5" w:rsidRDefault="00AC30C5">
      <w:pPr>
        <w:pStyle w:val="Nadpis1"/>
        <w:spacing w:before="0"/>
        <w:ind w:right="-23"/>
        <w:rPr>
          <w:color w:val="auto"/>
          <w:spacing w:val="0"/>
        </w:rPr>
      </w:pPr>
      <w:r>
        <w:rPr>
          <w:color w:val="auto"/>
          <w:spacing w:val="0"/>
        </w:rPr>
        <w:t>Čl. 4</w:t>
      </w:r>
    </w:p>
    <w:p w:rsidR="00AC30C5" w:rsidRDefault="00AC30C5">
      <w:pPr>
        <w:pStyle w:val="Nadpis2"/>
        <w:ind w:right="-23"/>
        <w:rPr>
          <w:color w:val="auto"/>
          <w:spacing w:val="0"/>
        </w:rPr>
      </w:pPr>
      <w:r>
        <w:rPr>
          <w:color w:val="auto"/>
          <w:spacing w:val="0"/>
        </w:rPr>
        <w:t>Užívání jiných místností</w:t>
      </w:r>
    </w:p>
    <w:p w:rsidR="00AC30C5" w:rsidRDefault="00AC30C5"/>
    <w:p w:rsidR="00AC30C5" w:rsidRDefault="00AC30C5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5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>V každém podlaží je určena místnost, v níž si zaměstnanec může připravit či ohřát nápoj nebo jednoduchý pokrm. Při zacházení s vybavením této místnosti jsou zaměstnanci povinni dodržovat zásady bezpečnosti a ochrany zdraví,</w:t>
      </w:r>
      <w:r w:rsidR="009813F4">
        <w:rPr>
          <w:sz w:val="24"/>
          <w:szCs w:val="24"/>
        </w:rPr>
        <w:t xml:space="preserve"> bezpečnost v</w:t>
      </w:r>
      <w:r w:rsidR="00A3043C">
        <w:rPr>
          <w:sz w:val="24"/>
          <w:szCs w:val="24"/>
        </w:rPr>
        <w:t> </w:t>
      </w:r>
      <w:r w:rsidR="009813F4">
        <w:rPr>
          <w:sz w:val="24"/>
          <w:szCs w:val="24"/>
        </w:rPr>
        <w:t>oblasti</w:t>
      </w:r>
      <w:r w:rsidR="00A3043C">
        <w:rPr>
          <w:sz w:val="24"/>
          <w:szCs w:val="24"/>
        </w:rPr>
        <w:t xml:space="preserve"> požární ochrany</w:t>
      </w:r>
      <w:r w:rsidR="009813F4">
        <w:rPr>
          <w:sz w:val="24"/>
          <w:szCs w:val="24"/>
        </w:rPr>
        <w:t>,</w:t>
      </w:r>
      <w:r>
        <w:rPr>
          <w:sz w:val="24"/>
          <w:szCs w:val="24"/>
        </w:rPr>
        <w:t xml:space="preserve"> chovat se hospodárně, udržovat čistotu a pořádek a počínat si tak, aby zařízení nebylo poškozováno a ostatní zaměstnanci nebyli při jeho používání nepřiměřeně omezováni.</w:t>
      </w:r>
    </w:p>
    <w:p w:rsidR="00AC30C5" w:rsidRDefault="00AC30C5">
      <w:pPr>
        <w:shd w:val="clear" w:color="auto" w:fill="FFFFFF"/>
        <w:spacing w:line="245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5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>Provozní prostory (kotelna, sklep, výtahové šachty, strojovny, střecha apod.) jsou pro osoby, které zde nevykonávají pracovní činnost, nepřístupné.</w:t>
      </w:r>
    </w:p>
    <w:p w:rsidR="00AC30C5" w:rsidRDefault="00AC30C5">
      <w:pPr>
        <w:pStyle w:val="Nadpis8"/>
        <w:spacing w:before="0"/>
        <w:jc w:val="center"/>
      </w:pPr>
    </w:p>
    <w:p w:rsidR="00742C54" w:rsidRDefault="00742C54" w:rsidP="00742C54"/>
    <w:p w:rsidR="00742C54" w:rsidRDefault="00742C54" w:rsidP="00742C54"/>
    <w:p w:rsidR="00742C54" w:rsidRPr="00742C54" w:rsidRDefault="00742C54" w:rsidP="00742C54"/>
    <w:p w:rsidR="005A579D" w:rsidRPr="005A579D" w:rsidRDefault="005A579D" w:rsidP="005A579D"/>
    <w:p w:rsidR="00AC30C5" w:rsidRDefault="00AC30C5">
      <w:pPr>
        <w:pStyle w:val="Nadpis8"/>
        <w:spacing w:before="0"/>
        <w:jc w:val="center"/>
      </w:pPr>
      <w:r>
        <w:t>Čl. 5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t>Odchod z pracoviště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sz w:val="24"/>
        </w:rPr>
      </w:pPr>
    </w:p>
    <w:p w:rsidR="00AC30C5" w:rsidRDefault="00AC30C5">
      <w:pPr>
        <w:numPr>
          <w:ilvl w:val="0"/>
          <w:numId w:val="2"/>
        </w:numPr>
        <w:shd w:val="clear" w:color="auto" w:fill="FFFFFF"/>
        <w:tabs>
          <w:tab w:val="clear" w:pos="396"/>
        </w:tabs>
        <w:spacing w:line="259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Po skončení pracovní doby je zaměstnanec kromě ledničky povinen vypnout veškeré elektrické spotřebiče včetně chladící jednotky. Okna musí být uzavřena. Zaměstnanec, který odchází z místnosti jako poslední, vše překontroluje, uzamkne místnost a klíč odevzdá v recepci. </w:t>
      </w:r>
    </w:p>
    <w:p w:rsidR="00AC30C5" w:rsidRDefault="00AC30C5">
      <w:pPr>
        <w:pStyle w:val="Nadpis9"/>
        <w:spacing w:before="0" w:line="259" w:lineRule="exact"/>
      </w:pPr>
      <w:r>
        <w:t>Čl. 6</w:t>
      </w:r>
    </w:p>
    <w:p w:rsidR="00AC30C5" w:rsidRDefault="00AC30C5">
      <w:pPr>
        <w:shd w:val="clear" w:color="auto" w:fill="FFFFFF"/>
        <w:spacing w:line="264" w:lineRule="exact"/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t>Zvláštní oprávnění a povinnosti</w:t>
      </w:r>
    </w:p>
    <w:p w:rsidR="00AC30C5" w:rsidRDefault="00AC30C5">
      <w:pPr>
        <w:shd w:val="clear" w:color="auto" w:fill="FFFFFF"/>
        <w:spacing w:line="264" w:lineRule="exact"/>
        <w:ind w:right="-23"/>
        <w:jc w:val="center"/>
        <w:rPr>
          <w:sz w:val="24"/>
        </w:rPr>
      </w:pPr>
    </w:p>
    <w:p w:rsidR="00AC30C5" w:rsidRDefault="00AC30C5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64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Klíče od vybraných místností (pokladna Úřadu, pokladna oddělení vstupního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>a poplatkového, místnost bezpečnostního ředitele, sklady, sál počítačů, knihovna odborové organizace, kantýna, jídelna, případně další místnosti) jsou trvale svěřeny pověřeným osobám a nevztahuje se na ně povinnost odevzdání v recepci. V recepci je uložen seznam těchto místností a pověřených osob. Klíče jsou uloženy v zalepených obálkách opatřených na přelepu podpisem pověřené osoby. Obálky s klíči jsou uloženy v trezoru v recepci pro případ havárie.</w:t>
      </w:r>
    </w:p>
    <w:p w:rsidR="00AC30C5" w:rsidRDefault="00AC30C5">
      <w:pPr>
        <w:shd w:val="clear" w:color="auto" w:fill="FFFFFF"/>
        <w:spacing w:line="264" w:lineRule="exact"/>
        <w:ind w:right="-23"/>
        <w:jc w:val="both"/>
        <w:rPr>
          <w:sz w:val="24"/>
          <w:szCs w:val="24"/>
        </w:rPr>
      </w:pPr>
    </w:p>
    <w:p w:rsidR="005827F9" w:rsidRDefault="005827F9">
      <w:pPr>
        <w:shd w:val="clear" w:color="auto" w:fill="FFFFFF"/>
        <w:spacing w:line="264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64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>Osoby provádějící v budově úklid přebírají klíče od uklízeného úseku od služby v recepci proti podpisu v knize. Po ukončení úklidu klíče předávají službě</w:t>
      </w:r>
      <w:r w:rsidR="009813F4">
        <w:rPr>
          <w:sz w:val="24"/>
          <w:szCs w:val="24"/>
        </w:rPr>
        <w:t xml:space="preserve"> v recepci</w:t>
      </w:r>
      <w:r>
        <w:rPr>
          <w:sz w:val="24"/>
          <w:szCs w:val="24"/>
        </w:rPr>
        <w:t xml:space="preserve">. Tímto způsobem je </w:t>
      </w:r>
      <w:r w:rsidR="009813F4">
        <w:rPr>
          <w:sz w:val="24"/>
          <w:szCs w:val="24"/>
        </w:rPr>
        <w:t xml:space="preserve">také </w:t>
      </w:r>
      <w:r>
        <w:rPr>
          <w:sz w:val="24"/>
          <w:szCs w:val="24"/>
        </w:rPr>
        <w:t>vedena</w:t>
      </w:r>
      <w:r w:rsidR="009813F4">
        <w:rPr>
          <w:sz w:val="24"/>
          <w:szCs w:val="24"/>
        </w:rPr>
        <w:t xml:space="preserve"> kontrola</w:t>
      </w:r>
      <w:r>
        <w:rPr>
          <w:sz w:val="24"/>
          <w:szCs w:val="24"/>
        </w:rPr>
        <w:t xml:space="preserve"> evidence jejich příchodů a odchodů.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5A579D" w:rsidRDefault="005A579D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pStyle w:val="Nadpis9"/>
        <w:spacing w:before="0" w:line="257" w:lineRule="exact"/>
      </w:pPr>
      <w:r>
        <w:t>Čl. 7</w:t>
      </w:r>
    </w:p>
    <w:p w:rsidR="00AC30C5" w:rsidRDefault="00AC30C5">
      <w:pPr>
        <w:pStyle w:val="Nadpis4"/>
        <w:spacing w:before="0"/>
        <w:ind w:left="0" w:right="-23"/>
        <w:jc w:val="center"/>
        <w:rPr>
          <w:spacing w:val="0"/>
          <w:w w:val="100"/>
        </w:rPr>
      </w:pPr>
      <w:r>
        <w:rPr>
          <w:spacing w:val="0"/>
          <w:w w:val="100"/>
        </w:rPr>
        <w:t>Závěrečná ustanovení</w:t>
      </w:r>
    </w:p>
    <w:p w:rsidR="00AC30C5" w:rsidRDefault="00AC30C5"/>
    <w:p w:rsidR="00AC30C5" w:rsidRDefault="00AC30C5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90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Provozní řád budov užívaných Úřadem průmyslového vlastnictví ze dne </w:t>
      </w:r>
      <w:r w:rsidRPr="00960A50">
        <w:rPr>
          <w:sz w:val="24"/>
          <w:szCs w:val="24"/>
        </w:rPr>
        <w:t>25. května 2001.</w:t>
      </w:r>
    </w:p>
    <w:p w:rsidR="00AC30C5" w:rsidRDefault="00AC30C5">
      <w:pPr>
        <w:shd w:val="clear" w:color="auto" w:fill="FFFFFF"/>
        <w:spacing w:line="290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90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>Tento Provozní řád budov užívaných Úřadem průmyslového vlastnictví nabývá účinnosti dnem vydání.</w:t>
      </w: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left="5103" w:right="-23"/>
        <w:jc w:val="center"/>
        <w:rPr>
          <w:sz w:val="24"/>
        </w:rPr>
      </w:pPr>
      <w:r w:rsidRPr="00544478">
        <w:rPr>
          <w:sz w:val="24"/>
          <w:szCs w:val="24"/>
        </w:rPr>
        <w:t>Karel Čada</w:t>
      </w:r>
    </w:p>
    <w:p w:rsidR="00AC30C5" w:rsidRDefault="00AC30C5">
      <w:pPr>
        <w:shd w:val="clear" w:color="auto" w:fill="FFFFFF"/>
        <w:ind w:left="5103" w:right="-23"/>
        <w:jc w:val="center"/>
        <w:rPr>
          <w:sz w:val="24"/>
        </w:rPr>
      </w:pPr>
      <w:r>
        <w:rPr>
          <w:sz w:val="24"/>
          <w:szCs w:val="24"/>
        </w:rPr>
        <w:t>předseda</w:t>
      </w:r>
    </w:p>
    <w:p w:rsidR="00AC30C5" w:rsidRDefault="00AC30C5">
      <w:pPr>
        <w:shd w:val="clear" w:color="auto" w:fill="FFFFFF"/>
        <w:spacing w:line="307" w:lineRule="exact"/>
        <w:ind w:left="5103" w:right="-23"/>
        <w:jc w:val="center"/>
        <w:rPr>
          <w:sz w:val="24"/>
          <w:szCs w:val="24"/>
        </w:rPr>
      </w:pPr>
      <w:r>
        <w:rPr>
          <w:sz w:val="24"/>
          <w:szCs w:val="24"/>
        </w:rPr>
        <w:t>Úřadu průmyslového vlastnictví</w:t>
      </w:r>
    </w:p>
    <w:p w:rsidR="005A579D" w:rsidRDefault="005A579D">
      <w:pPr>
        <w:pStyle w:val="Nadpis6"/>
        <w:rPr>
          <w:spacing w:val="0"/>
        </w:rPr>
      </w:pPr>
    </w:p>
    <w:p w:rsidR="005A579D" w:rsidRDefault="005A579D">
      <w:pPr>
        <w:pStyle w:val="Nadpis6"/>
        <w:rPr>
          <w:spacing w:val="0"/>
        </w:rPr>
      </w:pPr>
    </w:p>
    <w:p w:rsidR="00AC30C5" w:rsidRDefault="00AC30C5">
      <w:pPr>
        <w:pStyle w:val="Nadpis6"/>
        <w:rPr>
          <w:spacing w:val="0"/>
        </w:rPr>
      </w:pPr>
      <w:r>
        <w:rPr>
          <w:spacing w:val="0"/>
        </w:rPr>
        <w:t>V Praze dne 20. dubna 2005</w:t>
      </w:r>
    </w:p>
    <w:sectPr w:rsidR="00AC30C5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7" w:rsidRDefault="004F1477">
      <w:r>
        <w:separator/>
      </w:r>
    </w:p>
  </w:endnote>
  <w:endnote w:type="continuationSeparator" w:id="0">
    <w:p w:rsidR="004F1477" w:rsidRDefault="004F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9A" w:rsidRDefault="007E07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079A" w:rsidRDefault="007E07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9A" w:rsidRDefault="007E07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A6C">
      <w:rPr>
        <w:rStyle w:val="slostrnky"/>
        <w:noProof/>
      </w:rPr>
      <w:t>4</w:t>
    </w:r>
    <w:r>
      <w:rPr>
        <w:rStyle w:val="slostrnky"/>
      </w:rPr>
      <w:fldChar w:fldCharType="end"/>
    </w:r>
  </w:p>
  <w:p w:rsidR="007E079A" w:rsidRDefault="007E07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7" w:rsidRDefault="004F1477">
      <w:r>
        <w:separator/>
      </w:r>
    </w:p>
  </w:footnote>
  <w:footnote w:type="continuationSeparator" w:id="0">
    <w:p w:rsidR="004F1477" w:rsidRDefault="004F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6C" w:rsidRDefault="00116A6C" w:rsidP="00116A6C">
    <w:pPr>
      <w:pStyle w:val="Zhlav"/>
      <w:jc w:val="right"/>
    </w:pPr>
    <w:r>
      <w:t>Příloha č. 4</w:t>
    </w:r>
  </w:p>
  <w:p w:rsidR="00116A6C" w:rsidRDefault="00116A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6C" w:rsidRDefault="00116A6C" w:rsidP="00116A6C">
    <w:pPr>
      <w:pStyle w:val="Zhlav"/>
      <w:jc w:val="right"/>
    </w:pPr>
    <w:r>
      <w:t>Příloha č. 4</w:t>
    </w:r>
  </w:p>
  <w:p w:rsidR="00116A6C" w:rsidRDefault="00116A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8B3"/>
    <w:multiLevelType w:val="hybridMultilevel"/>
    <w:tmpl w:val="F3521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97509"/>
    <w:multiLevelType w:val="hybridMultilevel"/>
    <w:tmpl w:val="E8302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665FA"/>
    <w:multiLevelType w:val="hybridMultilevel"/>
    <w:tmpl w:val="05A28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F70DD"/>
    <w:multiLevelType w:val="hybridMultilevel"/>
    <w:tmpl w:val="0ABAFC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E70B0"/>
    <w:multiLevelType w:val="hybridMultilevel"/>
    <w:tmpl w:val="19E24BA4"/>
    <w:lvl w:ilvl="0" w:tplc="33F8347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58516F28"/>
    <w:multiLevelType w:val="hybridMultilevel"/>
    <w:tmpl w:val="54443B44"/>
    <w:lvl w:ilvl="0" w:tplc="89FCEC9A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6">
    <w:nsid w:val="79E81B73"/>
    <w:multiLevelType w:val="hybridMultilevel"/>
    <w:tmpl w:val="72628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62BC2"/>
    <w:multiLevelType w:val="hybridMultilevel"/>
    <w:tmpl w:val="25C8D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9D"/>
    <w:rsid w:val="0004314F"/>
    <w:rsid w:val="00066A4A"/>
    <w:rsid w:val="00074ADD"/>
    <w:rsid w:val="000838D3"/>
    <w:rsid w:val="00116A6C"/>
    <w:rsid w:val="00177A11"/>
    <w:rsid w:val="001919CD"/>
    <w:rsid w:val="001A790B"/>
    <w:rsid w:val="001B6388"/>
    <w:rsid w:val="00234466"/>
    <w:rsid w:val="00271481"/>
    <w:rsid w:val="002954A0"/>
    <w:rsid w:val="002C02E8"/>
    <w:rsid w:val="0032283B"/>
    <w:rsid w:val="00345038"/>
    <w:rsid w:val="003760DA"/>
    <w:rsid w:val="003771FE"/>
    <w:rsid w:val="00396B83"/>
    <w:rsid w:val="003B1E19"/>
    <w:rsid w:val="003D4F97"/>
    <w:rsid w:val="003F54DD"/>
    <w:rsid w:val="003F7027"/>
    <w:rsid w:val="00406ED7"/>
    <w:rsid w:val="004249DF"/>
    <w:rsid w:val="0043421A"/>
    <w:rsid w:val="00467289"/>
    <w:rsid w:val="004C4B85"/>
    <w:rsid w:val="004F1477"/>
    <w:rsid w:val="004F328D"/>
    <w:rsid w:val="0051508C"/>
    <w:rsid w:val="00516038"/>
    <w:rsid w:val="0054233A"/>
    <w:rsid w:val="00544478"/>
    <w:rsid w:val="00572CBF"/>
    <w:rsid w:val="005827F9"/>
    <w:rsid w:val="005A579D"/>
    <w:rsid w:val="005F7F56"/>
    <w:rsid w:val="00656704"/>
    <w:rsid w:val="006D1309"/>
    <w:rsid w:val="006D27A1"/>
    <w:rsid w:val="006F007B"/>
    <w:rsid w:val="0070405F"/>
    <w:rsid w:val="0072357E"/>
    <w:rsid w:val="00742C54"/>
    <w:rsid w:val="00746861"/>
    <w:rsid w:val="00757F9F"/>
    <w:rsid w:val="007E079A"/>
    <w:rsid w:val="007F02C7"/>
    <w:rsid w:val="0086579D"/>
    <w:rsid w:val="008E4757"/>
    <w:rsid w:val="008E5E7F"/>
    <w:rsid w:val="00937BC5"/>
    <w:rsid w:val="0095517A"/>
    <w:rsid w:val="00960A50"/>
    <w:rsid w:val="009813F4"/>
    <w:rsid w:val="00993A44"/>
    <w:rsid w:val="009B1A97"/>
    <w:rsid w:val="009E7DE3"/>
    <w:rsid w:val="009F7AE3"/>
    <w:rsid w:val="00A3043C"/>
    <w:rsid w:val="00A36091"/>
    <w:rsid w:val="00A46F1E"/>
    <w:rsid w:val="00AA25B0"/>
    <w:rsid w:val="00AC071D"/>
    <w:rsid w:val="00AC30C5"/>
    <w:rsid w:val="00AF79BF"/>
    <w:rsid w:val="00B363F0"/>
    <w:rsid w:val="00B8184B"/>
    <w:rsid w:val="00B97692"/>
    <w:rsid w:val="00BA0305"/>
    <w:rsid w:val="00BE7E40"/>
    <w:rsid w:val="00BF09A6"/>
    <w:rsid w:val="00C16FC7"/>
    <w:rsid w:val="00C17796"/>
    <w:rsid w:val="00C5023C"/>
    <w:rsid w:val="00C626B1"/>
    <w:rsid w:val="00CA41C7"/>
    <w:rsid w:val="00CB6E18"/>
    <w:rsid w:val="00CC50C4"/>
    <w:rsid w:val="00CE0870"/>
    <w:rsid w:val="00CF0296"/>
    <w:rsid w:val="00CF6AA7"/>
    <w:rsid w:val="00D23985"/>
    <w:rsid w:val="00D64976"/>
    <w:rsid w:val="00D928A9"/>
    <w:rsid w:val="00E15D4A"/>
    <w:rsid w:val="00E5089B"/>
    <w:rsid w:val="00E640BF"/>
    <w:rsid w:val="00EF4F2B"/>
    <w:rsid w:val="00F0520F"/>
    <w:rsid w:val="00F10545"/>
    <w:rsid w:val="00F70F02"/>
    <w:rsid w:val="00F85CBF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spacing w:before="257"/>
      <w:ind w:right="7"/>
      <w:jc w:val="center"/>
      <w:outlineLvl w:val="0"/>
    </w:pPr>
    <w:rPr>
      <w:color w:val="000000"/>
      <w:spacing w:val="-2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ind w:right="12"/>
      <w:jc w:val="center"/>
      <w:outlineLvl w:val="1"/>
    </w:pPr>
    <w:rPr>
      <w:color w:val="000000"/>
      <w:spacing w:val="-10"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262" w:line="257" w:lineRule="exact"/>
      <w:ind w:left="3278" w:right="3317" w:firstLine="768"/>
      <w:jc w:val="both"/>
      <w:outlineLvl w:val="2"/>
    </w:pPr>
    <w:rPr>
      <w:spacing w:val="-15"/>
      <w:w w:val="101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spacing w:before="262" w:line="257" w:lineRule="exact"/>
      <w:ind w:left="3278" w:right="3317"/>
      <w:outlineLvl w:val="3"/>
    </w:pPr>
    <w:rPr>
      <w:spacing w:val="-13"/>
      <w:w w:val="101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hd w:val="clear" w:color="auto" w:fill="FFFFFF"/>
      <w:spacing w:before="499" w:line="266" w:lineRule="exact"/>
      <w:ind w:left="3473" w:right="3422"/>
      <w:jc w:val="center"/>
      <w:outlineLvl w:val="4"/>
    </w:pPr>
    <w:rPr>
      <w:color w:val="000000"/>
      <w:spacing w:val="22"/>
      <w:w w:val="91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shd w:val="clear" w:color="auto" w:fill="FFFFFF"/>
      <w:spacing w:line="307" w:lineRule="exact"/>
      <w:ind w:right="-23"/>
      <w:outlineLvl w:val="5"/>
    </w:pPr>
    <w:rPr>
      <w:spacing w:val="-11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hd w:val="clear" w:color="auto" w:fill="FFFFFF"/>
      <w:spacing w:before="274" w:line="252" w:lineRule="exact"/>
      <w:ind w:right="-23"/>
      <w:jc w:val="both"/>
      <w:outlineLvl w:val="6"/>
    </w:pPr>
    <w:rPr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shd w:val="clear" w:color="auto" w:fill="FFFFFF"/>
      <w:spacing w:before="278" w:line="257" w:lineRule="exact"/>
      <w:ind w:right="-23"/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shd w:val="clear" w:color="auto" w:fill="FFFFFF"/>
      <w:spacing w:before="235" w:line="264" w:lineRule="exact"/>
      <w:ind w:right="-23"/>
      <w:jc w:val="center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shd w:val="clear" w:color="auto" w:fill="FFFFFF"/>
      <w:spacing w:before="259" w:line="264" w:lineRule="exact"/>
      <w:ind w:left="284" w:right="24" w:hanging="284"/>
      <w:jc w:val="both"/>
    </w:pPr>
    <w:rPr>
      <w:color w:val="FF0000"/>
      <w:spacing w:val="-1"/>
      <w:w w:val="91"/>
      <w:sz w:val="24"/>
      <w:szCs w:val="24"/>
    </w:rPr>
  </w:style>
  <w:style w:type="paragraph" w:styleId="Zkladntextodsazen">
    <w:name w:val="Body Text Indent"/>
    <w:basedOn w:val="Normln"/>
    <w:pPr>
      <w:shd w:val="clear" w:color="auto" w:fill="FFFFFF"/>
      <w:spacing w:before="264"/>
      <w:ind w:left="284" w:hanging="250"/>
    </w:pPr>
    <w:rPr>
      <w:color w:val="FF0000"/>
      <w:spacing w:val="-9"/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hd w:val="clear" w:color="auto" w:fill="FFFFFF"/>
      <w:spacing w:before="274" w:line="252" w:lineRule="exact"/>
      <w:ind w:right="-23"/>
      <w:jc w:val="both"/>
    </w:pPr>
    <w:rPr>
      <w:color w:val="000000"/>
      <w:sz w:val="24"/>
      <w:szCs w:val="24"/>
    </w:rPr>
  </w:style>
  <w:style w:type="paragraph" w:styleId="Zkladntext2">
    <w:name w:val="Body Text 2"/>
    <w:basedOn w:val="Normln"/>
    <w:pPr>
      <w:shd w:val="clear" w:color="auto" w:fill="FFFFFF"/>
      <w:spacing w:before="269" w:line="262" w:lineRule="exact"/>
      <w:ind w:right="-23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hd w:val="clear" w:color="auto" w:fill="FFFFFF"/>
      <w:ind w:right="-23"/>
      <w:jc w:val="center"/>
    </w:pPr>
    <w:rPr>
      <w:color w:val="000000"/>
      <w:sz w:val="22"/>
      <w:szCs w:val="24"/>
    </w:rPr>
  </w:style>
  <w:style w:type="paragraph" w:styleId="Textbubliny">
    <w:name w:val="Balloon Text"/>
    <w:basedOn w:val="Normln"/>
    <w:link w:val="TextbublinyChar"/>
    <w:rsid w:val="00A46F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46F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796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11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budov užívaných Úřadem průmyslového vlastnictví</vt:lpstr>
    </vt:vector>
  </TitlesOfParts>
  <Company>UPV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budov užívaných Úřadem průmyslového vlastnictví</dc:title>
  <dc:creator>UPV</dc:creator>
  <cp:lastModifiedBy>Vojtěch Skalník</cp:lastModifiedBy>
  <cp:revision>3</cp:revision>
  <cp:lastPrinted>2016-05-11T08:35:00Z</cp:lastPrinted>
  <dcterms:created xsi:type="dcterms:W3CDTF">2016-07-21T10:35:00Z</dcterms:created>
  <dcterms:modified xsi:type="dcterms:W3CDTF">2016-08-24T09:11:00Z</dcterms:modified>
</cp:coreProperties>
</file>