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9E" w:rsidRDefault="00FF173B">
      <w:pPr>
        <w:pStyle w:val="Heading10"/>
        <w:framePr w:w="9134" w:h="327" w:hRule="exact" w:wrap="none" w:vAnchor="page" w:hAnchor="page" w:x="1321" w:y="1353"/>
        <w:shd w:val="clear" w:color="auto" w:fill="auto"/>
        <w:spacing w:after="0"/>
      </w:pPr>
      <w:bookmarkStart w:id="0" w:name="bookmark0"/>
      <w:r>
        <w:t>SMLOUVA O SPOLUPRÁCI</w:t>
      </w:r>
      <w:bookmarkEnd w:id="0"/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0" w:line="274" w:lineRule="exact"/>
        <w:jc w:val="left"/>
      </w:pPr>
      <w:bookmarkStart w:id="1" w:name="bookmark1"/>
      <w:r>
        <w:t>Hudební divadlo v Karl</w:t>
      </w:r>
      <w:r w:rsidR="001D62ED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se sídlem: Křižíkova 10, 186 00 Praha 8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zastoupená Egonem Kulhánkem, ředitelem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IČO: 00064335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DIČ: CZ00064335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Číslo účtu: 43-1512190287/0100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(Ve výkladu MF ČR se příspěvkové organizace vzniklé před účinností zákona 250/2000 sb., t</w:t>
      </w:r>
      <w:r w:rsidR="001D62ED">
        <w:t>j</w:t>
      </w:r>
      <w:r>
        <w:t>. před 1.1.2001, do obchodního rejstříku nezapisují)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spacing w:after="286"/>
        <w:ind w:firstLine="0"/>
      </w:pPr>
      <w:r>
        <w:t xml:space="preserve">(dále jen </w:t>
      </w:r>
      <w:r>
        <w:rPr>
          <w:rStyle w:val="Bodytext2BoldItalic"/>
        </w:rPr>
        <w:t>„HDK“)</w:t>
      </w:r>
      <w:bookmarkStart w:id="2" w:name="_GoBack"/>
      <w:bookmarkEnd w:id="2"/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274"/>
        <w:jc w:val="left"/>
      </w:pPr>
      <w:bookmarkStart w:id="3" w:name="bookmark2"/>
      <w:r>
        <w:t>a</w:t>
      </w:r>
      <w:bookmarkEnd w:id="3"/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0" w:line="274" w:lineRule="exact"/>
        <w:jc w:val="left"/>
      </w:pPr>
      <w:bookmarkStart w:id="4" w:name="bookmark3"/>
      <w:r>
        <w:t>ASTACUS s.r.o.</w:t>
      </w:r>
      <w:bookmarkEnd w:id="4"/>
    </w:p>
    <w:p w:rsidR="001D62ED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 xml:space="preserve">se sídlem: Kaprova 42/14, 110 00 Praha 1 </w:t>
      </w:r>
    </w:p>
    <w:p w:rsidR="001D62ED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 xml:space="preserve">IČO: 29030528 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t>DIČ: CZ29030528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ind w:firstLine="0"/>
      </w:pPr>
      <w:r>
        <w:rPr>
          <w:lang w:val="en-US" w:eastAsia="en-US" w:bidi="en-US"/>
        </w:rPr>
        <w:t xml:space="preserve">(OR </w:t>
      </w:r>
      <w:r>
        <w:t>vedený Městským soudem v Praze oddíl C, vložka 161299)</w:t>
      </w:r>
    </w:p>
    <w:p w:rsidR="00557B9E" w:rsidRDefault="00FF173B">
      <w:pPr>
        <w:pStyle w:val="Bodytext30"/>
        <w:framePr w:w="9134" w:h="11363" w:hRule="exact" w:wrap="none" w:vAnchor="page" w:hAnchor="page" w:x="1321" w:y="1902"/>
        <w:shd w:val="clear" w:color="auto" w:fill="auto"/>
        <w:spacing w:after="57"/>
      </w:pPr>
      <w:r>
        <w:rPr>
          <w:rStyle w:val="Bodytext3NotBoldNotItalic"/>
        </w:rPr>
        <w:t xml:space="preserve">(dále jen </w:t>
      </w:r>
      <w:r>
        <w:t>„Partner“)</w:t>
      </w:r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spacing w:line="552" w:lineRule="exact"/>
        <w:ind w:firstLine="0"/>
      </w:pPr>
      <w:r>
        <w:t>uzavírají níže uvedeného dne, měsíce roku tuto</w:t>
      </w:r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0" w:line="552" w:lineRule="exact"/>
        <w:ind w:left="60"/>
      </w:pPr>
      <w:bookmarkStart w:id="5" w:name="bookmark4"/>
      <w:r>
        <w:t>smlouvu o spolupráci:</w:t>
      </w:r>
      <w:bookmarkEnd w:id="5"/>
    </w:p>
    <w:p w:rsidR="00557B9E" w:rsidRDefault="00FF173B">
      <w:pPr>
        <w:pStyle w:val="Bodytext40"/>
        <w:framePr w:w="9134" w:h="11363" w:hRule="exact" w:wrap="none" w:vAnchor="page" w:hAnchor="page" w:x="1321" w:y="1902"/>
        <w:shd w:val="clear" w:color="auto" w:fill="auto"/>
      </w:pPr>
      <w:r>
        <w:t>ČI. I.</w:t>
      </w:r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274"/>
      </w:pPr>
      <w:bookmarkStart w:id="6" w:name="bookmark5"/>
      <w:r>
        <w:t>Předmět smlouvy</w:t>
      </w:r>
      <w:bookmarkEnd w:id="6"/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spacing w:after="286"/>
        <w:ind w:firstLine="0"/>
      </w:pPr>
      <w:r>
        <w:t>HDK se touto smlouvou zavazuje zajistit ve prospěch Partnera rozesílku vložky do DL letáku v nákladu 55. 000 ks a Partner se zavazuje ve prospěch HDK zajistit občerstvení na raut premiéry operety Veselá vdova v Hudebním divadle Karlín 24. ledna 2019.</w:t>
      </w:r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0"/>
      </w:pPr>
      <w:bookmarkStart w:id="7" w:name="bookmark6"/>
      <w:r>
        <w:t>ČI. II.</w:t>
      </w:r>
      <w:bookmarkEnd w:id="7"/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270"/>
      </w:pPr>
      <w:bookmarkStart w:id="8" w:name="bookmark7"/>
      <w:r>
        <w:t>Další povinnosti HDK</w:t>
      </w:r>
      <w:bookmarkEnd w:id="8"/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spacing w:after="290" w:line="278" w:lineRule="exact"/>
        <w:ind w:firstLine="0"/>
      </w:pPr>
      <w:r>
        <w:t>HDK se dále zavazuje zajistit vklad vložky do jednotlivých DL letáků a rozeslat je v pravidelné rozesílce letáků, která je stanovena na termín 31. ledna 2019.</w:t>
      </w:r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0"/>
      </w:pPr>
      <w:bookmarkStart w:id="9" w:name="bookmark8"/>
      <w:r>
        <w:t>ČI. III.</w:t>
      </w:r>
      <w:bookmarkEnd w:id="9"/>
    </w:p>
    <w:p w:rsidR="00557B9E" w:rsidRDefault="00FF173B">
      <w:pPr>
        <w:pStyle w:val="Heading10"/>
        <w:framePr w:w="9134" w:h="11363" w:hRule="exact" w:wrap="none" w:vAnchor="page" w:hAnchor="page" w:x="1321" w:y="1902"/>
        <w:shd w:val="clear" w:color="auto" w:fill="auto"/>
        <w:spacing w:after="270"/>
      </w:pPr>
      <w:bookmarkStart w:id="10" w:name="bookmark9"/>
      <w:r>
        <w:t>Další povinnosti Partnera</w:t>
      </w:r>
      <w:bookmarkEnd w:id="10"/>
    </w:p>
    <w:p w:rsidR="00557B9E" w:rsidRDefault="00FF173B">
      <w:pPr>
        <w:pStyle w:val="Bodytext20"/>
        <w:framePr w:w="9134" w:h="11363" w:hRule="exact" w:wrap="none" w:vAnchor="page" w:hAnchor="page" w:x="1321" w:y="1902"/>
        <w:shd w:val="clear" w:color="auto" w:fill="auto"/>
        <w:spacing w:line="278" w:lineRule="exact"/>
        <w:ind w:firstLine="0"/>
      </w:pPr>
      <w:r>
        <w:t>Partner se zavazuje dodat svých 55. 000 ks vložek ve formátu DL, a to nejpozději 25. ledna 2019.</w:t>
      </w:r>
    </w:p>
    <w:p w:rsidR="00557B9E" w:rsidRDefault="00FF173B">
      <w:pPr>
        <w:pStyle w:val="Heading10"/>
        <w:framePr w:w="9134" w:h="1711" w:hRule="exact" w:wrap="none" w:vAnchor="page" w:hAnchor="page" w:x="1321" w:y="13478"/>
        <w:shd w:val="clear" w:color="auto" w:fill="auto"/>
        <w:spacing w:after="0" w:line="274" w:lineRule="exact"/>
      </w:pPr>
      <w:bookmarkStart w:id="11" w:name="bookmark10"/>
      <w:r>
        <w:t>ČI. IV.</w:t>
      </w:r>
      <w:bookmarkEnd w:id="11"/>
    </w:p>
    <w:p w:rsidR="00557B9E" w:rsidRDefault="00FF173B">
      <w:pPr>
        <w:pStyle w:val="Heading10"/>
        <w:framePr w:w="9134" w:h="1711" w:hRule="exact" w:wrap="none" w:vAnchor="page" w:hAnchor="page" w:x="1321" w:y="13478"/>
        <w:shd w:val="clear" w:color="auto" w:fill="auto"/>
        <w:spacing w:after="0" w:line="274" w:lineRule="exact"/>
      </w:pPr>
      <w:bookmarkStart w:id="12" w:name="bookmark11"/>
      <w:r>
        <w:t>Hodnota plnění</w:t>
      </w:r>
      <w:bookmarkEnd w:id="12"/>
    </w:p>
    <w:p w:rsidR="00557B9E" w:rsidRDefault="00FF173B">
      <w:pPr>
        <w:pStyle w:val="Heading10"/>
        <w:framePr w:w="9134" w:h="1711" w:hRule="exact" w:wrap="none" w:vAnchor="page" w:hAnchor="page" w:x="1321" w:y="13478"/>
        <w:shd w:val="clear" w:color="auto" w:fill="auto"/>
        <w:spacing w:line="274" w:lineRule="exact"/>
      </w:pPr>
      <w:bookmarkStart w:id="13" w:name="bookmark12"/>
      <w:r>
        <w:t>Cena služeb a platební podmínky</w:t>
      </w:r>
      <w:bookmarkEnd w:id="13"/>
    </w:p>
    <w:p w:rsidR="00557B9E" w:rsidRDefault="00FF173B">
      <w:pPr>
        <w:pStyle w:val="Bodytext20"/>
        <w:framePr w:w="9134" w:h="1711" w:hRule="exact" w:wrap="none" w:vAnchor="page" w:hAnchor="page" w:x="1321" w:y="13478"/>
        <w:shd w:val="clear" w:color="auto" w:fill="auto"/>
        <w:ind w:firstLine="0"/>
      </w:pPr>
      <w:r>
        <w:t xml:space="preserve">Smluvní strany se dohodly, že cena plnění, které HDK poskytne Partnerovi bude činit </w:t>
      </w:r>
      <w:proofErr w:type="spellStart"/>
      <w:r w:rsidR="00966D11">
        <w:rPr>
          <w:rStyle w:val="Bodytext21"/>
          <w:color w:val="auto"/>
        </w:rPr>
        <w:t>xx</w:t>
      </w:r>
      <w:proofErr w:type="spellEnd"/>
      <w:r>
        <w:rPr>
          <w:rStyle w:val="Bodytext2115pt"/>
        </w:rPr>
        <w:t xml:space="preserve"> </w:t>
      </w:r>
      <w:r>
        <w:t xml:space="preserve">Kč (slovy: </w:t>
      </w:r>
      <w:proofErr w:type="spellStart"/>
      <w:r w:rsidR="00966D11">
        <w:t>xx</w:t>
      </w:r>
      <w:proofErr w:type="spellEnd"/>
      <w:r w:rsidR="00034EA4">
        <w:t xml:space="preserve"> </w:t>
      </w:r>
      <w:r>
        <w:t>korun českých) včetně platné sazby DPH a</w:t>
      </w:r>
    </w:p>
    <w:p w:rsidR="00557B9E" w:rsidRDefault="00557B9E">
      <w:pPr>
        <w:rPr>
          <w:sz w:val="2"/>
          <w:szCs w:val="2"/>
        </w:rPr>
        <w:sectPr w:rsidR="00557B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spacing w:after="286"/>
        <w:ind w:firstLine="0"/>
      </w:pPr>
      <w:r>
        <w:lastRenderedPageBreak/>
        <w:t xml:space="preserve">cena plnění, které Partner poskytne HDK bude činit maximálně </w:t>
      </w:r>
      <w:proofErr w:type="spellStart"/>
      <w:r w:rsidR="00966D11">
        <w:t>xx</w:t>
      </w:r>
      <w:proofErr w:type="spellEnd"/>
      <w:r>
        <w:t xml:space="preserve"> Kč (slovy: </w:t>
      </w:r>
      <w:proofErr w:type="spellStart"/>
      <w:r w:rsidR="00966D11">
        <w:t>xx</w:t>
      </w:r>
      <w:proofErr w:type="spellEnd"/>
      <w:r>
        <w:t xml:space="preserve"> korun českých) včetně platné sazby DPH. Smluvní strany vystaví na tyto částku příslušné daňové doklady a odvedou z těchto částek daň z přidané hodnoty. Vzájemné pohledávky smluvních strany budou vzájemně započteny ve výši </w:t>
      </w:r>
      <w:proofErr w:type="spellStart"/>
      <w:r w:rsidR="00966D11">
        <w:t>xx</w:t>
      </w:r>
      <w:proofErr w:type="spellEnd"/>
      <w:r>
        <w:rPr>
          <w:rStyle w:val="Bodytext22"/>
        </w:rPr>
        <w:t xml:space="preserve"> </w:t>
      </w:r>
      <w:r>
        <w:t xml:space="preserve">Kč, a to nejpozději k 28.2.2019 a příslušné daňové doklady budou obsahovat doložku: „Kompenzace </w:t>
      </w:r>
      <w:r w:rsidR="006416D4">
        <w:t>–</w:t>
      </w:r>
      <w:r>
        <w:t xml:space="preserve"> neproplácet</w:t>
      </w:r>
      <w:r w:rsidR="006416D4">
        <w:t>“</w:t>
      </w:r>
      <w:r>
        <w:t>. Zbývající nezapočtená část bude HDK uhrazena na účet Partnera.</w:t>
      </w:r>
    </w:p>
    <w:p w:rsidR="00557B9E" w:rsidRDefault="00FF173B">
      <w:pPr>
        <w:pStyle w:val="Heading10"/>
        <w:framePr w:w="9163" w:h="6950" w:hRule="exact" w:wrap="none" w:vAnchor="page" w:hAnchor="page" w:x="1306" w:y="1360"/>
        <w:shd w:val="clear" w:color="auto" w:fill="auto"/>
        <w:spacing w:after="0"/>
        <w:ind w:left="20"/>
      </w:pPr>
      <w:bookmarkStart w:id="14" w:name="bookmark13"/>
      <w:r>
        <w:t>ČI. V.</w:t>
      </w:r>
      <w:bookmarkEnd w:id="14"/>
    </w:p>
    <w:p w:rsidR="00557B9E" w:rsidRDefault="00FF173B">
      <w:pPr>
        <w:pStyle w:val="Heading10"/>
        <w:framePr w:w="9163" w:h="6950" w:hRule="exact" w:wrap="none" w:vAnchor="page" w:hAnchor="page" w:x="1306" w:y="1360"/>
        <w:shd w:val="clear" w:color="auto" w:fill="auto"/>
        <w:spacing w:after="274"/>
        <w:ind w:left="20"/>
      </w:pPr>
      <w:bookmarkStart w:id="15" w:name="bookmark14"/>
      <w:r>
        <w:t>Jednání za smluvní strany</w:t>
      </w:r>
      <w:bookmarkEnd w:id="15"/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spacing w:after="286"/>
        <w:ind w:firstLine="0"/>
      </w:pPr>
      <w:r>
        <w:t>K jednání ve věci plnění této smlouvy jsou mimo statutárních orgánů smluvních stran oprávněni za:</w:t>
      </w:r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tabs>
          <w:tab w:val="left" w:pos="2085"/>
        </w:tabs>
        <w:spacing w:line="266" w:lineRule="exact"/>
        <w:ind w:left="400" w:firstLine="0"/>
        <w:jc w:val="both"/>
      </w:pPr>
      <w:r>
        <w:t>HDK:</w:t>
      </w:r>
      <w:r>
        <w:tab/>
        <w:t>Hana Urbánková</w:t>
      </w:r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spacing w:after="280" w:line="266" w:lineRule="exact"/>
        <w:ind w:left="20" w:firstLine="0"/>
        <w:jc w:val="center"/>
      </w:pPr>
      <w:r>
        <w:t xml:space="preserve">tel.: 602 533 200 e-mail: </w:t>
      </w:r>
      <w:hyperlink r:id="rId7" w:history="1">
        <w:r>
          <w:rPr>
            <w:lang w:val="en-US" w:eastAsia="en-US" w:bidi="en-US"/>
          </w:rPr>
          <w:t>hana.urbankova@hdk.cz</w:t>
        </w:r>
      </w:hyperlink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tabs>
          <w:tab w:val="left" w:pos="2085"/>
        </w:tabs>
        <w:spacing w:line="266" w:lineRule="exact"/>
        <w:ind w:left="400" w:firstLine="0"/>
        <w:jc w:val="both"/>
      </w:pPr>
      <w:r>
        <w:t>Partner:</w:t>
      </w:r>
      <w:r>
        <w:tab/>
        <w:t>Jana Bendová,</w:t>
      </w:r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spacing w:after="280" w:line="266" w:lineRule="exact"/>
        <w:ind w:left="20" w:firstLine="0"/>
        <w:jc w:val="center"/>
      </w:pPr>
      <w:r>
        <w:t xml:space="preserve">tel.: 773 589 226, e-mail: </w:t>
      </w:r>
      <w:hyperlink r:id="rId8" w:history="1">
        <w:r>
          <w:rPr>
            <w:lang w:val="en-US" w:eastAsia="en-US" w:bidi="en-US"/>
          </w:rPr>
          <w:t>jana.bendova@theatro.cz</w:t>
        </w:r>
      </w:hyperlink>
    </w:p>
    <w:p w:rsidR="00557B9E" w:rsidRDefault="00FF173B">
      <w:pPr>
        <w:pStyle w:val="Heading10"/>
        <w:framePr w:w="9163" w:h="6950" w:hRule="exact" w:wrap="none" w:vAnchor="page" w:hAnchor="page" w:x="1306" w:y="1360"/>
        <w:shd w:val="clear" w:color="auto" w:fill="auto"/>
        <w:spacing w:after="0"/>
        <w:ind w:left="20"/>
      </w:pPr>
      <w:bookmarkStart w:id="16" w:name="bookmark15"/>
      <w:r>
        <w:t>ČI. VI.</w:t>
      </w:r>
      <w:bookmarkEnd w:id="16"/>
    </w:p>
    <w:p w:rsidR="00557B9E" w:rsidRDefault="00FF173B">
      <w:pPr>
        <w:pStyle w:val="Heading10"/>
        <w:framePr w:w="9163" w:h="6950" w:hRule="exact" w:wrap="none" w:vAnchor="page" w:hAnchor="page" w:x="1306" w:y="1360"/>
        <w:shd w:val="clear" w:color="auto" w:fill="auto"/>
        <w:spacing w:after="274"/>
        <w:ind w:left="20"/>
      </w:pPr>
      <w:bookmarkStart w:id="17" w:name="bookmark16"/>
      <w:r>
        <w:t>Platnost a účinnost smlouvy</w:t>
      </w:r>
      <w:bookmarkEnd w:id="17"/>
    </w:p>
    <w:p w:rsidR="00557B9E" w:rsidRDefault="00FF173B">
      <w:pPr>
        <w:pStyle w:val="Bodytext20"/>
        <w:framePr w:w="9163" w:h="6950" w:hRule="exact" w:wrap="none" w:vAnchor="page" w:hAnchor="page" w:x="1306" w:y="1360"/>
        <w:shd w:val="clear" w:color="auto" w:fill="auto"/>
        <w:ind w:firstLine="0"/>
        <w:jc w:val="both"/>
      </w:pPr>
      <w:r>
        <w:t>Tato smlouva nabývá platnosti a účinnosti dnem jejího uveřejnění dle Zákona o registru smluv č. 340/2015 Sb. oběma smluvními stranami a uzavírá se na dobu určitou, a to do 28.2.2019.</w:t>
      </w:r>
    </w:p>
    <w:p w:rsidR="00557B9E" w:rsidRDefault="00FF173B">
      <w:pPr>
        <w:pStyle w:val="Heading10"/>
        <w:framePr w:w="9163" w:h="3641" w:hRule="exact" w:wrap="none" w:vAnchor="page" w:hAnchor="page" w:x="1306" w:y="8529"/>
        <w:shd w:val="clear" w:color="auto" w:fill="auto"/>
        <w:spacing w:after="0"/>
        <w:ind w:left="20"/>
      </w:pPr>
      <w:bookmarkStart w:id="18" w:name="bookmark17"/>
      <w:r>
        <w:t>ČI. VII.</w:t>
      </w:r>
      <w:bookmarkEnd w:id="18"/>
    </w:p>
    <w:p w:rsidR="00557B9E" w:rsidRDefault="00FF173B">
      <w:pPr>
        <w:pStyle w:val="Heading10"/>
        <w:framePr w:w="9163" w:h="3641" w:hRule="exact" w:wrap="none" w:vAnchor="page" w:hAnchor="page" w:x="1306" w:y="8529"/>
        <w:shd w:val="clear" w:color="auto" w:fill="auto"/>
        <w:spacing w:after="274"/>
        <w:ind w:left="20"/>
      </w:pPr>
      <w:bookmarkStart w:id="19" w:name="bookmark18"/>
      <w:r>
        <w:t>Ochrana informací</w:t>
      </w:r>
      <w:bookmarkEnd w:id="19"/>
    </w:p>
    <w:p w:rsidR="00557B9E" w:rsidRDefault="00FF173B">
      <w:pPr>
        <w:pStyle w:val="Bodytext20"/>
        <w:framePr w:w="9163" w:h="3641" w:hRule="exact" w:wrap="none" w:vAnchor="page" w:hAnchor="page" w:x="1306" w:y="8529"/>
        <w:numPr>
          <w:ilvl w:val="0"/>
          <w:numId w:val="1"/>
        </w:numPr>
        <w:shd w:val="clear" w:color="auto" w:fill="auto"/>
        <w:tabs>
          <w:tab w:val="left" w:pos="353"/>
        </w:tabs>
        <w:spacing w:after="280"/>
        <w:ind w:left="40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:rsidR="00557B9E" w:rsidRDefault="00FF173B">
      <w:pPr>
        <w:pStyle w:val="Bodytext20"/>
        <w:framePr w:w="9163" w:h="3641" w:hRule="exact" w:wrap="none" w:vAnchor="page" w:hAnchor="page" w:x="1306" w:y="8529"/>
        <w:numPr>
          <w:ilvl w:val="0"/>
          <w:numId w:val="1"/>
        </w:numPr>
        <w:shd w:val="clear" w:color="auto" w:fill="auto"/>
        <w:tabs>
          <w:tab w:val="left" w:pos="354"/>
        </w:tabs>
        <w:ind w:left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557B9E" w:rsidRDefault="00FF173B">
      <w:pPr>
        <w:pStyle w:val="Bodytext20"/>
        <w:framePr w:w="9163" w:h="3641" w:hRule="exact" w:wrap="none" w:vAnchor="page" w:hAnchor="page" w:x="1306" w:y="8529"/>
        <w:numPr>
          <w:ilvl w:val="0"/>
          <w:numId w:val="2"/>
        </w:numPr>
        <w:shd w:val="clear" w:color="auto" w:fill="auto"/>
        <w:tabs>
          <w:tab w:val="left" w:pos="784"/>
        </w:tabs>
        <w:ind w:left="400" w:firstLine="0"/>
        <w:jc w:val="both"/>
      </w:pPr>
      <w:r>
        <w:t>mají účastníci této smlouvy opačnou povinnost stanovenou zákonem a/nebo</w:t>
      </w:r>
    </w:p>
    <w:p w:rsidR="00557B9E" w:rsidRDefault="00FF173B">
      <w:pPr>
        <w:pStyle w:val="Bodytext20"/>
        <w:framePr w:w="9163" w:h="3641" w:hRule="exact" w:wrap="none" w:vAnchor="page" w:hAnchor="page" w:x="1306" w:y="8529"/>
        <w:numPr>
          <w:ilvl w:val="0"/>
          <w:numId w:val="2"/>
        </w:numPr>
        <w:shd w:val="clear" w:color="auto" w:fill="auto"/>
        <w:tabs>
          <w:tab w:val="left" w:pos="792"/>
        </w:tabs>
        <w:ind w:left="400" w:firstLine="0"/>
        <w:jc w:val="both"/>
      </w:pPr>
      <w:r>
        <w:t>takové informace sdělí osobám, které mají ze zákona povinnost mlčenlivosti a/nebo</w:t>
      </w:r>
    </w:p>
    <w:p w:rsidR="00557B9E" w:rsidRDefault="00FF173B">
      <w:pPr>
        <w:pStyle w:val="Bodytext20"/>
        <w:framePr w:w="9163" w:h="3641" w:hRule="exact" w:wrap="none" w:vAnchor="page" w:hAnchor="page" w:x="1306" w:y="8529"/>
        <w:numPr>
          <w:ilvl w:val="0"/>
          <w:numId w:val="2"/>
        </w:numPr>
        <w:shd w:val="clear" w:color="auto" w:fill="auto"/>
        <w:tabs>
          <w:tab w:val="left" w:pos="792"/>
        </w:tabs>
        <w:ind w:left="400" w:firstLine="0"/>
        <w:jc w:val="both"/>
      </w:pPr>
      <w:r>
        <w:t>se takové informace stanou veřejně známými či dostupnými.</w:t>
      </w:r>
    </w:p>
    <w:p w:rsidR="00557B9E" w:rsidRDefault="00FF173B">
      <w:pPr>
        <w:pStyle w:val="Heading10"/>
        <w:framePr w:w="9163" w:h="2258" w:hRule="exact" w:wrap="none" w:vAnchor="page" w:hAnchor="page" w:x="1306" w:y="12667"/>
        <w:shd w:val="clear" w:color="auto" w:fill="auto"/>
        <w:spacing w:after="0"/>
        <w:ind w:left="20"/>
      </w:pPr>
      <w:bookmarkStart w:id="20" w:name="bookmark19"/>
      <w:r>
        <w:t>ČI. VIII.</w:t>
      </w:r>
      <w:bookmarkEnd w:id="20"/>
    </w:p>
    <w:p w:rsidR="00557B9E" w:rsidRDefault="00FF173B">
      <w:pPr>
        <w:pStyle w:val="Heading10"/>
        <w:framePr w:w="9163" w:h="2258" w:hRule="exact" w:wrap="none" w:vAnchor="page" w:hAnchor="page" w:x="1306" w:y="12667"/>
        <w:shd w:val="clear" w:color="auto" w:fill="auto"/>
        <w:spacing w:after="274"/>
        <w:ind w:left="20"/>
      </w:pPr>
      <w:bookmarkStart w:id="21" w:name="bookmark20"/>
      <w:r>
        <w:t>Salvátorská klauzule</w:t>
      </w:r>
      <w:bookmarkEnd w:id="21"/>
    </w:p>
    <w:p w:rsidR="00557B9E" w:rsidRDefault="00FF173B">
      <w:pPr>
        <w:pStyle w:val="Bodytext20"/>
        <w:framePr w:w="9163" w:h="2258" w:hRule="exact" w:wrap="none" w:vAnchor="page" w:hAnchor="page" w:x="1306" w:y="12667"/>
        <w:shd w:val="clear" w:color="auto" w:fill="auto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557B9E" w:rsidRDefault="00557B9E">
      <w:pPr>
        <w:rPr>
          <w:sz w:val="2"/>
          <w:szCs w:val="2"/>
        </w:rPr>
        <w:sectPr w:rsidR="00557B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7B9E" w:rsidRDefault="00E86A4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15pt;margin-top:410.55pt;width:135.6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557B9E" w:rsidRDefault="00FF173B">
      <w:pPr>
        <w:pStyle w:val="Heading10"/>
        <w:framePr w:w="9144" w:h="4192" w:hRule="exact" w:wrap="none" w:vAnchor="page" w:hAnchor="page" w:x="1316" w:y="2188"/>
        <w:shd w:val="clear" w:color="auto" w:fill="auto"/>
        <w:spacing w:after="0"/>
        <w:ind w:right="20"/>
      </w:pPr>
      <w:bookmarkStart w:id="22" w:name="bookmark21"/>
      <w:r>
        <w:t>ČI. IX.</w:t>
      </w:r>
      <w:bookmarkEnd w:id="22"/>
    </w:p>
    <w:p w:rsidR="00557B9E" w:rsidRDefault="00FF173B">
      <w:pPr>
        <w:pStyle w:val="Heading10"/>
        <w:framePr w:w="9144" w:h="4192" w:hRule="exact" w:wrap="none" w:vAnchor="page" w:hAnchor="page" w:x="1316" w:y="2188"/>
        <w:shd w:val="clear" w:color="auto" w:fill="auto"/>
        <w:spacing w:after="274"/>
        <w:ind w:right="20"/>
      </w:pPr>
      <w:bookmarkStart w:id="23" w:name="bookmark22"/>
      <w:r>
        <w:t>Závěrečná ustanovení</w:t>
      </w:r>
      <w:bookmarkEnd w:id="23"/>
    </w:p>
    <w:p w:rsidR="00557B9E" w:rsidRDefault="00FF173B">
      <w:pPr>
        <w:pStyle w:val="Bodytext20"/>
        <w:framePr w:w="9144" w:h="4192" w:hRule="exact" w:wrap="none" w:vAnchor="page" w:hAnchor="page" w:x="1316" w:y="2188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380" w:hanging="380"/>
        <w:jc w:val="both"/>
      </w:pPr>
      <w:r>
        <w:t>Veškeré změny či doplňky k</w:t>
      </w:r>
      <w:r w:rsidR="006416D4">
        <w:t xml:space="preserve"> </w:t>
      </w:r>
      <w:r>
        <w:t>této smlouvě je možné činit pouze prostřednictvím písemných dodatků.</w:t>
      </w:r>
    </w:p>
    <w:p w:rsidR="00557B9E" w:rsidRDefault="00FF173B">
      <w:pPr>
        <w:pStyle w:val="Bodytext20"/>
        <w:framePr w:w="9144" w:h="4192" w:hRule="exact" w:wrap="none" w:vAnchor="page" w:hAnchor="page" w:x="1316" w:y="2188"/>
        <w:numPr>
          <w:ilvl w:val="0"/>
          <w:numId w:val="3"/>
        </w:numPr>
        <w:shd w:val="clear" w:color="auto" w:fill="auto"/>
        <w:tabs>
          <w:tab w:val="left" w:pos="354"/>
        </w:tabs>
        <w:spacing w:after="276"/>
        <w:ind w:left="380" w:hanging="38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:rsidR="00557B9E" w:rsidRDefault="00FF173B">
      <w:pPr>
        <w:pStyle w:val="Bodytext20"/>
        <w:framePr w:w="9144" w:h="4192" w:hRule="exact" w:wrap="none" w:vAnchor="page" w:hAnchor="page" w:x="1316" w:y="2188"/>
        <w:numPr>
          <w:ilvl w:val="0"/>
          <w:numId w:val="3"/>
        </w:numPr>
        <w:shd w:val="clear" w:color="auto" w:fill="auto"/>
        <w:tabs>
          <w:tab w:val="left" w:pos="354"/>
        </w:tabs>
        <w:spacing w:after="284" w:line="278" w:lineRule="exact"/>
        <w:ind w:left="380" w:hanging="380"/>
        <w:jc w:val="both"/>
      </w:pPr>
      <w:r>
        <w:t>Tato smlouva se vyhotovuje ve dvou stejnopisech, přičemž každá ze smluvních stran obdrží po jednom vyhotovení.</w:t>
      </w:r>
    </w:p>
    <w:p w:rsidR="00557B9E" w:rsidRDefault="00FF173B">
      <w:pPr>
        <w:pStyle w:val="Bodytext20"/>
        <w:framePr w:w="9144" w:h="4192" w:hRule="exact" w:wrap="none" w:vAnchor="page" w:hAnchor="page" w:x="1316" w:y="2188"/>
        <w:numPr>
          <w:ilvl w:val="0"/>
          <w:numId w:val="3"/>
        </w:numPr>
        <w:shd w:val="clear" w:color="auto" w:fill="auto"/>
        <w:tabs>
          <w:tab w:val="left" w:pos="354"/>
        </w:tabs>
        <w:ind w:left="380" w:hanging="380"/>
        <w:jc w:val="both"/>
      </w:pPr>
      <w:r>
        <w:t>Smluvní strany prohlašují, že si smlouvu přečetly, s jejím zněním souhlasí a na důkaz pravé a svobodné vůle připojují níže, jakož i na každou stranu této smlouvy své podpisy.</w:t>
      </w:r>
    </w:p>
    <w:p w:rsidR="00557B9E" w:rsidRDefault="00FF173B">
      <w:pPr>
        <w:pStyle w:val="Bodytext20"/>
        <w:framePr w:wrap="none" w:vAnchor="page" w:hAnchor="page" w:x="1311" w:y="7159"/>
        <w:shd w:val="clear" w:color="auto" w:fill="auto"/>
        <w:spacing w:line="266" w:lineRule="exact"/>
        <w:ind w:firstLine="0"/>
      </w:pPr>
      <w:r>
        <w:t>V Praze, dne 22. 1.2019</w:t>
      </w:r>
    </w:p>
    <w:p w:rsidR="00557B9E" w:rsidRDefault="00FF173B">
      <w:pPr>
        <w:pStyle w:val="Bodytext20"/>
        <w:framePr w:wrap="none" w:vAnchor="page" w:hAnchor="page" w:x="1316" w:y="7154"/>
        <w:shd w:val="clear" w:color="auto" w:fill="auto"/>
        <w:spacing w:line="266" w:lineRule="exact"/>
        <w:ind w:left="6745" w:right="341" w:hanging="380"/>
        <w:jc w:val="both"/>
      </w:pPr>
      <w:r>
        <w:t>V Praze, dne 22. 1. 2019</w:t>
      </w:r>
    </w:p>
    <w:p w:rsidR="00557B9E" w:rsidRDefault="00FF173B" w:rsidP="005D74A1">
      <w:pPr>
        <w:pStyle w:val="Bodytext20"/>
        <w:framePr w:w="8056" w:wrap="none" w:vAnchor="page" w:hAnchor="page" w:x="2262" w:y="8258"/>
        <w:shd w:val="clear" w:color="auto" w:fill="auto"/>
        <w:spacing w:line="266" w:lineRule="exact"/>
        <w:ind w:firstLine="0"/>
      </w:pPr>
      <w:r>
        <w:t>HDK</w:t>
      </w:r>
      <w:r w:rsidR="005D74A1">
        <w:t xml:space="preserve">                                                                                  Partner</w:t>
      </w:r>
    </w:p>
    <w:p w:rsidR="00557B9E" w:rsidRDefault="00557B9E">
      <w:pPr>
        <w:rPr>
          <w:sz w:val="2"/>
          <w:szCs w:val="2"/>
        </w:rPr>
      </w:pPr>
    </w:p>
    <w:sectPr w:rsidR="00557B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48" w:rsidRDefault="00E86A48">
      <w:r>
        <w:separator/>
      </w:r>
    </w:p>
  </w:endnote>
  <w:endnote w:type="continuationSeparator" w:id="0">
    <w:p w:rsidR="00E86A48" w:rsidRDefault="00E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48" w:rsidRDefault="00E86A48"/>
  </w:footnote>
  <w:footnote w:type="continuationSeparator" w:id="0">
    <w:p w:rsidR="00E86A48" w:rsidRDefault="00E86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744B"/>
    <w:multiLevelType w:val="multilevel"/>
    <w:tmpl w:val="47D29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61EF9"/>
    <w:multiLevelType w:val="multilevel"/>
    <w:tmpl w:val="C13A8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D3C25"/>
    <w:multiLevelType w:val="multilevel"/>
    <w:tmpl w:val="18A6DF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B9E"/>
    <w:rsid w:val="00034EA4"/>
    <w:rsid w:val="00191803"/>
    <w:rsid w:val="001D62ED"/>
    <w:rsid w:val="0021798A"/>
    <w:rsid w:val="00557B9E"/>
    <w:rsid w:val="005D74A1"/>
    <w:rsid w:val="006416D4"/>
    <w:rsid w:val="007521E1"/>
    <w:rsid w:val="008F5F64"/>
    <w:rsid w:val="00966D11"/>
    <w:rsid w:val="009B0282"/>
    <w:rsid w:val="00E86A48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786DCEA"/>
  <w15:docId w15:val="{43BF9D7E-7318-4591-84D9-792314B5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/>
      <w:iCs/>
      <w:smallCaps w:val="0"/>
      <w:strike w:val="0"/>
      <w:u w:val="none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8EC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8EC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5pt0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8EC8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Bodytext2115pt1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238EC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4F5F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66" w:lineRule="exact"/>
      <w:jc w:val="center"/>
      <w:outlineLvl w:val="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00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74" w:lineRule="exact"/>
    </w:pPr>
    <w:rPr>
      <w:b/>
      <w:bCs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52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ndova@theat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.urbankova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3675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11</cp:revision>
  <dcterms:created xsi:type="dcterms:W3CDTF">2019-02-22T12:31:00Z</dcterms:created>
  <dcterms:modified xsi:type="dcterms:W3CDTF">2019-02-22T22:49:00Z</dcterms:modified>
</cp:coreProperties>
</file>