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02762" w14:textId="77777777" w:rsidR="004D57D0" w:rsidRPr="009319BD" w:rsidRDefault="00BE69D0" w:rsidP="004D57D0">
      <w:pPr>
        <w:spacing w:line="276" w:lineRule="auto"/>
        <w:jc w:val="center"/>
        <w:rPr>
          <w:b/>
        </w:rPr>
      </w:pPr>
      <w:r>
        <w:rPr>
          <w:b/>
        </w:rPr>
        <w:t>Smlouva o dílo</w:t>
      </w:r>
    </w:p>
    <w:p w14:paraId="0C33BD49" w14:textId="2F5EC741" w:rsidR="004D57D0" w:rsidRDefault="001B3AA7" w:rsidP="004D57D0">
      <w:pPr>
        <w:spacing w:line="276" w:lineRule="auto"/>
        <w:jc w:val="center"/>
        <w:rPr>
          <w:b/>
        </w:rPr>
      </w:pPr>
      <w:r>
        <w:rPr>
          <w:b/>
        </w:rPr>
        <w:t>č.</w:t>
      </w:r>
      <w:r w:rsidR="004D57D0">
        <w:rPr>
          <w:b/>
        </w:rPr>
        <w:t xml:space="preserve">: </w:t>
      </w:r>
    </w:p>
    <w:p w14:paraId="37F15577" w14:textId="339B34F6" w:rsidR="00A56524" w:rsidRDefault="00270755" w:rsidP="00270755">
      <w:pPr>
        <w:jc w:val="center"/>
        <w:rPr>
          <w:b/>
          <w:color w:val="000000" w:themeColor="text1"/>
        </w:rPr>
      </w:pPr>
      <w:r w:rsidRPr="00270755">
        <w:rPr>
          <w:b/>
          <w:color w:val="000000"/>
        </w:rPr>
        <w:t xml:space="preserve">uzavřená podle ustanovení § 2586 násl. zákona č. 89/2012 Sb., občanský zákoník (dále jen „občanský zákoník“) a ustanovení § </w:t>
      </w:r>
      <w:r>
        <w:rPr>
          <w:b/>
          <w:color w:val="000000" w:themeColor="text1"/>
        </w:rPr>
        <w:t>18</w:t>
      </w:r>
      <w:r w:rsidRPr="00270755">
        <w:rPr>
          <w:b/>
          <w:color w:val="000000"/>
        </w:rPr>
        <w:t xml:space="preserve"> </w:t>
      </w:r>
      <w:proofErr w:type="spellStart"/>
      <w:r w:rsidRPr="00270755">
        <w:rPr>
          <w:b/>
          <w:color w:val="000000"/>
        </w:rPr>
        <w:t>odst</w:t>
      </w:r>
      <w:proofErr w:type="spellEnd"/>
      <w:r>
        <w:rPr>
          <w:b/>
          <w:color w:val="000000" w:themeColor="text1"/>
        </w:rPr>
        <w:t xml:space="preserve"> </w:t>
      </w:r>
      <w:r w:rsidR="001F3023">
        <w:rPr>
          <w:b/>
          <w:color w:val="000000" w:themeColor="text1"/>
        </w:rPr>
        <w:t xml:space="preserve">5 </w:t>
      </w:r>
      <w:r w:rsidRPr="00270755">
        <w:rPr>
          <w:b/>
          <w:color w:val="000000"/>
        </w:rPr>
        <w:t>zákona č. 137/2006 Sb., o veřejných zakázkách, ve znění pozdějších předpisů</w:t>
      </w:r>
    </w:p>
    <w:p w14:paraId="406875B2" w14:textId="77777777" w:rsidR="00270755" w:rsidRPr="00270755" w:rsidRDefault="004A100D" w:rsidP="00270755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BB069" wp14:editId="63DB8DB3">
                <wp:simplePos x="0" y="0"/>
                <wp:positionH relativeFrom="column">
                  <wp:posOffset>147320</wp:posOffset>
                </wp:positionH>
                <wp:positionV relativeFrom="paragraph">
                  <wp:posOffset>119380</wp:posOffset>
                </wp:positionV>
                <wp:extent cx="5695950" cy="0"/>
                <wp:effectExtent l="13970" t="5080" r="508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236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.6pt;margin-top:9.4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"/>
            </w:pict>
          </mc:Fallback>
        </mc:AlternateContent>
      </w:r>
    </w:p>
    <w:p w14:paraId="027801BD" w14:textId="77777777" w:rsidR="00270755" w:rsidRDefault="00270755" w:rsidP="00BD66D5">
      <w:pPr>
        <w:ind w:left="283"/>
        <w:jc w:val="center"/>
        <w:rPr>
          <w:b/>
        </w:rPr>
      </w:pPr>
    </w:p>
    <w:p w14:paraId="50E75B7E" w14:textId="77777777" w:rsidR="00806084" w:rsidRDefault="00806084" w:rsidP="00BD66D5">
      <w:pPr>
        <w:ind w:left="283"/>
        <w:jc w:val="center"/>
        <w:rPr>
          <w:b/>
        </w:rPr>
      </w:pPr>
      <w:r>
        <w:rPr>
          <w:b/>
        </w:rPr>
        <w:t>Smluvní strany</w:t>
      </w:r>
    </w:p>
    <w:p w14:paraId="56ADD494" w14:textId="77777777" w:rsidR="00806084" w:rsidRDefault="00806084">
      <w:pPr>
        <w:jc w:val="center"/>
        <w:rPr>
          <w:b/>
        </w:rPr>
      </w:pPr>
    </w:p>
    <w:p w14:paraId="2B61E786" w14:textId="77777777" w:rsidR="00767016" w:rsidRDefault="00767016" w:rsidP="00094F72">
      <w:pPr>
        <w:pStyle w:val="Nadpis1"/>
        <w:spacing w:line="276" w:lineRule="auto"/>
        <w:ind w:left="1022" w:hanging="1022"/>
        <w:jc w:val="left"/>
        <w:rPr>
          <w:b/>
          <w:bCs/>
          <w:color w:val="000000" w:themeColor="text1"/>
          <w:szCs w:val="24"/>
        </w:rPr>
      </w:pPr>
    </w:p>
    <w:p w14:paraId="443D62C9" w14:textId="4E5A8016" w:rsidR="00094F72" w:rsidRPr="000F4B8A" w:rsidRDefault="00094F72" w:rsidP="00094F72">
      <w:pPr>
        <w:pStyle w:val="Nadpis1"/>
        <w:spacing w:line="276" w:lineRule="auto"/>
        <w:ind w:left="1022" w:hanging="1022"/>
        <w:jc w:val="left"/>
        <w:rPr>
          <w:b/>
          <w:color w:val="FF0000"/>
          <w:szCs w:val="24"/>
        </w:rPr>
      </w:pPr>
      <w:r w:rsidRPr="002323DC">
        <w:rPr>
          <w:b/>
          <w:bCs/>
          <w:color w:val="000000" w:themeColor="text1"/>
          <w:szCs w:val="24"/>
        </w:rPr>
        <w:t>V</w:t>
      </w:r>
      <w:r w:rsidRPr="002323DC">
        <w:rPr>
          <w:b/>
          <w:color w:val="000000" w:themeColor="text1"/>
          <w:szCs w:val="24"/>
        </w:rPr>
        <w:t>ýzkumný ústav meliorací a ochrany půdy, v. v. i.</w:t>
      </w:r>
      <w:r>
        <w:rPr>
          <w:b/>
          <w:color w:val="000000" w:themeColor="text1"/>
          <w:szCs w:val="24"/>
        </w:rPr>
        <w:t>,</w:t>
      </w:r>
      <w:r w:rsidRPr="001F302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br/>
      </w:r>
    </w:p>
    <w:p w14:paraId="02038F6A" w14:textId="77777777" w:rsidR="00094F72" w:rsidRPr="002323DC" w:rsidRDefault="00094F72" w:rsidP="00094F72">
      <w:pPr>
        <w:spacing w:line="276" w:lineRule="auto"/>
        <w:rPr>
          <w:color w:val="000000" w:themeColor="text1"/>
        </w:rPr>
      </w:pPr>
      <w:r w:rsidRPr="002323DC">
        <w:rPr>
          <w:color w:val="000000" w:themeColor="text1"/>
        </w:rPr>
        <w:t>se sídlem: Žabovřeská 250, 156 27 Praha 5 – Zbraslav</w:t>
      </w:r>
    </w:p>
    <w:p w14:paraId="5DA1998B" w14:textId="77777777" w:rsidR="00094F72" w:rsidRPr="002323DC" w:rsidRDefault="00094F72" w:rsidP="00094F72">
      <w:pPr>
        <w:spacing w:line="276" w:lineRule="auto"/>
        <w:ind w:left="708"/>
        <w:rPr>
          <w:color w:val="000000" w:themeColor="text1"/>
        </w:rPr>
      </w:pPr>
      <w:r w:rsidRPr="002323DC">
        <w:rPr>
          <w:color w:val="000000" w:themeColor="text1"/>
        </w:rPr>
        <w:t xml:space="preserve">     Zapsaný v rejstříku veřejných výzkumných institucí vedeném Ministerstvem</w:t>
      </w:r>
    </w:p>
    <w:p w14:paraId="1B8C40A5" w14:textId="77777777" w:rsidR="00094F72" w:rsidRPr="002323DC" w:rsidRDefault="00094F72" w:rsidP="00094F72">
      <w:pPr>
        <w:spacing w:line="276" w:lineRule="auto"/>
        <w:ind w:left="708"/>
        <w:rPr>
          <w:color w:val="000000" w:themeColor="text1"/>
        </w:rPr>
      </w:pPr>
      <w:r w:rsidRPr="002323DC">
        <w:rPr>
          <w:color w:val="000000" w:themeColor="text1"/>
        </w:rPr>
        <w:t xml:space="preserve">     školství, mládeže a tělovýchovy</w:t>
      </w:r>
    </w:p>
    <w:p w14:paraId="6E98A792" w14:textId="77777777" w:rsidR="00094F72" w:rsidRPr="002323DC" w:rsidRDefault="00094F72" w:rsidP="00094F72">
      <w:pPr>
        <w:spacing w:line="276" w:lineRule="auto"/>
        <w:rPr>
          <w:color w:val="000000" w:themeColor="text1"/>
        </w:rPr>
      </w:pPr>
      <w:r w:rsidRPr="002323DC">
        <w:rPr>
          <w:color w:val="000000" w:themeColor="text1"/>
        </w:rPr>
        <w:t>IČ: 00027049</w:t>
      </w:r>
    </w:p>
    <w:p w14:paraId="71617DA1" w14:textId="77777777" w:rsidR="00094F72" w:rsidRPr="002323DC" w:rsidRDefault="00094F72" w:rsidP="00094F72">
      <w:pPr>
        <w:spacing w:line="276" w:lineRule="auto"/>
        <w:rPr>
          <w:color w:val="000000" w:themeColor="text1"/>
        </w:rPr>
      </w:pPr>
      <w:r w:rsidRPr="002323DC">
        <w:rPr>
          <w:color w:val="000000" w:themeColor="text1"/>
        </w:rPr>
        <w:t>DIČ:</w:t>
      </w:r>
      <w:r>
        <w:rPr>
          <w:color w:val="000000" w:themeColor="text1"/>
        </w:rPr>
        <w:t xml:space="preserve"> </w:t>
      </w:r>
      <w:r w:rsidRPr="002323DC">
        <w:rPr>
          <w:color w:val="000000" w:themeColor="text1"/>
        </w:rPr>
        <w:t>CZ00027049</w:t>
      </w:r>
    </w:p>
    <w:p w14:paraId="441D716A" w14:textId="77777777" w:rsidR="00094F72" w:rsidRPr="002323DC" w:rsidRDefault="00094F72" w:rsidP="00094F72">
      <w:pPr>
        <w:spacing w:line="276" w:lineRule="auto"/>
        <w:rPr>
          <w:color w:val="000000" w:themeColor="text1"/>
        </w:rPr>
      </w:pPr>
      <w:r w:rsidRPr="002323DC">
        <w:rPr>
          <w:color w:val="000000" w:themeColor="text1"/>
        </w:rPr>
        <w:t>Bankovní spojení: Komerční banka, a.s., pobočka Praha 5</w:t>
      </w:r>
    </w:p>
    <w:p w14:paraId="3894C6F3" w14:textId="77777777" w:rsidR="00094F72" w:rsidRPr="002323DC" w:rsidRDefault="00094F72" w:rsidP="00094F72">
      <w:pPr>
        <w:spacing w:line="276" w:lineRule="auto"/>
        <w:ind w:left="1701" w:firstLine="142"/>
        <w:rPr>
          <w:color w:val="000000" w:themeColor="text1"/>
        </w:rPr>
      </w:pPr>
      <w:r w:rsidRPr="002323DC">
        <w:rPr>
          <w:color w:val="000000" w:themeColor="text1"/>
        </w:rPr>
        <w:t>Č. účtu: 24635051/0100</w:t>
      </w:r>
    </w:p>
    <w:p w14:paraId="3EA13125" w14:textId="77777777" w:rsidR="00094F72" w:rsidRPr="002323DC" w:rsidRDefault="00094F72" w:rsidP="00094F72">
      <w:pPr>
        <w:spacing w:line="276" w:lineRule="auto"/>
        <w:ind w:left="2832" w:hanging="2832"/>
        <w:jc w:val="both"/>
        <w:rPr>
          <w:color w:val="000000" w:themeColor="text1"/>
        </w:rPr>
      </w:pPr>
      <w:r w:rsidRPr="002323DC">
        <w:rPr>
          <w:color w:val="000000" w:themeColor="text1"/>
        </w:rPr>
        <w:t>Zastoupená: Ing. Jiřím Hladíkem, Ph.D., ředitelem ústavu</w:t>
      </w:r>
    </w:p>
    <w:p w14:paraId="48E71C40" w14:textId="77777777" w:rsidR="00094F72" w:rsidRPr="002323DC" w:rsidRDefault="00094F72" w:rsidP="00094F72">
      <w:pPr>
        <w:spacing w:line="276" w:lineRule="auto"/>
        <w:rPr>
          <w:iCs/>
          <w:color w:val="000000" w:themeColor="text1"/>
        </w:rPr>
      </w:pPr>
      <w:r w:rsidRPr="002323DC">
        <w:rPr>
          <w:color w:val="000000" w:themeColor="text1"/>
        </w:rPr>
        <w:t xml:space="preserve">Zástupce ve věcech technických </w:t>
      </w:r>
      <w:r w:rsidRPr="002323DC">
        <w:rPr>
          <w:iCs/>
          <w:color w:val="000000" w:themeColor="text1"/>
        </w:rPr>
        <w:t>Ing. Ivan Novotný</w:t>
      </w:r>
      <w:r>
        <w:rPr>
          <w:iCs/>
          <w:color w:val="000000" w:themeColor="text1"/>
        </w:rPr>
        <w:t xml:space="preserve">, pro věcná jednání </w:t>
      </w:r>
      <w:r w:rsidRPr="002323DC">
        <w:rPr>
          <w:iCs/>
          <w:color w:val="000000" w:themeColor="text1"/>
        </w:rPr>
        <w:t>Ing. Martin Mistr, Ph.D.</w:t>
      </w:r>
    </w:p>
    <w:p w14:paraId="6533ABD9" w14:textId="77777777" w:rsidR="00094F72" w:rsidRPr="002323DC" w:rsidRDefault="00094F72" w:rsidP="00094F72">
      <w:pPr>
        <w:rPr>
          <w:i/>
          <w:iCs/>
        </w:rPr>
      </w:pPr>
    </w:p>
    <w:p w14:paraId="295F4A80" w14:textId="69AD5B64" w:rsidR="00E14DB2" w:rsidRPr="00B23558" w:rsidRDefault="00094F72" w:rsidP="00E14DB2">
      <w:r w:rsidRPr="002323DC">
        <w:t xml:space="preserve"> </w:t>
      </w:r>
      <w:r w:rsidR="00E14DB2" w:rsidRPr="002323DC">
        <w:t xml:space="preserve">(dále jen </w:t>
      </w:r>
      <w:r w:rsidR="00E14DB2" w:rsidRPr="00B23558">
        <w:t>„</w:t>
      </w:r>
      <w:r w:rsidR="00E14DB2" w:rsidRPr="00B23558">
        <w:rPr>
          <w:bCs/>
        </w:rPr>
        <w:t>objednatel“</w:t>
      </w:r>
      <w:r w:rsidR="00E14DB2" w:rsidRPr="00B23558">
        <w:t>)</w:t>
      </w:r>
    </w:p>
    <w:p w14:paraId="47B9E000" w14:textId="77777777" w:rsidR="00270755" w:rsidRPr="002323DC" w:rsidRDefault="00270755" w:rsidP="00270755"/>
    <w:p w14:paraId="40D32F20" w14:textId="77777777" w:rsidR="00270755" w:rsidRPr="00B23558" w:rsidRDefault="00270755" w:rsidP="00270755">
      <w:pPr>
        <w:jc w:val="center"/>
        <w:rPr>
          <w:bCs/>
        </w:rPr>
      </w:pPr>
      <w:r w:rsidRPr="00B23558">
        <w:rPr>
          <w:bCs/>
        </w:rPr>
        <w:t>na straně jedné</w:t>
      </w:r>
    </w:p>
    <w:p w14:paraId="65FBD792" w14:textId="77777777" w:rsidR="00767016" w:rsidRDefault="00767016" w:rsidP="00270755">
      <w:pPr>
        <w:jc w:val="center"/>
        <w:rPr>
          <w:bCs/>
        </w:rPr>
      </w:pPr>
    </w:p>
    <w:p w14:paraId="00C3B146" w14:textId="77777777" w:rsidR="00270755" w:rsidRPr="00B23558" w:rsidRDefault="00270755" w:rsidP="00270755">
      <w:pPr>
        <w:jc w:val="center"/>
        <w:rPr>
          <w:bCs/>
        </w:rPr>
      </w:pPr>
      <w:r w:rsidRPr="00B23558">
        <w:rPr>
          <w:bCs/>
        </w:rPr>
        <w:t>a</w:t>
      </w:r>
    </w:p>
    <w:p w14:paraId="6E748B51" w14:textId="77777777" w:rsidR="00270755" w:rsidRPr="00D12984" w:rsidRDefault="00270755" w:rsidP="00270755">
      <w:pPr>
        <w:ind w:left="2832" w:hanging="2472"/>
        <w:rPr>
          <w:b/>
          <w:bCs/>
          <w:i/>
          <w:iCs/>
          <w:u w:val="single"/>
        </w:rPr>
      </w:pPr>
      <w:r w:rsidRPr="00D12984">
        <w:rPr>
          <w:b/>
          <w:bCs/>
        </w:rPr>
        <w:tab/>
      </w:r>
    </w:p>
    <w:p w14:paraId="3781328E" w14:textId="35A0456E" w:rsidR="00270755" w:rsidRPr="00D12984" w:rsidRDefault="00AD0296" w:rsidP="00270755">
      <w:pPr>
        <w:spacing w:line="276" w:lineRule="auto"/>
        <w:rPr>
          <w:b/>
          <w:iCs/>
          <w:color w:val="000000" w:themeColor="text1"/>
        </w:rPr>
      </w:pPr>
      <w:r w:rsidRPr="00D12984">
        <w:rPr>
          <w:b/>
          <w:iCs/>
          <w:color w:val="000000" w:themeColor="text1"/>
        </w:rPr>
        <w:t>ZD Krásná Hora, a.s.</w:t>
      </w:r>
    </w:p>
    <w:p w14:paraId="5CB40C04" w14:textId="77777777" w:rsidR="009D6C4D" w:rsidRPr="009D6C4D" w:rsidRDefault="009D6C4D" w:rsidP="009D6C4D">
      <w:pPr>
        <w:rPr>
          <w:color w:val="000000" w:themeColor="text1"/>
        </w:rPr>
      </w:pPr>
      <w:r w:rsidRPr="002323DC">
        <w:rPr>
          <w:color w:val="000000" w:themeColor="text1"/>
        </w:rPr>
        <w:t xml:space="preserve">se sídlem: </w:t>
      </w:r>
      <w:r w:rsidRPr="009D6C4D">
        <w:rPr>
          <w:color w:val="000000" w:themeColor="text1"/>
        </w:rPr>
        <w:t>Krásná Hora nad Vltavou 172</w:t>
      </w:r>
    </w:p>
    <w:p w14:paraId="023DE806" w14:textId="75E08FBB" w:rsidR="009D6C4D" w:rsidRPr="009D6C4D" w:rsidRDefault="009D6C4D" w:rsidP="009D6C4D">
      <w:pPr>
        <w:ind w:left="993"/>
        <w:rPr>
          <w:color w:val="000000" w:themeColor="text1"/>
        </w:rPr>
      </w:pPr>
      <w:r w:rsidRPr="009D6C4D">
        <w:rPr>
          <w:color w:val="000000" w:themeColor="text1"/>
        </w:rPr>
        <w:t>262 56</w:t>
      </w:r>
      <w:r>
        <w:rPr>
          <w:color w:val="000000" w:themeColor="text1"/>
        </w:rPr>
        <w:t xml:space="preserve"> </w:t>
      </w:r>
      <w:r w:rsidRPr="009D6C4D">
        <w:rPr>
          <w:color w:val="000000" w:themeColor="text1"/>
        </w:rPr>
        <w:t>Krásná Hora nad Vltavou</w:t>
      </w:r>
    </w:p>
    <w:p w14:paraId="35B3DFC7" w14:textId="28CD0D0C" w:rsidR="009D6C4D" w:rsidRPr="009D6C4D" w:rsidRDefault="009D6C4D" w:rsidP="009D6C4D">
      <w:pPr>
        <w:rPr>
          <w:iCs/>
          <w:color w:val="000000" w:themeColor="text1"/>
        </w:rPr>
      </w:pPr>
      <w:r w:rsidRPr="009D6C4D">
        <w:rPr>
          <w:iCs/>
          <w:color w:val="000000" w:themeColor="text1"/>
        </w:rPr>
        <w:t>IČ: 0010799</w:t>
      </w:r>
      <w:r w:rsidR="00BB6DC7">
        <w:rPr>
          <w:iCs/>
          <w:color w:val="000000" w:themeColor="text1"/>
        </w:rPr>
        <w:t>9</w:t>
      </w:r>
    </w:p>
    <w:p w14:paraId="2595C16C" w14:textId="5D7A3AEE" w:rsidR="009D6C4D" w:rsidRDefault="009D6C4D" w:rsidP="009D6C4D">
      <w:pPr>
        <w:rPr>
          <w:iCs/>
          <w:color w:val="000000" w:themeColor="text1"/>
        </w:rPr>
      </w:pPr>
      <w:r w:rsidRPr="009D6C4D">
        <w:rPr>
          <w:iCs/>
          <w:color w:val="000000" w:themeColor="text1"/>
        </w:rPr>
        <w:t>DIČ:CZ0010799</w:t>
      </w:r>
      <w:r w:rsidR="00BB6DC7">
        <w:rPr>
          <w:iCs/>
          <w:color w:val="000000" w:themeColor="text1"/>
        </w:rPr>
        <w:t>9</w:t>
      </w:r>
      <w:bookmarkStart w:id="0" w:name="_GoBack"/>
      <w:bookmarkEnd w:id="0"/>
    </w:p>
    <w:p w14:paraId="16368926" w14:textId="79BB9B60" w:rsidR="009D6C4D" w:rsidRDefault="009D6C4D" w:rsidP="009D6C4D">
      <w:pPr>
        <w:rPr>
          <w:iCs/>
          <w:color w:val="000000" w:themeColor="text1"/>
        </w:rPr>
      </w:pPr>
      <w:r w:rsidRPr="00DA1124">
        <w:rPr>
          <w:iCs/>
          <w:color w:val="000000" w:themeColor="text1"/>
        </w:rPr>
        <w:t>Bankovní spojení:</w:t>
      </w:r>
      <w:r w:rsidR="00DA1124">
        <w:rPr>
          <w:iCs/>
          <w:color w:val="000000" w:themeColor="text1"/>
        </w:rPr>
        <w:t xml:space="preserve"> 2719211/0100</w:t>
      </w:r>
      <w:r>
        <w:rPr>
          <w:iCs/>
          <w:color w:val="000000" w:themeColor="text1"/>
        </w:rPr>
        <w:t xml:space="preserve"> </w:t>
      </w:r>
    </w:p>
    <w:p w14:paraId="45382E2D" w14:textId="3E995D0F" w:rsidR="009D6C4D" w:rsidRPr="006F1C08" w:rsidRDefault="009D6C4D" w:rsidP="009D6C4D">
      <w:pPr>
        <w:rPr>
          <w:iCs/>
          <w:color w:val="000000" w:themeColor="text1"/>
        </w:rPr>
      </w:pPr>
      <w:r>
        <w:rPr>
          <w:iCs/>
          <w:color w:val="000000" w:themeColor="text1"/>
        </w:rPr>
        <w:t>Zastoupená:</w:t>
      </w:r>
      <w:r w:rsidRPr="006F1C08">
        <w:t xml:space="preserve"> </w:t>
      </w:r>
      <w:r w:rsidRPr="006F1C08">
        <w:rPr>
          <w:iCs/>
          <w:color w:val="000000" w:themeColor="text1"/>
        </w:rPr>
        <w:t xml:space="preserve">Ing. </w:t>
      </w:r>
      <w:r>
        <w:rPr>
          <w:iCs/>
          <w:color w:val="000000" w:themeColor="text1"/>
        </w:rPr>
        <w:t>Jiřím Zelenkou, předsedou</w:t>
      </w:r>
      <w:r w:rsidRPr="006F1C08">
        <w:rPr>
          <w:iCs/>
          <w:color w:val="000000" w:themeColor="text1"/>
        </w:rPr>
        <w:t xml:space="preserve"> představenstva</w:t>
      </w:r>
      <w:r>
        <w:rPr>
          <w:iCs/>
          <w:color w:val="000000" w:themeColor="text1"/>
        </w:rPr>
        <w:t xml:space="preserve"> </w:t>
      </w:r>
    </w:p>
    <w:p w14:paraId="3E515F37" w14:textId="77777777" w:rsidR="009D6C4D" w:rsidRDefault="009D6C4D" w:rsidP="00270755"/>
    <w:p w14:paraId="48CF6848" w14:textId="77777777" w:rsidR="00270755" w:rsidRPr="00B23558" w:rsidRDefault="00270755" w:rsidP="00270755">
      <w:pPr>
        <w:rPr>
          <w:b/>
          <w:i/>
          <w:iCs/>
        </w:rPr>
      </w:pPr>
      <w:r w:rsidRPr="002323DC">
        <w:t xml:space="preserve">(dále jen </w:t>
      </w:r>
      <w:r w:rsidRPr="00A10DDA">
        <w:t>„</w:t>
      </w:r>
      <w:r w:rsidRPr="00B23558">
        <w:rPr>
          <w:bCs/>
        </w:rPr>
        <w:t>zhotovitel“)</w:t>
      </w:r>
      <w:r w:rsidRPr="00B23558">
        <w:rPr>
          <w:b/>
          <w:i/>
          <w:iCs/>
        </w:rPr>
        <w:t xml:space="preserve"> </w:t>
      </w:r>
    </w:p>
    <w:p w14:paraId="57E07549" w14:textId="77777777" w:rsidR="00270755" w:rsidRDefault="00270755" w:rsidP="00270755">
      <w:pPr>
        <w:jc w:val="center"/>
        <w:rPr>
          <w:b/>
          <w:bCs/>
        </w:rPr>
      </w:pPr>
    </w:p>
    <w:p w14:paraId="59005745" w14:textId="77777777" w:rsidR="00270755" w:rsidRDefault="00270755" w:rsidP="00270755">
      <w:pPr>
        <w:jc w:val="center"/>
        <w:rPr>
          <w:b/>
          <w:bCs/>
        </w:rPr>
      </w:pPr>
    </w:p>
    <w:p w14:paraId="7D20E587" w14:textId="77777777" w:rsidR="00270755" w:rsidRPr="0082603A" w:rsidRDefault="00270755" w:rsidP="00270755">
      <w:pPr>
        <w:jc w:val="center"/>
        <w:rPr>
          <w:b/>
          <w:bCs/>
        </w:rPr>
      </w:pPr>
      <w:r w:rsidRPr="0082603A">
        <w:rPr>
          <w:b/>
          <w:bCs/>
        </w:rPr>
        <w:t>na straně druhé</w:t>
      </w:r>
    </w:p>
    <w:p w14:paraId="721268B9" w14:textId="77777777" w:rsidR="00270755" w:rsidRPr="0082603A" w:rsidRDefault="00270755" w:rsidP="00270755">
      <w:pPr>
        <w:pStyle w:val="Zkladntext2"/>
        <w:jc w:val="center"/>
        <w:rPr>
          <w:b/>
          <w:sz w:val="24"/>
          <w:szCs w:val="24"/>
        </w:rPr>
      </w:pPr>
      <w:r w:rsidRPr="0082603A">
        <w:rPr>
          <w:b/>
          <w:sz w:val="24"/>
          <w:szCs w:val="24"/>
        </w:rPr>
        <w:t>uzavírají tuto smlouvu o dílo (dále jen „smlouva“):</w:t>
      </w:r>
    </w:p>
    <w:p w14:paraId="474864A3" w14:textId="77777777" w:rsidR="00270755" w:rsidRPr="0082603A" w:rsidRDefault="00270755" w:rsidP="00270755">
      <w:pPr>
        <w:pStyle w:val="Zkladntext2"/>
        <w:jc w:val="center"/>
        <w:rPr>
          <w:b/>
          <w:sz w:val="24"/>
          <w:szCs w:val="24"/>
        </w:rPr>
      </w:pPr>
    </w:p>
    <w:p w14:paraId="3F499C8E" w14:textId="77777777" w:rsidR="00A56524" w:rsidRDefault="00A56524">
      <w:pPr>
        <w:jc w:val="both"/>
      </w:pPr>
    </w:p>
    <w:p w14:paraId="0607B72D" w14:textId="77777777" w:rsidR="00DD2FC5" w:rsidRDefault="00DD2FC5" w:rsidP="00BD66D5">
      <w:pPr>
        <w:pStyle w:val="Nadpis6"/>
        <w:spacing w:line="360" w:lineRule="auto"/>
      </w:pPr>
      <w:r>
        <w:t xml:space="preserve">Článek </w:t>
      </w:r>
      <w:r w:rsidR="00CC151F">
        <w:t>I</w:t>
      </w:r>
      <w:r w:rsidR="00806084">
        <w:t xml:space="preserve">. </w:t>
      </w:r>
    </w:p>
    <w:p w14:paraId="710AE6AD" w14:textId="77777777" w:rsidR="00806084" w:rsidRDefault="00806084" w:rsidP="00D44F38">
      <w:pPr>
        <w:pStyle w:val="Nadpis6"/>
        <w:spacing w:after="100" w:line="276" w:lineRule="auto"/>
      </w:pPr>
      <w:r>
        <w:t xml:space="preserve">Předmět a účel smlouvy </w:t>
      </w:r>
    </w:p>
    <w:p w14:paraId="53F84BB5" w14:textId="556B233A" w:rsidR="00C03DEB" w:rsidRDefault="00C544BB" w:rsidP="00AE6003">
      <w:pPr>
        <w:numPr>
          <w:ilvl w:val="0"/>
          <w:numId w:val="9"/>
        </w:numPr>
        <w:spacing w:after="100"/>
        <w:ind w:left="357" w:hanging="357"/>
        <w:jc w:val="both"/>
      </w:pPr>
      <w:r>
        <w:t xml:space="preserve">Předmětem </w:t>
      </w:r>
      <w:r w:rsidR="00E918D4">
        <w:t xml:space="preserve">smlouvy je závazek </w:t>
      </w:r>
      <w:r w:rsidR="00626654">
        <w:t xml:space="preserve">zhotovitele </w:t>
      </w:r>
      <w:r w:rsidR="00E918D4">
        <w:t>provést</w:t>
      </w:r>
      <w:r w:rsidR="00626654">
        <w:t xml:space="preserve"> dílo specifikované v odstavci 2</w:t>
      </w:r>
      <w:r w:rsidR="00E918D4">
        <w:t xml:space="preserve"> </w:t>
      </w:r>
      <w:r w:rsidR="00626654">
        <w:t xml:space="preserve">a závazek objednatele zaplatit zhotoviteli cenu za provedení díla. </w:t>
      </w:r>
    </w:p>
    <w:p w14:paraId="1BE00319" w14:textId="65A0E89E" w:rsidR="00F221D5" w:rsidRPr="00E529DB" w:rsidRDefault="00626654" w:rsidP="00E529DB">
      <w:pPr>
        <w:numPr>
          <w:ilvl w:val="0"/>
          <w:numId w:val="9"/>
        </w:numPr>
        <w:spacing w:after="100"/>
        <w:ind w:left="357" w:hanging="357"/>
        <w:jc w:val="both"/>
        <w:rPr>
          <w:color w:val="000000" w:themeColor="text1"/>
        </w:rPr>
      </w:pPr>
      <w:r w:rsidRPr="00C03DEB">
        <w:rPr>
          <w:color w:val="000000" w:themeColor="text1"/>
        </w:rPr>
        <w:lastRenderedPageBreak/>
        <w:t>Zhotovitel</w:t>
      </w:r>
      <w:r w:rsidR="00AE6003" w:rsidRPr="00C03DEB">
        <w:rPr>
          <w:color w:val="000000" w:themeColor="text1"/>
        </w:rPr>
        <w:tab/>
        <w:t xml:space="preserve">se </w:t>
      </w:r>
      <w:r w:rsidRPr="00C03DEB">
        <w:rPr>
          <w:color w:val="000000" w:themeColor="text1"/>
        </w:rPr>
        <w:t xml:space="preserve">zavazuje </w:t>
      </w:r>
      <w:r w:rsidR="00771D88" w:rsidRPr="00E70A00">
        <w:rPr>
          <w:color w:val="000000" w:themeColor="text1"/>
        </w:rPr>
        <w:t>zajistit</w:t>
      </w:r>
      <w:r w:rsidR="00F034BF" w:rsidRPr="00E70A00">
        <w:rPr>
          <w:color w:val="000000" w:themeColor="text1"/>
        </w:rPr>
        <w:t> </w:t>
      </w:r>
      <w:r w:rsidR="00AD0296">
        <w:rPr>
          <w:color w:val="000000" w:themeColor="text1"/>
        </w:rPr>
        <w:t xml:space="preserve">podmínky a součinnost pro </w:t>
      </w:r>
      <w:r w:rsidR="00771D88" w:rsidRPr="00E70A00">
        <w:rPr>
          <w:color w:val="000000" w:themeColor="text1"/>
        </w:rPr>
        <w:t>„Pilotní testování výběru a činnosti demonstračních farem v</w:t>
      </w:r>
      <w:r w:rsidR="00FB4AA0">
        <w:rPr>
          <w:color w:val="000000" w:themeColor="text1"/>
        </w:rPr>
        <w:t> </w:t>
      </w:r>
      <w:r w:rsidR="00771D88" w:rsidRPr="00E70A00">
        <w:rPr>
          <w:color w:val="000000" w:themeColor="text1"/>
        </w:rPr>
        <w:t>oblasti péče o půdu</w:t>
      </w:r>
      <w:r w:rsidR="00771D88" w:rsidRPr="004E5A71">
        <w:rPr>
          <w:color w:val="000000" w:themeColor="text1"/>
        </w:rPr>
        <w:t>“</w:t>
      </w:r>
      <w:r w:rsidR="00221829" w:rsidRPr="004E5A71">
        <w:rPr>
          <w:color w:val="000000" w:themeColor="text1"/>
        </w:rPr>
        <w:t xml:space="preserve"> </w:t>
      </w:r>
      <w:r w:rsidR="00AD0296">
        <w:rPr>
          <w:color w:val="000000" w:themeColor="text1"/>
        </w:rPr>
        <w:t xml:space="preserve">prováděné zadavatelem a Ústavem zemědělské ekonomiky a informací </w:t>
      </w:r>
      <w:r w:rsidR="00221829" w:rsidRPr="004E5A71">
        <w:rPr>
          <w:color w:val="000000" w:themeColor="text1"/>
        </w:rPr>
        <w:t>a ověřit možnosti prezentace vhodných způsobů hospodaření</w:t>
      </w:r>
      <w:r w:rsidR="00E529DB">
        <w:rPr>
          <w:color w:val="000000" w:themeColor="text1"/>
        </w:rPr>
        <w:t xml:space="preserve"> v provozních podmínkách.</w:t>
      </w:r>
    </w:p>
    <w:p w14:paraId="640CBA04" w14:textId="77777777" w:rsidR="00A56524" w:rsidRPr="00A56524" w:rsidRDefault="00A56524" w:rsidP="00BD66D5">
      <w:pPr>
        <w:ind w:left="1080"/>
        <w:rPr>
          <w:b/>
        </w:rPr>
      </w:pPr>
    </w:p>
    <w:p w14:paraId="57490C2F" w14:textId="77777777" w:rsidR="00245FEB" w:rsidRDefault="00DD2FC5" w:rsidP="00BD66D5">
      <w:pPr>
        <w:pStyle w:val="Zkladntext2"/>
        <w:spacing w:line="360" w:lineRule="auto"/>
        <w:jc w:val="center"/>
        <w:rPr>
          <w:b/>
          <w:sz w:val="24"/>
        </w:rPr>
      </w:pPr>
      <w:r w:rsidRPr="00DD2FC5">
        <w:rPr>
          <w:b/>
          <w:sz w:val="24"/>
        </w:rPr>
        <w:t>Článek</w:t>
      </w:r>
      <w:r>
        <w:rPr>
          <w:b/>
          <w:sz w:val="24"/>
        </w:rPr>
        <w:t xml:space="preserve"> </w:t>
      </w:r>
      <w:r w:rsidR="00CC151F">
        <w:rPr>
          <w:b/>
          <w:sz w:val="24"/>
        </w:rPr>
        <w:t>I</w:t>
      </w:r>
      <w:r w:rsidR="00806084">
        <w:rPr>
          <w:b/>
          <w:sz w:val="24"/>
        </w:rPr>
        <w:t xml:space="preserve">I. </w:t>
      </w:r>
    </w:p>
    <w:p w14:paraId="28655406" w14:textId="77777777" w:rsidR="00806084" w:rsidRDefault="00245FEB" w:rsidP="00BD66D5">
      <w:pPr>
        <w:pStyle w:val="Zkladntext2"/>
        <w:spacing w:after="240"/>
        <w:jc w:val="center"/>
        <w:rPr>
          <w:b/>
          <w:sz w:val="24"/>
        </w:rPr>
      </w:pPr>
      <w:r>
        <w:rPr>
          <w:b/>
          <w:sz w:val="24"/>
        </w:rPr>
        <w:t>Místo plnění, provádění díla, d</w:t>
      </w:r>
      <w:r w:rsidR="005A3E0B">
        <w:rPr>
          <w:b/>
          <w:sz w:val="24"/>
        </w:rPr>
        <w:t>oba plnění</w:t>
      </w:r>
      <w:r>
        <w:rPr>
          <w:b/>
          <w:sz w:val="24"/>
        </w:rPr>
        <w:t>,</w:t>
      </w:r>
      <w:r w:rsidR="005A3E0B">
        <w:rPr>
          <w:b/>
          <w:sz w:val="24"/>
        </w:rPr>
        <w:t xml:space="preserve"> termín předání </w:t>
      </w:r>
      <w:r>
        <w:rPr>
          <w:b/>
          <w:sz w:val="24"/>
        </w:rPr>
        <w:t>a převzetí díla, přechod vlastnictví</w:t>
      </w:r>
    </w:p>
    <w:p w14:paraId="525521B3" w14:textId="77777777" w:rsidR="00245FEB" w:rsidRDefault="00245FEB" w:rsidP="00BD66D5">
      <w:pPr>
        <w:numPr>
          <w:ilvl w:val="0"/>
          <w:numId w:val="11"/>
        </w:numPr>
        <w:spacing w:line="360" w:lineRule="auto"/>
        <w:ind w:left="357" w:hanging="357"/>
        <w:jc w:val="both"/>
      </w:pPr>
      <w:r>
        <w:t>Místem plnění je sídlo zhotovitele.</w:t>
      </w:r>
    </w:p>
    <w:p w14:paraId="26FAC0B9" w14:textId="050A05F7" w:rsidR="00245FEB" w:rsidRPr="00270755" w:rsidRDefault="00245FEB" w:rsidP="00BD66D5">
      <w:pPr>
        <w:numPr>
          <w:ilvl w:val="0"/>
          <w:numId w:val="11"/>
        </w:numPr>
        <w:spacing w:after="100"/>
        <w:ind w:left="357" w:hanging="357"/>
        <w:jc w:val="both"/>
      </w:pPr>
      <w:r>
        <w:t xml:space="preserve">Zhotovitel pracuje na </w:t>
      </w:r>
      <w:r w:rsidR="00D74F2D">
        <w:t xml:space="preserve">svůj náklad a na své nebezpečí, </w:t>
      </w:r>
      <w:r w:rsidR="00270755" w:rsidRPr="00270755">
        <w:rPr>
          <w:bCs/>
          <w:iCs/>
          <w:color w:val="000000"/>
        </w:rPr>
        <w:t xml:space="preserve">objednatel je oprávněn provádění díla </w:t>
      </w:r>
      <w:r w:rsidR="00A10DDA">
        <w:rPr>
          <w:bCs/>
          <w:iCs/>
          <w:color w:val="000000"/>
        </w:rPr>
        <w:t xml:space="preserve">kdykoliv </w:t>
      </w:r>
      <w:r w:rsidR="00270755" w:rsidRPr="00270755">
        <w:rPr>
          <w:bCs/>
          <w:iCs/>
          <w:color w:val="000000"/>
        </w:rPr>
        <w:t>průběžně kontrolovat, zhotovitel je povinen upozornit na nevhodné pokyny nebo nevhodnost věcí mu předaných. Na zjištěné nedostatky upozorní písemně zhotovitele a požádá o jejich odstranění. Takové žádosti je zhotovitel povinen ve lhůtě stanovené mu objednatelem vyhovět</w:t>
      </w:r>
      <w:r w:rsidRPr="00270755">
        <w:t>.</w:t>
      </w:r>
    </w:p>
    <w:p w14:paraId="4F6DDB73" w14:textId="54C5F74A" w:rsidR="00E529DB" w:rsidRPr="00CC2505" w:rsidRDefault="00245FEB" w:rsidP="00E529DB">
      <w:pPr>
        <w:numPr>
          <w:ilvl w:val="0"/>
          <w:numId w:val="11"/>
        </w:numPr>
        <w:spacing w:after="100"/>
        <w:ind w:left="357" w:hanging="357"/>
        <w:jc w:val="both"/>
      </w:pPr>
      <w:r w:rsidRPr="00CC2505">
        <w:t xml:space="preserve">Zhotovitel se </w:t>
      </w:r>
      <w:r w:rsidR="00D74F2D" w:rsidRPr="00CC2505">
        <w:t xml:space="preserve">zavazuje předat dílo </w:t>
      </w:r>
      <w:r w:rsidR="00A10DDA" w:rsidRPr="00CC2505">
        <w:t xml:space="preserve">bez vad </w:t>
      </w:r>
      <w:r w:rsidR="00D74F2D" w:rsidRPr="00CC2505">
        <w:t xml:space="preserve">v termínu </w:t>
      </w:r>
      <w:r w:rsidRPr="00CC2505">
        <w:t xml:space="preserve">do </w:t>
      </w:r>
      <w:r w:rsidR="00270755" w:rsidRPr="00CC2505">
        <w:t>10.</w:t>
      </w:r>
      <w:r w:rsidR="00E14DB2" w:rsidRPr="00CC2505">
        <w:t xml:space="preserve"> </w:t>
      </w:r>
      <w:r w:rsidR="00270755" w:rsidRPr="00CC2505">
        <w:t>12.</w:t>
      </w:r>
      <w:r w:rsidR="00E14DB2" w:rsidRPr="00CC2505">
        <w:t xml:space="preserve"> </w:t>
      </w:r>
      <w:r w:rsidR="00270755" w:rsidRPr="00CC2505">
        <w:t>201</w:t>
      </w:r>
      <w:r w:rsidR="009F6FC3" w:rsidRPr="00CC2505">
        <w:t>6</w:t>
      </w:r>
      <w:r w:rsidRPr="00CC2505">
        <w:t xml:space="preserve"> </w:t>
      </w:r>
      <w:r w:rsidR="00B32862" w:rsidRPr="00CC2505">
        <w:t xml:space="preserve">v elektronické podobě </w:t>
      </w:r>
      <w:r w:rsidR="004942E2" w:rsidRPr="00CC2505">
        <w:t xml:space="preserve">formou </w:t>
      </w:r>
      <w:r w:rsidR="008175DB" w:rsidRPr="00CC2505">
        <w:t>výkazu provedených činností</w:t>
      </w:r>
      <w:r w:rsidR="004942E2" w:rsidRPr="00CC2505">
        <w:t xml:space="preserve"> </w:t>
      </w:r>
      <w:r w:rsidR="008175DB" w:rsidRPr="00CC2505">
        <w:t>a</w:t>
      </w:r>
      <w:r w:rsidR="004942E2" w:rsidRPr="00CC2505">
        <w:t xml:space="preserve"> vyhodnocení vícenákladů spojených se zajištěním přípravy a činnosti demonstrační farmy. </w:t>
      </w:r>
    </w:p>
    <w:p w14:paraId="7492FAD4" w14:textId="02E2F7A6" w:rsidR="00885C2B" w:rsidRDefault="00245FEB" w:rsidP="00BD66D5">
      <w:pPr>
        <w:numPr>
          <w:ilvl w:val="0"/>
          <w:numId w:val="11"/>
        </w:numPr>
        <w:spacing w:after="100"/>
        <w:ind w:left="357" w:hanging="357"/>
        <w:jc w:val="both"/>
      </w:pPr>
      <w:r>
        <w:t>O převzetí díla bude objednatelem vyhotoven finální protokol o převzetí a předání díla potvrzující, že výsledek díla odpovídá zadání této smlouvy</w:t>
      </w:r>
      <w:r w:rsidR="00A10DDA">
        <w:t xml:space="preserve"> a je bez vad</w:t>
      </w:r>
      <w:r w:rsidR="00885C2B">
        <w:t>.</w:t>
      </w:r>
      <w:r w:rsidR="003B04A4">
        <w:t xml:space="preserve"> </w:t>
      </w:r>
      <w:r w:rsidR="002134CE">
        <w:t>Dílo</w:t>
      </w:r>
      <w:r w:rsidR="003B04A4">
        <w:t xml:space="preserve"> převezme zástupce objednatele pro věcná jednání.</w:t>
      </w:r>
    </w:p>
    <w:p w14:paraId="45AD8AEE" w14:textId="1F3C0BF9" w:rsidR="00885C2B" w:rsidRDefault="00245FEB" w:rsidP="00BD66D5">
      <w:pPr>
        <w:numPr>
          <w:ilvl w:val="0"/>
          <w:numId w:val="11"/>
        </w:numPr>
        <w:spacing w:after="100"/>
        <w:ind w:left="357" w:hanging="357"/>
        <w:jc w:val="both"/>
      </w:pPr>
      <w:r>
        <w:t>Přechod vlastnictví</w:t>
      </w:r>
      <w:r w:rsidR="00885C2B">
        <w:t xml:space="preserve"> nastává okamžikem podpisu f</w:t>
      </w:r>
      <w:r w:rsidR="0002399B">
        <w:t>inálního protokolu o převzetí a </w:t>
      </w:r>
      <w:r w:rsidR="00885C2B">
        <w:t xml:space="preserve">předání díla </w:t>
      </w:r>
      <w:r w:rsidR="002134CE">
        <w:t xml:space="preserve">oprávněnými </w:t>
      </w:r>
      <w:r w:rsidR="00885C2B">
        <w:t>zástupci smluvních stran.</w:t>
      </w:r>
    </w:p>
    <w:p w14:paraId="2DB7A64D" w14:textId="77777777" w:rsidR="00806084" w:rsidRDefault="00806084" w:rsidP="00245FEB">
      <w:pPr>
        <w:jc w:val="both"/>
      </w:pPr>
    </w:p>
    <w:p w14:paraId="7973A9A4" w14:textId="77777777" w:rsidR="00FD34C7" w:rsidRDefault="00DD2FC5" w:rsidP="00505187">
      <w:pPr>
        <w:pStyle w:val="Nadpis6"/>
        <w:spacing w:line="360" w:lineRule="auto"/>
      </w:pPr>
      <w:r>
        <w:t xml:space="preserve">Článek </w:t>
      </w:r>
      <w:r w:rsidR="00FD34C7">
        <w:t>I</w:t>
      </w:r>
      <w:r w:rsidR="00CC151F">
        <w:t>II</w:t>
      </w:r>
      <w:r w:rsidR="00806084">
        <w:t xml:space="preserve">. </w:t>
      </w:r>
    </w:p>
    <w:p w14:paraId="653FF854" w14:textId="6A942367" w:rsidR="00806084" w:rsidRDefault="00806084" w:rsidP="00505187">
      <w:pPr>
        <w:pStyle w:val="Nadpis6"/>
        <w:spacing w:line="360" w:lineRule="auto"/>
      </w:pPr>
      <w:r>
        <w:t xml:space="preserve">Cena </w:t>
      </w:r>
      <w:r w:rsidR="00FD34C7">
        <w:t>díla</w:t>
      </w:r>
    </w:p>
    <w:p w14:paraId="6226A32D" w14:textId="32C4A11C" w:rsidR="00220621" w:rsidRPr="002200EE" w:rsidRDefault="00220621" w:rsidP="00220621">
      <w:pPr>
        <w:numPr>
          <w:ilvl w:val="0"/>
          <w:numId w:val="12"/>
        </w:numPr>
        <w:jc w:val="both"/>
      </w:pPr>
      <w:r w:rsidRPr="002200EE">
        <w:t>C</w:t>
      </w:r>
      <w:r w:rsidR="00A86E9F" w:rsidRPr="002200EE">
        <w:t xml:space="preserve">ena </w:t>
      </w:r>
      <w:r w:rsidRPr="002200EE">
        <w:rPr>
          <w:bCs/>
          <w:color w:val="000000"/>
        </w:rPr>
        <w:t xml:space="preserve">za řádně a včas provedené dílo je stanovena dohodou podle zákona č. 526/1990 Sb., o cenách, ve znění pozdějších předpisů a činí </w:t>
      </w:r>
      <w:r w:rsidR="00CC2505" w:rsidRPr="002200EE">
        <w:rPr>
          <w:bCs/>
        </w:rPr>
        <w:t>133 1</w:t>
      </w:r>
      <w:r w:rsidR="00E529DB" w:rsidRPr="002200EE">
        <w:rPr>
          <w:bCs/>
        </w:rPr>
        <w:t>00</w:t>
      </w:r>
      <w:r w:rsidR="00EF4073" w:rsidRPr="002200EE">
        <w:rPr>
          <w:bCs/>
        </w:rPr>
        <w:t xml:space="preserve">,- </w:t>
      </w:r>
      <w:r w:rsidRPr="002200EE">
        <w:rPr>
          <w:bCs/>
          <w:color w:val="000000"/>
        </w:rPr>
        <w:t xml:space="preserve">Kč s DPH (slovy: </w:t>
      </w:r>
      <w:r w:rsidR="008175DB" w:rsidRPr="002200EE">
        <w:rPr>
          <w:bCs/>
          <w:color w:val="000000"/>
        </w:rPr>
        <w:t xml:space="preserve">sto </w:t>
      </w:r>
      <w:r w:rsidR="00CC2505" w:rsidRPr="002200EE">
        <w:rPr>
          <w:bCs/>
          <w:color w:val="000000"/>
        </w:rPr>
        <w:t>třicet tři</w:t>
      </w:r>
      <w:r w:rsidR="006607EE" w:rsidRPr="002200EE">
        <w:rPr>
          <w:bCs/>
          <w:color w:val="000000"/>
        </w:rPr>
        <w:t xml:space="preserve"> tisíc</w:t>
      </w:r>
      <w:r w:rsidR="00CC2505" w:rsidRPr="002200EE">
        <w:rPr>
          <w:bCs/>
          <w:color w:val="000000"/>
        </w:rPr>
        <w:t>e</w:t>
      </w:r>
      <w:r w:rsidR="006607EE" w:rsidRPr="002200EE">
        <w:rPr>
          <w:bCs/>
          <w:color w:val="000000"/>
        </w:rPr>
        <w:t xml:space="preserve"> </w:t>
      </w:r>
      <w:r w:rsidR="00CC2505" w:rsidRPr="002200EE">
        <w:rPr>
          <w:bCs/>
          <w:color w:val="000000"/>
        </w:rPr>
        <w:t xml:space="preserve">sto </w:t>
      </w:r>
      <w:r w:rsidRPr="002200EE">
        <w:rPr>
          <w:bCs/>
          <w:color w:val="000000"/>
        </w:rPr>
        <w:t xml:space="preserve">korun českých) z toho: </w:t>
      </w:r>
    </w:p>
    <w:p w14:paraId="7F4EEE6E" w14:textId="3179BD29" w:rsidR="00220621" w:rsidRPr="002200EE" w:rsidRDefault="00220621" w:rsidP="00220621">
      <w:pPr>
        <w:pStyle w:val="Zkladntext2"/>
        <w:numPr>
          <w:ilvl w:val="0"/>
          <w:numId w:val="34"/>
        </w:numPr>
        <w:tabs>
          <w:tab w:val="left" w:pos="2520"/>
          <w:tab w:val="left" w:pos="8400"/>
        </w:tabs>
        <w:rPr>
          <w:bCs/>
          <w:sz w:val="24"/>
          <w:szCs w:val="24"/>
        </w:rPr>
      </w:pPr>
      <w:r w:rsidRPr="002200EE">
        <w:rPr>
          <w:bCs/>
          <w:color w:val="000000"/>
          <w:sz w:val="24"/>
          <w:szCs w:val="24"/>
        </w:rPr>
        <w:t>Cena díla bez DPH</w:t>
      </w:r>
      <w:r w:rsidR="0005086B" w:rsidRPr="002200EE">
        <w:rPr>
          <w:bCs/>
          <w:color w:val="000000"/>
          <w:sz w:val="24"/>
          <w:szCs w:val="24"/>
        </w:rPr>
        <w:t>:</w:t>
      </w:r>
      <w:r w:rsidR="002200EE" w:rsidRPr="002200EE">
        <w:rPr>
          <w:bCs/>
          <w:color w:val="000000"/>
          <w:sz w:val="24"/>
          <w:szCs w:val="24"/>
        </w:rPr>
        <w:t xml:space="preserve"> 110 000</w:t>
      </w:r>
      <w:r w:rsidR="005952A9" w:rsidRPr="002200EE">
        <w:rPr>
          <w:bCs/>
          <w:color w:val="000000"/>
          <w:sz w:val="24"/>
          <w:szCs w:val="24"/>
        </w:rPr>
        <w:t>,-</w:t>
      </w:r>
      <w:r w:rsidRPr="002200EE">
        <w:rPr>
          <w:bCs/>
          <w:color w:val="000000"/>
          <w:sz w:val="24"/>
          <w:szCs w:val="24"/>
        </w:rPr>
        <w:t xml:space="preserve"> Kč   </w:t>
      </w:r>
    </w:p>
    <w:p w14:paraId="121DE02F" w14:textId="265AAB2F" w:rsidR="00220621" w:rsidRPr="002200EE" w:rsidRDefault="00220621" w:rsidP="00220621">
      <w:pPr>
        <w:pStyle w:val="Zkladntext2"/>
        <w:numPr>
          <w:ilvl w:val="0"/>
          <w:numId w:val="34"/>
        </w:numPr>
        <w:tabs>
          <w:tab w:val="left" w:pos="2520"/>
          <w:tab w:val="left" w:pos="8400"/>
        </w:tabs>
        <w:rPr>
          <w:bCs/>
          <w:sz w:val="24"/>
          <w:szCs w:val="24"/>
        </w:rPr>
      </w:pPr>
      <w:r w:rsidRPr="002200EE">
        <w:rPr>
          <w:bCs/>
          <w:color w:val="000000"/>
          <w:sz w:val="24"/>
          <w:szCs w:val="24"/>
        </w:rPr>
        <w:t>DPH (</w:t>
      </w:r>
      <w:r w:rsidR="005952A9" w:rsidRPr="002200EE">
        <w:rPr>
          <w:bCs/>
          <w:color w:val="000000"/>
          <w:sz w:val="24"/>
          <w:szCs w:val="24"/>
        </w:rPr>
        <w:t>21</w:t>
      </w:r>
      <w:r w:rsidRPr="002200EE">
        <w:rPr>
          <w:bCs/>
          <w:color w:val="000000"/>
          <w:sz w:val="24"/>
          <w:szCs w:val="24"/>
        </w:rPr>
        <w:t xml:space="preserve"> %)</w:t>
      </w:r>
      <w:r w:rsidR="0005086B" w:rsidRPr="002200EE">
        <w:rPr>
          <w:bCs/>
          <w:color w:val="000000"/>
          <w:sz w:val="24"/>
          <w:szCs w:val="24"/>
        </w:rPr>
        <w:t>:</w:t>
      </w:r>
      <w:r w:rsidR="008175DB" w:rsidRPr="002200EE">
        <w:rPr>
          <w:bCs/>
          <w:color w:val="000000"/>
          <w:sz w:val="24"/>
          <w:szCs w:val="24"/>
        </w:rPr>
        <w:t xml:space="preserve"> </w:t>
      </w:r>
      <w:r w:rsidR="002200EE" w:rsidRPr="002200EE">
        <w:rPr>
          <w:bCs/>
          <w:color w:val="000000"/>
          <w:sz w:val="24"/>
          <w:szCs w:val="24"/>
        </w:rPr>
        <w:t>23 100</w:t>
      </w:r>
      <w:r w:rsidR="005952A9" w:rsidRPr="002200EE">
        <w:rPr>
          <w:bCs/>
          <w:color w:val="000000"/>
          <w:sz w:val="24"/>
          <w:szCs w:val="24"/>
        </w:rPr>
        <w:t xml:space="preserve">,- </w:t>
      </w:r>
      <w:r w:rsidRPr="002200EE">
        <w:rPr>
          <w:bCs/>
          <w:color w:val="000000"/>
          <w:sz w:val="24"/>
          <w:szCs w:val="24"/>
        </w:rPr>
        <w:t>Kč</w:t>
      </w:r>
    </w:p>
    <w:p w14:paraId="48764BF6" w14:textId="70E8793A" w:rsidR="00FD34C7" w:rsidRDefault="00FD34C7" w:rsidP="00D44F38">
      <w:pPr>
        <w:numPr>
          <w:ilvl w:val="0"/>
          <w:numId w:val="12"/>
        </w:numPr>
        <w:spacing w:after="100"/>
        <w:jc w:val="both"/>
      </w:pPr>
      <w:r>
        <w:t>Dohodnutá cena zahrnuje veškeré náklady zhotovitele</w:t>
      </w:r>
      <w:r w:rsidR="00E529DB">
        <w:t xml:space="preserve"> související s provedením díla.</w:t>
      </w:r>
    </w:p>
    <w:p w14:paraId="7D4CFFA5" w14:textId="77777777" w:rsidR="00FD34C7" w:rsidRDefault="00FD34C7" w:rsidP="00D44F38">
      <w:pPr>
        <w:numPr>
          <w:ilvl w:val="0"/>
          <w:numId w:val="12"/>
        </w:numPr>
        <w:spacing w:after="100"/>
        <w:jc w:val="both"/>
      </w:pPr>
      <w:r>
        <w:t>Cena je nejvýše přípustná a nepřekročitelná, s výjimkou zákonné změny výše sazby DPH.</w:t>
      </w:r>
    </w:p>
    <w:p w14:paraId="0DF850A2" w14:textId="77777777" w:rsidR="005952A9" w:rsidRDefault="005952A9" w:rsidP="005952A9">
      <w:pPr>
        <w:ind w:left="360"/>
        <w:jc w:val="both"/>
      </w:pPr>
    </w:p>
    <w:p w14:paraId="501F0E58" w14:textId="77777777" w:rsidR="00157C5E" w:rsidRDefault="00157C5E" w:rsidP="005952A9">
      <w:pPr>
        <w:ind w:left="360"/>
        <w:jc w:val="both"/>
      </w:pPr>
    </w:p>
    <w:p w14:paraId="0A3A1BB7" w14:textId="77777777" w:rsidR="005952A9" w:rsidRPr="005952A9" w:rsidRDefault="005952A9" w:rsidP="005952A9">
      <w:pPr>
        <w:pStyle w:val="Zkladntext2"/>
        <w:tabs>
          <w:tab w:val="left" w:pos="8400"/>
        </w:tabs>
        <w:spacing w:after="120"/>
        <w:jc w:val="center"/>
        <w:rPr>
          <w:b/>
          <w:sz w:val="24"/>
          <w:szCs w:val="24"/>
        </w:rPr>
      </w:pPr>
      <w:r w:rsidRPr="005952A9">
        <w:rPr>
          <w:b/>
          <w:sz w:val="24"/>
          <w:szCs w:val="24"/>
        </w:rPr>
        <w:t>Článek IV.</w:t>
      </w:r>
    </w:p>
    <w:p w14:paraId="7245EC2E" w14:textId="77777777" w:rsidR="005952A9" w:rsidRPr="005952A9" w:rsidRDefault="005952A9" w:rsidP="005952A9">
      <w:pPr>
        <w:pStyle w:val="Zkladntext2"/>
        <w:tabs>
          <w:tab w:val="left" w:pos="8400"/>
        </w:tabs>
        <w:spacing w:after="120"/>
        <w:jc w:val="center"/>
        <w:rPr>
          <w:b/>
          <w:color w:val="000000"/>
          <w:sz w:val="24"/>
          <w:szCs w:val="24"/>
        </w:rPr>
      </w:pPr>
      <w:r w:rsidRPr="005952A9">
        <w:rPr>
          <w:b/>
          <w:color w:val="000000"/>
          <w:sz w:val="24"/>
          <w:szCs w:val="24"/>
        </w:rPr>
        <w:t>Platební podmínky a fakturace</w:t>
      </w:r>
    </w:p>
    <w:p w14:paraId="7F82A375" w14:textId="77777777" w:rsidR="005952A9" w:rsidRPr="005952A9" w:rsidRDefault="005952A9" w:rsidP="00E66F18">
      <w:pPr>
        <w:pStyle w:val="Zkladntext2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rPr>
          <w:bCs/>
          <w:color w:val="000000"/>
          <w:sz w:val="24"/>
          <w:szCs w:val="24"/>
        </w:rPr>
      </w:pPr>
      <w:r w:rsidRPr="005952A9">
        <w:rPr>
          <w:bCs/>
          <w:color w:val="000000"/>
          <w:sz w:val="24"/>
          <w:szCs w:val="24"/>
        </w:rPr>
        <w:t xml:space="preserve">Objednatel je povinen uhradit zhotoviteli cenu díla na základě </w:t>
      </w:r>
      <w:r w:rsidR="00716FED">
        <w:rPr>
          <w:bCs/>
          <w:color w:val="000000"/>
          <w:sz w:val="24"/>
          <w:szCs w:val="24"/>
        </w:rPr>
        <w:t xml:space="preserve">bezvadného </w:t>
      </w:r>
      <w:r w:rsidRPr="005952A9">
        <w:rPr>
          <w:bCs/>
          <w:color w:val="000000"/>
          <w:sz w:val="24"/>
          <w:szCs w:val="24"/>
        </w:rPr>
        <w:t xml:space="preserve">řádně předaného a převzatého díla dle čl. I. a II. smlouvy a vystavené faktury doručené do sídla objednatele. Toto dílo musí být odsouhlaseno objednatelem. </w:t>
      </w:r>
    </w:p>
    <w:p w14:paraId="51C5BE5B" w14:textId="77777777" w:rsidR="005952A9" w:rsidRPr="005952A9" w:rsidRDefault="005952A9" w:rsidP="00E66F18">
      <w:pPr>
        <w:pStyle w:val="Zkladntext2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rPr>
          <w:bCs/>
          <w:color w:val="000000"/>
          <w:sz w:val="24"/>
          <w:szCs w:val="24"/>
        </w:rPr>
      </w:pPr>
      <w:r w:rsidRPr="005952A9">
        <w:rPr>
          <w:bCs/>
          <w:color w:val="000000"/>
          <w:sz w:val="24"/>
          <w:szCs w:val="24"/>
        </w:rPr>
        <w:t>Zhotovitel není oprávněn vystavit fakturu dříve, než objednatel převezme bezvadné a objednatelem odsouhlasené dílo.</w:t>
      </w:r>
    </w:p>
    <w:p w14:paraId="2A2496D5" w14:textId="75714815" w:rsidR="005952A9" w:rsidRPr="005952A9" w:rsidRDefault="005952A9" w:rsidP="00E66F18">
      <w:pPr>
        <w:pStyle w:val="Zkladntext2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rPr>
          <w:bCs/>
          <w:color w:val="000000"/>
          <w:sz w:val="24"/>
          <w:szCs w:val="24"/>
        </w:rPr>
      </w:pPr>
      <w:r w:rsidRPr="005952A9">
        <w:rPr>
          <w:bCs/>
          <w:color w:val="000000"/>
          <w:sz w:val="24"/>
          <w:szCs w:val="24"/>
        </w:rPr>
        <w:t xml:space="preserve">Splatnost daňového dokladu se stanoví na </w:t>
      </w:r>
      <w:r w:rsidR="008175DB">
        <w:rPr>
          <w:bCs/>
          <w:color w:val="000000"/>
          <w:sz w:val="24"/>
          <w:szCs w:val="24"/>
        </w:rPr>
        <w:t>14</w:t>
      </w:r>
      <w:r w:rsidRPr="005952A9">
        <w:rPr>
          <w:bCs/>
          <w:color w:val="000000"/>
          <w:sz w:val="24"/>
          <w:szCs w:val="24"/>
        </w:rPr>
        <w:t xml:space="preserve"> kalendářních dnů po doručení faktury za dílo, jejíž přílohou bude protokol o řádném předání a převzetí díla podepsaný oběma smluvními stranami.  </w:t>
      </w:r>
    </w:p>
    <w:p w14:paraId="58BB20D3" w14:textId="71D8A94A" w:rsidR="005952A9" w:rsidRPr="005952A9" w:rsidRDefault="005952A9" w:rsidP="00E66F18">
      <w:pPr>
        <w:pStyle w:val="Odstavecseseznamem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jc w:val="both"/>
        <w:rPr>
          <w:color w:val="000000"/>
        </w:rPr>
      </w:pPr>
      <w:r w:rsidRPr="005952A9">
        <w:rPr>
          <w:color w:val="000000"/>
        </w:rPr>
        <w:lastRenderedPageBreak/>
        <w:t xml:space="preserve">Faktura musí splňovat veškeré náležitosti stanovené v § 29 zákona č. 235/2004 Sb., o dani z přidané hodnoty, ve znění pozdějších přepisů. </w:t>
      </w:r>
      <w:r w:rsidR="001D5319">
        <w:rPr>
          <w:color w:val="000000"/>
        </w:rPr>
        <w:t>Nedílnou součástí faktury bude finální protokol o předání a převzetí díla podepsaný oprávněným zástupcem objednatele</w:t>
      </w:r>
      <w:r w:rsidR="00AB62D1">
        <w:rPr>
          <w:color w:val="000000"/>
        </w:rPr>
        <w:t>, kterým oprávněná osoba potvrzuje, že dílo je bez vad</w:t>
      </w:r>
      <w:r w:rsidR="001D5319">
        <w:rPr>
          <w:color w:val="000000"/>
        </w:rPr>
        <w:t>.</w:t>
      </w:r>
      <w:r w:rsidR="00AE78C2">
        <w:rPr>
          <w:color w:val="000000"/>
        </w:rPr>
        <w:t xml:space="preserve"> </w:t>
      </w:r>
      <w:r w:rsidRPr="005952A9">
        <w:rPr>
          <w:color w:val="000000"/>
        </w:rPr>
        <w:t>Nebude-li účetní doklad obsahovat stanovené náležitosti</w:t>
      </w:r>
      <w:r w:rsidR="00716FED">
        <w:rPr>
          <w:color w:val="000000"/>
        </w:rPr>
        <w:t xml:space="preserve"> a přílohy</w:t>
      </w:r>
      <w:r w:rsidRPr="005952A9">
        <w:rPr>
          <w:color w:val="000000"/>
        </w:rPr>
        <w:t xml:space="preserve">, je objednatel oprávněn fakturu vrátit k přepracování. </w:t>
      </w:r>
      <w:r w:rsidR="00A10DDA">
        <w:rPr>
          <w:color w:val="000000"/>
        </w:rPr>
        <w:t xml:space="preserve"> </w:t>
      </w:r>
      <w:r w:rsidRPr="005952A9">
        <w:rPr>
          <w:color w:val="000000"/>
        </w:rPr>
        <w:t>V tomto případě neplatí původní lhůta splatnosti, ale lhůta splatnosti běží znovu ode dne doručení nově vystavené faktury.</w:t>
      </w:r>
    </w:p>
    <w:p w14:paraId="1DE72861" w14:textId="77777777" w:rsidR="005952A9" w:rsidRPr="005952A9" w:rsidRDefault="005952A9" w:rsidP="00E66F18">
      <w:pPr>
        <w:pStyle w:val="Odstavecseseznamem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jc w:val="both"/>
        <w:rPr>
          <w:color w:val="000000"/>
        </w:rPr>
      </w:pPr>
      <w:r w:rsidRPr="005952A9">
        <w:rPr>
          <w:color w:val="000000"/>
        </w:rPr>
        <w:t>Objednatel neposkytne zhotoviteli zálohy.</w:t>
      </w:r>
    </w:p>
    <w:p w14:paraId="4804D007" w14:textId="77777777" w:rsidR="005952A9" w:rsidRDefault="005952A9" w:rsidP="00E66F18">
      <w:pPr>
        <w:pStyle w:val="Odstavecseseznamem"/>
        <w:numPr>
          <w:ilvl w:val="0"/>
          <w:numId w:val="36"/>
        </w:numPr>
        <w:tabs>
          <w:tab w:val="left" w:pos="720"/>
          <w:tab w:val="left" w:pos="8400"/>
        </w:tabs>
        <w:spacing w:after="120"/>
        <w:ind w:left="357" w:hanging="357"/>
        <w:jc w:val="both"/>
        <w:rPr>
          <w:color w:val="000000" w:themeColor="text1"/>
        </w:rPr>
      </w:pPr>
      <w:r w:rsidRPr="005952A9">
        <w:rPr>
          <w:color w:val="000000"/>
        </w:rPr>
        <w:t>Platba se považuje za splněnou dnem odepsání z účtu objednatele ve prospěch účtu zhotovitele.</w:t>
      </w:r>
    </w:p>
    <w:p w14:paraId="7BAD7E9F" w14:textId="77777777" w:rsidR="00E66F18" w:rsidRPr="005952A9" w:rsidRDefault="00E66F18" w:rsidP="00E66F18">
      <w:pPr>
        <w:pStyle w:val="Odstavecseseznamem"/>
        <w:tabs>
          <w:tab w:val="left" w:pos="720"/>
          <w:tab w:val="left" w:pos="8400"/>
        </w:tabs>
        <w:ind w:left="357"/>
        <w:jc w:val="both"/>
        <w:rPr>
          <w:color w:val="000000"/>
        </w:rPr>
      </w:pPr>
    </w:p>
    <w:p w14:paraId="49DF910C" w14:textId="77777777" w:rsidR="00FD34C7" w:rsidRDefault="00BD66D5" w:rsidP="00D44F38">
      <w:pPr>
        <w:pStyle w:val="Nadpis6"/>
        <w:spacing w:after="100"/>
      </w:pPr>
      <w:r>
        <w:t xml:space="preserve">Článek </w:t>
      </w:r>
      <w:r w:rsidR="00AE6003">
        <w:t>V</w:t>
      </w:r>
      <w:r w:rsidR="00FD34C7">
        <w:t>.</w:t>
      </w:r>
    </w:p>
    <w:p w14:paraId="20CC59CB" w14:textId="77777777" w:rsidR="00FD34C7" w:rsidRPr="00D44F38" w:rsidRDefault="00FD34C7" w:rsidP="00D44F38">
      <w:pPr>
        <w:pStyle w:val="Nadpis6"/>
        <w:spacing w:after="100"/>
      </w:pPr>
      <w:r w:rsidRPr="00D44F38">
        <w:t>Licenční ujednání</w:t>
      </w:r>
    </w:p>
    <w:p w14:paraId="5A9D91D1" w14:textId="77777777" w:rsidR="00193F89" w:rsidRPr="00193F89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193F89">
        <w:t xml:space="preserve">Zhotovitel díla prohlašuje, že je oprávněn vykonávat svým jménem a na svůj účet majetková práva autorů k dílu a že má souhlas autorů k uzavření následujících licenčních ujednání, toto prohlášení zahrnuje i taková práva autorů, která by vytvořením díla teprve vznikla. </w:t>
      </w:r>
    </w:p>
    <w:p w14:paraId="69EFED4B" w14:textId="77777777" w:rsidR="00193F89" w:rsidRPr="00193F89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193F89">
        <w:t>Zhotovitel díla poskytuje objednateli díla (nabyvateli licence) oprávnění ke všem v úvahu přicházejícím způsobům užití díla a bez jakéhokoliv omezení, a to zejména pokud jde o územní, časový nebo množstevní rozsah užití.</w:t>
      </w:r>
    </w:p>
    <w:p w14:paraId="346F4571" w14:textId="77777777" w:rsidR="00193F89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193F89">
        <w:t>Zhotovitel díla poskytuje tuto licenci díla objednateli díla (nabyvateli licence) bezúplatně.</w:t>
      </w:r>
    </w:p>
    <w:p w14:paraId="2BC7C8CF" w14:textId="16724EDC" w:rsidR="00193F89" w:rsidRPr="005D7B02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5D7B02">
        <w:t xml:space="preserve">Zhotovitel díla poskytuje licenci objednateli díla (nabyvateli licence) </w:t>
      </w:r>
      <w:r w:rsidRPr="005D7B02">
        <w:rPr>
          <w:color w:val="000000" w:themeColor="text1"/>
        </w:rPr>
        <w:t>jako výhradní</w:t>
      </w:r>
      <w:r w:rsidRPr="005D7B02">
        <w:t xml:space="preserve">. </w:t>
      </w:r>
    </w:p>
    <w:p w14:paraId="2A6F6EFD" w14:textId="77777777" w:rsidR="00193F89" w:rsidRPr="00193F89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193F89">
        <w:t>Objednatel díla (nabyvatel licence) je oprávněn práva tvořící součást licence zcela nebo zčásti jako podlicenci poskytnout třetí osobě</w:t>
      </w:r>
      <w:r w:rsidR="00716FED">
        <w:t xml:space="preserve"> neomezeně</w:t>
      </w:r>
      <w:r w:rsidRPr="00193F89">
        <w:t>.</w:t>
      </w:r>
    </w:p>
    <w:p w14:paraId="1001A5D2" w14:textId="7284B190" w:rsidR="00193F89" w:rsidRPr="00193F89" w:rsidRDefault="00193F89" w:rsidP="00BD66D5">
      <w:pPr>
        <w:numPr>
          <w:ilvl w:val="0"/>
          <w:numId w:val="25"/>
        </w:numPr>
        <w:spacing w:after="100"/>
        <w:ind w:left="357" w:hanging="357"/>
        <w:jc w:val="both"/>
      </w:pPr>
      <w:r w:rsidRPr="00193F89">
        <w:t>Objednatel díla (nabyvatel licence)</w:t>
      </w:r>
      <w:r w:rsidR="00716FED">
        <w:t xml:space="preserve"> </w:t>
      </w:r>
      <w:r w:rsidRPr="00193F89">
        <w:t>je oprávněn upravit či jinak měnit dílo, jeho název nebo označení autorů, stejně jako spojit dílo s jiným dílem nebo zařadit dílo do díla souborného, a to přímo nebo prostřednictvím třetích osob.</w:t>
      </w:r>
      <w:r w:rsidR="002935F0">
        <w:t xml:space="preserve"> Současně s tím je objednatel díla oprávněn dílo, příp. jeho dílčí část zveřejnit a to bez jakýchkoliv omezení.</w:t>
      </w:r>
      <w:r w:rsidR="00946499">
        <w:t xml:space="preserve"> </w:t>
      </w:r>
    </w:p>
    <w:p w14:paraId="2A432ED3" w14:textId="52A57B0E" w:rsidR="00193F89" w:rsidRDefault="00193F89" w:rsidP="002A2D70">
      <w:pPr>
        <w:numPr>
          <w:ilvl w:val="0"/>
          <w:numId w:val="25"/>
        </w:numPr>
        <w:spacing w:after="100"/>
        <w:jc w:val="both"/>
      </w:pPr>
      <w:r w:rsidRPr="00193F89">
        <w:t xml:space="preserve">Pro účely tohoto článku se dílem rozumí </w:t>
      </w:r>
      <w:r w:rsidR="002A2D70" w:rsidRPr="002A2D70">
        <w:t>Studie obsahující požadavky pro výběr farem</w:t>
      </w:r>
      <w:r w:rsidR="00E41AB8">
        <w:t>.</w:t>
      </w:r>
    </w:p>
    <w:p w14:paraId="64733DA8" w14:textId="77777777" w:rsidR="000F4B8A" w:rsidRDefault="000F4B8A" w:rsidP="00D44F38">
      <w:pPr>
        <w:pStyle w:val="Zkladntext3"/>
        <w:spacing w:after="100"/>
        <w:jc w:val="center"/>
      </w:pPr>
    </w:p>
    <w:p w14:paraId="18596C73" w14:textId="32A0BE22" w:rsidR="00B62761" w:rsidRPr="00B62761" w:rsidRDefault="00AE6003" w:rsidP="00D44F38">
      <w:pPr>
        <w:pStyle w:val="Zkladntext3"/>
        <w:spacing w:after="100"/>
        <w:jc w:val="center"/>
        <w:rPr>
          <w:b/>
        </w:rPr>
      </w:pPr>
      <w:r>
        <w:rPr>
          <w:b/>
        </w:rPr>
        <w:t>Článek V</w:t>
      </w:r>
      <w:r w:rsidR="00E66F18">
        <w:rPr>
          <w:b/>
        </w:rPr>
        <w:t>I</w:t>
      </w:r>
      <w:r w:rsidR="00B62761" w:rsidRPr="00B62761">
        <w:rPr>
          <w:b/>
        </w:rPr>
        <w:t>.</w:t>
      </w:r>
    </w:p>
    <w:p w14:paraId="39A22662" w14:textId="77777777" w:rsidR="00B62761" w:rsidRPr="00B62761" w:rsidRDefault="00B62761" w:rsidP="00D44F38">
      <w:pPr>
        <w:pStyle w:val="Zkladntext3"/>
        <w:spacing w:after="100"/>
        <w:jc w:val="center"/>
        <w:rPr>
          <w:b/>
        </w:rPr>
      </w:pPr>
      <w:r w:rsidRPr="00B62761">
        <w:rPr>
          <w:b/>
        </w:rPr>
        <w:t>Vady díla</w:t>
      </w:r>
    </w:p>
    <w:p w14:paraId="1CA756B2" w14:textId="15E37163" w:rsidR="00B62761" w:rsidRPr="00E66F18" w:rsidRDefault="00B62761" w:rsidP="00AE6003">
      <w:pPr>
        <w:numPr>
          <w:ilvl w:val="0"/>
          <w:numId w:val="16"/>
        </w:numPr>
        <w:spacing w:after="100"/>
        <w:ind w:left="357" w:hanging="357"/>
        <w:jc w:val="both"/>
      </w:pPr>
      <w:r w:rsidRPr="00E66F18">
        <w:t xml:space="preserve">Zhotovitel </w:t>
      </w:r>
      <w:r w:rsidR="00E66F18" w:rsidRPr="00E66F18">
        <w:t>garantuje, že dílo vytvořené na základě smlouvy je úplné a že jeho vlastnosti odpovídají vlastnostem díla, sjednaným smlouvou. Zhotovitel poskytuje záruku za jakost díla od okamžiku protokolárního předání díla</w:t>
      </w:r>
      <w:r w:rsidR="00786196">
        <w:t>, kterým se rozumí vypracování finálního protokolu o předání a převzetí díla,</w:t>
      </w:r>
      <w:r w:rsidR="00E66F18" w:rsidRPr="00E66F18">
        <w:t xml:space="preserve"> po dobu </w:t>
      </w:r>
      <w:r w:rsidRPr="00E66F18">
        <w:t>24 měsíců.</w:t>
      </w:r>
    </w:p>
    <w:p w14:paraId="5AB59D04" w14:textId="77777777" w:rsidR="00B62761" w:rsidRDefault="00B62761" w:rsidP="00AE6003">
      <w:pPr>
        <w:numPr>
          <w:ilvl w:val="0"/>
          <w:numId w:val="16"/>
        </w:numPr>
        <w:spacing w:after="100"/>
        <w:ind w:left="357" w:hanging="357"/>
        <w:jc w:val="both"/>
      </w:pPr>
      <w:r>
        <w:t xml:space="preserve">V případě, že předané dílo vykazuje vady, musí tyto vady objednatel bez zbytečného odkladu písemně u zhotovitele reklamovat. Písemná forma je podmínkou platnosti reklamace. V reklamaci musí objednatel uvést, jak se zjištěné vady projevují. Odstranění vad provede zhotovitel na svůj náklad nejpozději do 1 měsíce od obdržení písemné reklamace. </w:t>
      </w:r>
    </w:p>
    <w:p w14:paraId="04557EB2" w14:textId="77777777" w:rsidR="00B62761" w:rsidRDefault="00B62761" w:rsidP="00B62761">
      <w:pPr>
        <w:pStyle w:val="Zkladntext3"/>
      </w:pPr>
      <w:r>
        <w:tab/>
      </w:r>
    </w:p>
    <w:p w14:paraId="5EEA16C7" w14:textId="77777777" w:rsidR="00B62761" w:rsidRPr="00B62761" w:rsidRDefault="00AE6003" w:rsidP="00D44F38">
      <w:pPr>
        <w:pStyle w:val="Zkladntext3"/>
        <w:spacing w:after="100"/>
        <w:jc w:val="center"/>
        <w:rPr>
          <w:b/>
        </w:rPr>
      </w:pPr>
      <w:r>
        <w:rPr>
          <w:b/>
        </w:rPr>
        <w:t>Článek V</w:t>
      </w:r>
      <w:r w:rsidR="00B62761" w:rsidRPr="00B62761">
        <w:rPr>
          <w:b/>
        </w:rPr>
        <w:t>I</w:t>
      </w:r>
      <w:r w:rsidR="00E66F18">
        <w:rPr>
          <w:b/>
        </w:rPr>
        <w:t>I</w:t>
      </w:r>
      <w:r w:rsidR="00B62761" w:rsidRPr="00B62761">
        <w:rPr>
          <w:b/>
        </w:rPr>
        <w:t>.</w:t>
      </w:r>
    </w:p>
    <w:p w14:paraId="5578BF43" w14:textId="77777777" w:rsidR="00B62761" w:rsidRPr="00B62761" w:rsidRDefault="00B62761" w:rsidP="00D44F38">
      <w:pPr>
        <w:pStyle w:val="Zkladntext3"/>
        <w:spacing w:after="100"/>
        <w:jc w:val="center"/>
        <w:rPr>
          <w:b/>
        </w:rPr>
      </w:pPr>
      <w:r w:rsidRPr="00B62761">
        <w:rPr>
          <w:b/>
        </w:rPr>
        <w:t>Sankční ustanovení, náhrada škody</w:t>
      </w:r>
    </w:p>
    <w:p w14:paraId="144E478E" w14:textId="77777777" w:rsidR="00B62761" w:rsidRPr="00D44F38" w:rsidRDefault="00B62761" w:rsidP="00AE6003">
      <w:pPr>
        <w:numPr>
          <w:ilvl w:val="0"/>
          <w:numId w:val="17"/>
        </w:numPr>
        <w:spacing w:after="100"/>
        <w:ind w:left="357" w:hanging="357"/>
        <w:jc w:val="both"/>
      </w:pPr>
      <w:r w:rsidRPr="00D44F38">
        <w:lastRenderedPageBreak/>
        <w:t xml:space="preserve">V případě prodlení objednatele s platbou, na kterou vznikl zhotoviteli nárok, uhradí objednatel úrok z prodlení ve výši 0,01 % z dlužné částky za každý, i započatý den prodlení. </w:t>
      </w:r>
    </w:p>
    <w:p w14:paraId="1A1BE0BD" w14:textId="77777777" w:rsidR="00E66F18" w:rsidRDefault="00E66F18" w:rsidP="00E66F18">
      <w:pPr>
        <w:numPr>
          <w:ilvl w:val="0"/>
          <w:numId w:val="17"/>
        </w:numPr>
        <w:spacing w:after="100"/>
        <w:ind w:left="357" w:hanging="357"/>
        <w:jc w:val="both"/>
      </w:pPr>
      <w:r w:rsidRPr="00E85B8E">
        <w:t>V případě porušení smluvních povinností dle čl. I</w:t>
      </w:r>
      <w:r>
        <w:t>. a II</w:t>
      </w:r>
      <w:r w:rsidRPr="00E85B8E">
        <w:t xml:space="preserve">. smlouvy (vyjma doby plnění) ze strany zhotovitele přísluší objednateli smluvní pokuta ve výši </w:t>
      </w:r>
      <w:r>
        <w:t>20 % z ceny plnění uvedené v čl.</w:t>
      </w:r>
      <w:r w:rsidRPr="00E85B8E">
        <w:t xml:space="preserve"> </w:t>
      </w:r>
      <w:r>
        <w:t xml:space="preserve">III. odst. </w:t>
      </w:r>
      <w:r w:rsidRPr="00E85B8E">
        <w:t>1.</w:t>
      </w:r>
      <w:r>
        <w:t>,</w:t>
      </w:r>
      <w:r w:rsidRPr="00E85B8E">
        <w:t xml:space="preserve"> včetně DPH, a to za každé jednotlivé porušení.</w:t>
      </w:r>
    </w:p>
    <w:p w14:paraId="3A897772" w14:textId="77777777" w:rsidR="00E66F18" w:rsidRPr="00E66F18" w:rsidRDefault="00E66F18" w:rsidP="00E66F18">
      <w:pPr>
        <w:numPr>
          <w:ilvl w:val="0"/>
          <w:numId w:val="17"/>
        </w:numPr>
        <w:spacing w:after="100"/>
        <w:ind w:left="357" w:hanging="357"/>
        <w:jc w:val="both"/>
        <w:rPr>
          <w:color w:val="000000" w:themeColor="text1"/>
        </w:rPr>
      </w:pPr>
      <w:r w:rsidRPr="00E66F18">
        <w:rPr>
          <w:color w:val="000000"/>
        </w:rPr>
        <w:t xml:space="preserve">Nesplní-li zhotovitel povinnost předat řádně provedené dílo objednateli v době uvedené v čl. II. odst. 3, přísluší objednateli smluvní pokuta ve výši </w:t>
      </w:r>
      <w:r>
        <w:rPr>
          <w:color w:val="000000" w:themeColor="text1"/>
        </w:rPr>
        <w:t xml:space="preserve">0,5 </w:t>
      </w:r>
      <w:r w:rsidRPr="00E66F18">
        <w:rPr>
          <w:color w:val="000000"/>
        </w:rPr>
        <w:t>% z ceny plnění uvedené v čl. III. 1. včetně DPH, a to za každý den prodlení.</w:t>
      </w:r>
    </w:p>
    <w:p w14:paraId="46B82083" w14:textId="77777777" w:rsidR="00E66F18" w:rsidRPr="00E66F18" w:rsidRDefault="00E66F18" w:rsidP="00E66F18">
      <w:pPr>
        <w:numPr>
          <w:ilvl w:val="0"/>
          <w:numId w:val="17"/>
        </w:numPr>
        <w:spacing w:after="100"/>
        <w:ind w:left="357" w:hanging="357"/>
        <w:jc w:val="both"/>
        <w:rPr>
          <w:color w:val="000000"/>
        </w:rPr>
      </w:pPr>
      <w:r w:rsidRPr="00E66F18">
        <w:rPr>
          <w:color w:val="000000" w:themeColor="text1"/>
        </w:rPr>
        <w:t>N</w:t>
      </w:r>
      <w:r w:rsidRPr="00E66F18">
        <w:rPr>
          <w:color w:val="000000"/>
        </w:rPr>
        <w:t xml:space="preserve">eodstraní-li zhotovitel při provádění díla zjištěné nedostatky podle čl. II odst. 2 ve lhůtě stanovené mu objednatelem, je zhotovitel povinen zaplatit objednateli smluvní pokutu ve výši </w:t>
      </w:r>
      <w:r w:rsidR="00716FED">
        <w:rPr>
          <w:color w:val="000000" w:themeColor="text1"/>
        </w:rPr>
        <w:t>200</w:t>
      </w:r>
      <w:r w:rsidR="00491CE8">
        <w:rPr>
          <w:color w:val="000000" w:themeColor="text1"/>
        </w:rPr>
        <w:t>,-</w:t>
      </w:r>
      <w:r w:rsidRPr="00E66F18">
        <w:rPr>
          <w:color w:val="000000"/>
        </w:rPr>
        <w:t xml:space="preserve"> Kč (</w:t>
      </w:r>
      <w:r w:rsidR="00716FED">
        <w:rPr>
          <w:color w:val="000000"/>
        </w:rPr>
        <w:t>dvě stě</w:t>
      </w:r>
      <w:r w:rsidR="00716FED">
        <w:rPr>
          <w:color w:val="000000" w:themeColor="text1"/>
        </w:rPr>
        <w:t xml:space="preserve"> </w:t>
      </w:r>
      <w:r w:rsidRPr="00E66F18">
        <w:rPr>
          <w:color w:val="000000"/>
        </w:rPr>
        <w:t xml:space="preserve">korun českých), </w:t>
      </w:r>
      <w:r w:rsidR="00A14860">
        <w:rPr>
          <w:color w:val="000000"/>
        </w:rPr>
        <w:t>a to za každý den prodlení.</w:t>
      </w:r>
    </w:p>
    <w:p w14:paraId="20C4221A" w14:textId="784807F8" w:rsidR="00E85B8E" w:rsidRDefault="00E85B8E" w:rsidP="00AE6003">
      <w:pPr>
        <w:numPr>
          <w:ilvl w:val="0"/>
          <w:numId w:val="17"/>
        </w:numPr>
        <w:spacing w:after="100"/>
        <w:ind w:left="357" w:hanging="357"/>
        <w:jc w:val="both"/>
      </w:pPr>
      <w:r w:rsidRPr="00E85B8E">
        <w:t>Uplatněním smluvní pokuty není dotčeno právo objednatele na náhradu škody v plné výši, pokud mu v důsledku porušení smluvní povinnosti zhotovitelem vznikne, ani právo objednatele na odstoupení od této smlouvy, ani povinnost zhotovitele ke splnění povinnosti zajištěné smluvní pokutou</w:t>
      </w:r>
      <w:r w:rsidR="00AE78C2">
        <w:t>.</w:t>
      </w:r>
      <w:r w:rsidRPr="00E85B8E">
        <w:t xml:space="preserve"> </w:t>
      </w:r>
    </w:p>
    <w:p w14:paraId="37938413" w14:textId="77777777" w:rsidR="005018A9" w:rsidRDefault="005018A9" w:rsidP="00D44F38">
      <w:pPr>
        <w:pStyle w:val="Zkladntext3"/>
        <w:spacing w:after="100"/>
        <w:jc w:val="center"/>
        <w:rPr>
          <w:b/>
        </w:rPr>
      </w:pPr>
    </w:p>
    <w:p w14:paraId="679FE3BB" w14:textId="77777777" w:rsidR="00B62761" w:rsidRPr="007E73CC" w:rsidRDefault="00B62761" w:rsidP="00D44F38">
      <w:pPr>
        <w:pStyle w:val="Zkladntext3"/>
        <w:spacing w:after="100"/>
        <w:jc w:val="center"/>
        <w:rPr>
          <w:b/>
        </w:rPr>
      </w:pPr>
      <w:r w:rsidRPr="007E73CC">
        <w:rPr>
          <w:b/>
        </w:rPr>
        <w:t>Článek VII</w:t>
      </w:r>
      <w:r w:rsidR="00E66F18">
        <w:rPr>
          <w:b/>
        </w:rPr>
        <w:t>I</w:t>
      </w:r>
      <w:r w:rsidRPr="007E73CC">
        <w:rPr>
          <w:b/>
        </w:rPr>
        <w:t>.</w:t>
      </w:r>
    </w:p>
    <w:p w14:paraId="7BF07DBB" w14:textId="77777777" w:rsidR="00B62761" w:rsidRPr="007E73CC" w:rsidRDefault="00314701" w:rsidP="00D44F38">
      <w:pPr>
        <w:pStyle w:val="Zkladntext3"/>
        <w:spacing w:after="100"/>
        <w:jc w:val="center"/>
        <w:rPr>
          <w:b/>
        </w:rPr>
      </w:pPr>
      <w:r>
        <w:rPr>
          <w:b/>
        </w:rPr>
        <w:t>Mlčenlivost a f</w:t>
      </w:r>
      <w:r w:rsidR="003A6987">
        <w:rPr>
          <w:b/>
        </w:rPr>
        <w:t>inanční</w:t>
      </w:r>
      <w:r w:rsidR="00B62761" w:rsidRPr="007E73CC">
        <w:rPr>
          <w:b/>
        </w:rPr>
        <w:t xml:space="preserve"> kontrola</w:t>
      </w:r>
    </w:p>
    <w:p w14:paraId="5414785A" w14:textId="77777777" w:rsidR="00F452C9" w:rsidRPr="00F452C9" w:rsidRDefault="00F452C9" w:rsidP="00AE6003">
      <w:pPr>
        <w:numPr>
          <w:ilvl w:val="0"/>
          <w:numId w:val="18"/>
        </w:numPr>
        <w:spacing w:after="100"/>
        <w:ind w:left="357" w:hanging="357"/>
        <w:jc w:val="both"/>
      </w:pPr>
      <w:r w:rsidRPr="00F452C9">
        <w:t xml:space="preserve">Zhotovitel se zavazuje během plnění smlouvy i po ukončení smlouvy zachovávat </w:t>
      </w:r>
      <w:r w:rsidRPr="00491CE8">
        <w:t>ml</w:t>
      </w:r>
      <w:r w:rsidR="00491CE8" w:rsidRPr="00491CE8">
        <w:t>čenlivost o všech skutečnostech, o kterých se dozví v souvislosti s plněním smlouvy s výjimkou dodržování zákona č. 106/1999</w:t>
      </w:r>
      <w:r w:rsidR="00A14860">
        <w:t xml:space="preserve"> </w:t>
      </w:r>
      <w:r w:rsidR="00491CE8" w:rsidRPr="00491CE8">
        <w:t>Sb</w:t>
      </w:r>
      <w:r w:rsidR="00A14860">
        <w:t>.</w:t>
      </w:r>
      <w:r w:rsidR="00491CE8" w:rsidRPr="00491CE8">
        <w:t xml:space="preserve">, o svobodném přístupu k informacím, ve znění </w:t>
      </w:r>
      <w:proofErr w:type="spellStart"/>
      <w:r w:rsidR="00491CE8" w:rsidRPr="00491CE8">
        <w:t>pozd</w:t>
      </w:r>
      <w:proofErr w:type="spellEnd"/>
      <w:r w:rsidR="00491CE8" w:rsidRPr="00491CE8">
        <w:t>. předpisů.</w:t>
      </w:r>
    </w:p>
    <w:p w14:paraId="3059F3A1" w14:textId="77777777" w:rsidR="00B62761" w:rsidRDefault="00B62761" w:rsidP="00AE6003">
      <w:pPr>
        <w:numPr>
          <w:ilvl w:val="0"/>
          <w:numId w:val="18"/>
        </w:numPr>
        <w:spacing w:after="100"/>
        <w:ind w:left="357" w:hanging="357"/>
        <w:jc w:val="both"/>
      </w:pPr>
      <w: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05E446A7" w14:textId="77777777" w:rsidR="00B62761" w:rsidRDefault="00B62761" w:rsidP="00B62761">
      <w:pPr>
        <w:pStyle w:val="Zkladntext3"/>
      </w:pPr>
    </w:p>
    <w:p w14:paraId="21771C02" w14:textId="77777777" w:rsidR="00B62761" w:rsidRPr="007E73CC" w:rsidRDefault="00E66F18" w:rsidP="00A6726C">
      <w:pPr>
        <w:pStyle w:val="Zkladntext3"/>
        <w:spacing w:after="100"/>
        <w:jc w:val="center"/>
        <w:rPr>
          <w:b/>
        </w:rPr>
      </w:pPr>
      <w:r>
        <w:rPr>
          <w:b/>
        </w:rPr>
        <w:t xml:space="preserve">Článek </w:t>
      </w:r>
      <w:r w:rsidR="00F221D5">
        <w:rPr>
          <w:b/>
        </w:rPr>
        <w:t>I</w:t>
      </w:r>
      <w:r>
        <w:rPr>
          <w:b/>
        </w:rPr>
        <w:t>X</w:t>
      </w:r>
      <w:r w:rsidR="00B62761" w:rsidRPr="007E73CC">
        <w:rPr>
          <w:b/>
        </w:rPr>
        <w:t>.</w:t>
      </w:r>
    </w:p>
    <w:p w14:paraId="717A3A10" w14:textId="77777777" w:rsidR="00B62761" w:rsidRPr="007E73CC" w:rsidRDefault="00B62761" w:rsidP="00A6726C">
      <w:pPr>
        <w:pStyle w:val="Zkladntext3"/>
        <w:spacing w:after="100"/>
        <w:jc w:val="center"/>
        <w:rPr>
          <w:b/>
        </w:rPr>
      </w:pPr>
      <w:r w:rsidRPr="007E73CC">
        <w:rPr>
          <w:b/>
        </w:rPr>
        <w:t>Společná ujednání</w:t>
      </w:r>
    </w:p>
    <w:p w14:paraId="791260A2" w14:textId="49857C1C" w:rsidR="00B62761" w:rsidRDefault="00B62761" w:rsidP="00AE6003">
      <w:pPr>
        <w:numPr>
          <w:ilvl w:val="0"/>
          <w:numId w:val="20"/>
        </w:numPr>
        <w:spacing w:after="100"/>
        <w:ind w:left="357" w:hanging="357"/>
        <w:jc w:val="both"/>
      </w:pPr>
      <w:r>
        <w:t>Zhotovitel tímto prohlašuje, že je držitelem veškerých povolení a oprávnění, umožňujících mu uskutečnit dílo dle smlouvy</w:t>
      </w:r>
      <w:r w:rsidR="009067BC">
        <w:t xml:space="preserve"> </w:t>
      </w:r>
      <w:r w:rsidR="00BB2731">
        <w:t xml:space="preserve">a jedná se o zhotovitele ve smyslu § 5 ve spojení s § 2950 občanského zákoníku. </w:t>
      </w:r>
    </w:p>
    <w:p w14:paraId="51122B8D" w14:textId="77777777" w:rsidR="00B62761" w:rsidRDefault="00B62761" w:rsidP="00AE6003">
      <w:pPr>
        <w:numPr>
          <w:ilvl w:val="0"/>
          <w:numId w:val="20"/>
        </w:numPr>
        <w:spacing w:after="100"/>
        <w:ind w:left="357" w:hanging="357"/>
        <w:jc w:val="both"/>
      </w:pPr>
      <w:r>
        <w:t xml:space="preserve">Zhotovitel tímto prohlašuje, že v době uzavření smlouvy není v likvidaci a není vůči němu vedeno řízení dle zákona č. 182/2006 Sb., o úpadku a způsobech jeho řešení (insolvenční zákon), ve znění </w:t>
      </w:r>
      <w:proofErr w:type="spellStart"/>
      <w:r>
        <w:t>pozd</w:t>
      </w:r>
      <w:proofErr w:type="spellEnd"/>
      <w:r>
        <w:t>. předpisů a zavazuje se objednatele bezodkladně informovat o všech skutečnos</w:t>
      </w:r>
      <w:r w:rsidR="0002399B">
        <w:t>tech o hrozícím úpadku, popř. o </w:t>
      </w:r>
      <w:r>
        <w:t>prohlášení úpadku jeho společnosti.</w:t>
      </w:r>
    </w:p>
    <w:p w14:paraId="411D8E13" w14:textId="656DC152" w:rsidR="00491CE8" w:rsidRPr="00491CE8" w:rsidRDefault="00491CE8" w:rsidP="00491CE8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491CE8">
        <w:rPr>
          <w:color w:val="000000"/>
        </w:rPr>
        <w:t xml:space="preserve">Objednatel je oprávněn odstoupit od této smlouvy </w:t>
      </w:r>
      <w:r w:rsidR="00F4391D">
        <w:rPr>
          <w:color w:val="000000"/>
        </w:rPr>
        <w:t xml:space="preserve">s právními účinky ve smyslu § 2004 občanského zákoníku, </w:t>
      </w:r>
      <w:r w:rsidRPr="00491CE8">
        <w:rPr>
          <w:color w:val="000000"/>
        </w:rPr>
        <w:t xml:space="preserve">v případě, že </w:t>
      </w:r>
    </w:p>
    <w:p w14:paraId="25E03E2E" w14:textId="77777777" w:rsidR="00491CE8" w:rsidRPr="00491CE8" w:rsidRDefault="00491CE8" w:rsidP="00491CE8">
      <w:pPr>
        <w:pStyle w:val="Odstavecseseznamem"/>
        <w:tabs>
          <w:tab w:val="left" w:pos="0"/>
          <w:tab w:val="left" w:pos="720"/>
          <w:tab w:val="left" w:pos="8400"/>
        </w:tabs>
        <w:ind w:left="786"/>
        <w:jc w:val="both"/>
        <w:rPr>
          <w:color w:val="000000"/>
        </w:rPr>
      </w:pPr>
      <w:r w:rsidRPr="00491CE8">
        <w:rPr>
          <w:color w:val="000000"/>
        </w:rPr>
        <w:t>a) na majetek zhotovitele byl prohlášen úpadek nebo</w:t>
      </w:r>
    </w:p>
    <w:p w14:paraId="26BE24EF" w14:textId="77777777" w:rsidR="00491CE8" w:rsidRPr="00491CE8" w:rsidRDefault="00491CE8" w:rsidP="00491CE8">
      <w:pPr>
        <w:pStyle w:val="Odstavecseseznamem"/>
        <w:tabs>
          <w:tab w:val="left" w:pos="0"/>
          <w:tab w:val="left" w:pos="720"/>
          <w:tab w:val="left" w:pos="8400"/>
        </w:tabs>
        <w:ind w:left="786"/>
        <w:jc w:val="both"/>
        <w:rPr>
          <w:color w:val="000000"/>
        </w:rPr>
      </w:pPr>
      <w:r w:rsidRPr="00491CE8">
        <w:rPr>
          <w:color w:val="000000"/>
        </w:rPr>
        <w:t>b) zhotovitel sám podá dlužnický návrh na zahájení insolvenčního řízení nebo</w:t>
      </w:r>
    </w:p>
    <w:p w14:paraId="679B9D78" w14:textId="77777777" w:rsidR="00491CE8" w:rsidRPr="00491CE8" w:rsidRDefault="009E41F3" w:rsidP="00491CE8">
      <w:pPr>
        <w:pStyle w:val="Odstavecseseznamem"/>
        <w:tabs>
          <w:tab w:val="left" w:pos="0"/>
          <w:tab w:val="left" w:pos="720"/>
          <w:tab w:val="left" w:pos="8400"/>
        </w:tabs>
        <w:ind w:left="786"/>
        <w:jc w:val="both"/>
        <w:rPr>
          <w:color w:val="000000"/>
        </w:rPr>
      </w:pPr>
      <w:r>
        <w:rPr>
          <w:color w:val="000000" w:themeColor="text1"/>
        </w:rPr>
        <w:t xml:space="preserve">c) </w:t>
      </w:r>
      <w:r w:rsidR="00491CE8" w:rsidRPr="00491CE8">
        <w:rPr>
          <w:color w:val="000000"/>
        </w:rPr>
        <w:t xml:space="preserve">insolvenční návrh je zamítnut proto, že majetek nepostačuje k úhradě nákladů </w:t>
      </w:r>
      <w:proofErr w:type="spellStart"/>
      <w:r w:rsidR="00491CE8" w:rsidRPr="00491CE8">
        <w:rPr>
          <w:color w:val="000000"/>
        </w:rPr>
        <w:t>insolovenčího</w:t>
      </w:r>
      <w:proofErr w:type="spellEnd"/>
      <w:r w:rsidR="00491CE8" w:rsidRPr="00491CE8">
        <w:rPr>
          <w:color w:val="000000"/>
        </w:rPr>
        <w:t xml:space="preserve"> řízení (ve znění zákona č. 182/2006 Sb., o úpadku a způsobech jeho řešení (insolvenční zákon), ve znění pozdějších předpisů) nebo</w:t>
      </w:r>
    </w:p>
    <w:p w14:paraId="57F4EAB8" w14:textId="77777777" w:rsidR="00491CE8" w:rsidRPr="00491CE8" w:rsidRDefault="00491CE8" w:rsidP="00491CE8">
      <w:pPr>
        <w:pStyle w:val="Odstavecseseznamem"/>
        <w:tabs>
          <w:tab w:val="left" w:pos="0"/>
          <w:tab w:val="left" w:pos="720"/>
          <w:tab w:val="left" w:pos="8400"/>
        </w:tabs>
        <w:ind w:left="786"/>
        <w:jc w:val="both"/>
        <w:rPr>
          <w:color w:val="000000"/>
        </w:rPr>
      </w:pPr>
      <w:r w:rsidRPr="00491CE8">
        <w:rPr>
          <w:color w:val="000000"/>
        </w:rPr>
        <w:t>d) zhotovitel vstoupí do likvidace nebo</w:t>
      </w:r>
    </w:p>
    <w:p w14:paraId="3BAA04D0" w14:textId="77777777" w:rsidR="00AB62D1" w:rsidRDefault="00491CE8" w:rsidP="00491CE8">
      <w:pPr>
        <w:spacing w:after="100"/>
        <w:ind w:left="786"/>
        <w:jc w:val="both"/>
      </w:pPr>
      <w:r w:rsidRPr="00491CE8">
        <w:rPr>
          <w:color w:val="000000"/>
        </w:rPr>
        <w:lastRenderedPageBreak/>
        <w:t>e) v případě, kdy dojde k  porušení povinnosti zhotovitele, za něž</w:t>
      </w:r>
      <w:r w:rsidRPr="00491CE8">
        <w:t xml:space="preserve"> se považuje prodlení zhotovitele s předáním díla delší </w:t>
      </w:r>
      <w:r w:rsidR="009E41F3">
        <w:t>30</w:t>
      </w:r>
      <w:r w:rsidRPr="00491CE8">
        <w:t xml:space="preserve"> dnů</w:t>
      </w:r>
      <w:r w:rsidR="00716FED">
        <w:t>.</w:t>
      </w:r>
    </w:p>
    <w:p w14:paraId="544CD301" w14:textId="3DF9D887" w:rsidR="005018A9" w:rsidRDefault="00AB62D1" w:rsidP="00491CE8">
      <w:pPr>
        <w:spacing w:after="100"/>
        <w:ind w:left="786"/>
        <w:jc w:val="both"/>
      </w:pPr>
      <w:r>
        <w:t xml:space="preserve">f) v případě, že dojde k opakovanému porušení (min. 2 x) povinnosti uvedené v čl. II odst. 2 </w:t>
      </w:r>
      <w:r w:rsidR="00716FED">
        <w:t xml:space="preserve"> </w:t>
      </w:r>
    </w:p>
    <w:p w14:paraId="56B683AA" w14:textId="727599A4" w:rsidR="00AE78C2" w:rsidRDefault="00716FED" w:rsidP="005018A9">
      <w:pPr>
        <w:spacing w:after="100"/>
        <w:ind w:left="426"/>
        <w:jc w:val="both"/>
      </w:pPr>
      <w:r>
        <w:t>Odstoupení od smlouvy ze strany objednatele je vždy bez jakýchkoliv sankcí vůči objednateli.</w:t>
      </w:r>
      <w:r w:rsidR="005018A9">
        <w:t xml:space="preserve"> </w:t>
      </w:r>
      <w:r w:rsidR="00AE78C2">
        <w:t xml:space="preserve">Odstoupením od smlouvy objednatelem není dotčeno právo objednatele na náhradu škody či právo na úhradu smluvních pokut ve smlouvě předjímaných.   </w:t>
      </w:r>
    </w:p>
    <w:p w14:paraId="723BFB18" w14:textId="77777777" w:rsidR="009E41F3" w:rsidRPr="00491CE8" w:rsidRDefault="009E41F3" w:rsidP="009E41F3">
      <w:pPr>
        <w:numPr>
          <w:ilvl w:val="0"/>
          <w:numId w:val="20"/>
        </w:numPr>
        <w:spacing w:after="100"/>
        <w:ind w:left="357" w:hanging="357"/>
        <w:jc w:val="both"/>
      </w:pPr>
      <w:r w:rsidRPr="00875589">
        <w:t>Zhotovitel má povinnost řídit se veškerými (písemnými nebo ústními</w:t>
      </w:r>
      <w:r>
        <w:t>)</w:t>
      </w:r>
      <w:r w:rsidRPr="00875589">
        <w:t xml:space="preserve"> pokyny objednatele, pokud nejsou v přímém rozporu se zněním smlouvy a s příslušnými platnými právními předpisy.</w:t>
      </w:r>
    </w:p>
    <w:p w14:paraId="021CAD07" w14:textId="77777777" w:rsidR="00491CE8" w:rsidRPr="00491CE8" w:rsidRDefault="00491CE8" w:rsidP="009E41F3">
      <w:pPr>
        <w:pStyle w:val="Odstavecseseznamem"/>
        <w:numPr>
          <w:ilvl w:val="0"/>
          <w:numId w:val="20"/>
        </w:numPr>
        <w:tabs>
          <w:tab w:val="left" w:pos="0"/>
          <w:tab w:val="left" w:pos="720"/>
          <w:tab w:val="left" w:pos="8400"/>
        </w:tabs>
        <w:spacing w:after="120"/>
        <w:ind w:left="357" w:hanging="357"/>
        <w:jc w:val="both"/>
      </w:pPr>
      <w:r w:rsidRPr="00491CE8">
        <w:t xml:space="preserve">Zhotovitel se zavazuje postupovat při plnění smlouvy v souladu smlouvou a se všemi aktuálně platnými právními předpisy. </w:t>
      </w:r>
    </w:p>
    <w:p w14:paraId="212688D6" w14:textId="77777777" w:rsidR="00491CE8" w:rsidRPr="00491CE8" w:rsidRDefault="00491CE8" w:rsidP="009E41F3">
      <w:pPr>
        <w:pStyle w:val="Odstavecseseznamem"/>
        <w:numPr>
          <w:ilvl w:val="0"/>
          <w:numId w:val="20"/>
        </w:numPr>
        <w:tabs>
          <w:tab w:val="left" w:pos="0"/>
          <w:tab w:val="left" w:pos="720"/>
          <w:tab w:val="left" w:pos="8400"/>
        </w:tabs>
        <w:spacing w:after="120"/>
        <w:ind w:left="357" w:hanging="357"/>
        <w:jc w:val="both"/>
      </w:pPr>
      <w:r w:rsidRPr="00491CE8">
        <w:t xml:space="preserve">V případě, že zhotovitel bude v okamžiku plnění předmětu této smlouvy uveden správcem daně jako „nespolehlivý plátce“ dle § 106a zákona č. 235/2004 Sb., o dani z přidané hodnoty, ve znění </w:t>
      </w:r>
      <w:proofErr w:type="spellStart"/>
      <w:r w:rsidRPr="00491CE8">
        <w:t>pozd</w:t>
      </w:r>
      <w:proofErr w:type="spellEnd"/>
      <w:r w:rsidRPr="00491CE8">
        <w:t>. předpisů nebo že účet zhotovitele, který zhotovitel uvedl na jím vystaveném daňovém dokladu, nebude zveřejněn správcem daně dle § 98 písm. d) zákona č. 235/2004 Sb. nebo že účet zhotovitele, který zhotovitel uvedl na jím vystaveném daňovém dokladu, bude účtem vedeným zhotovitelem platebních služeb mimo tuzemsko, bude plnění dle této smlouvy považováno za uhrazené i tak, že objednatel uhradí zhotoviteli pouze cenu bez DPH a DPH uhradí objednatel přímo na účet finančního úřadu</w:t>
      </w:r>
      <w:r w:rsidR="005019E7">
        <w:t>.</w:t>
      </w:r>
    </w:p>
    <w:p w14:paraId="5E5C426C" w14:textId="77777777" w:rsidR="00491CE8" w:rsidRPr="00491CE8" w:rsidRDefault="00491CE8" w:rsidP="009E41F3">
      <w:pPr>
        <w:pStyle w:val="Odstavecseseznamem"/>
        <w:numPr>
          <w:ilvl w:val="0"/>
          <w:numId w:val="20"/>
        </w:numPr>
        <w:tabs>
          <w:tab w:val="left" w:pos="0"/>
          <w:tab w:val="left" w:pos="720"/>
          <w:tab w:val="left" w:pos="8400"/>
        </w:tabs>
        <w:spacing w:after="120"/>
        <w:ind w:left="357" w:hanging="357"/>
        <w:jc w:val="both"/>
      </w:pPr>
      <w:r w:rsidRPr="00491CE8">
        <w:t>Zhotovitel si zajistí podklady potřebné pro zpracování díla vlastními prostředky.</w:t>
      </w:r>
    </w:p>
    <w:p w14:paraId="59E52EBA" w14:textId="77777777" w:rsidR="00A14860" w:rsidRDefault="00A14860" w:rsidP="007207A2">
      <w:pPr>
        <w:pStyle w:val="Odstavecseseznamem"/>
        <w:tabs>
          <w:tab w:val="left" w:pos="284"/>
          <w:tab w:val="left" w:pos="720"/>
          <w:tab w:val="left" w:pos="8400"/>
        </w:tabs>
        <w:spacing w:after="120"/>
        <w:ind w:left="357"/>
        <w:jc w:val="both"/>
      </w:pPr>
    </w:p>
    <w:p w14:paraId="483E7A93" w14:textId="77777777" w:rsidR="00ED6399" w:rsidRDefault="00DD2FC5" w:rsidP="00A6726C">
      <w:pPr>
        <w:pStyle w:val="Nadpis6"/>
        <w:spacing w:after="100"/>
      </w:pPr>
      <w:r>
        <w:t xml:space="preserve">Článek </w:t>
      </w:r>
      <w:r w:rsidR="00660F44">
        <w:t>X</w:t>
      </w:r>
      <w:r w:rsidR="00806084">
        <w:t xml:space="preserve">. </w:t>
      </w:r>
    </w:p>
    <w:p w14:paraId="1FF12D8D" w14:textId="77777777" w:rsidR="00806084" w:rsidRDefault="00806084" w:rsidP="00A6726C">
      <w:pPr>
        <w:pStyle w:val="Nadpis6"/>
        <w:spacing w:after="100"/>
      </w:pPr>
      <w:r>
        <w:t>Závěrečná ustanovení</w:t>
      </w:r>
    </w:p>
    <w:p w14:paraId="026D2D07" w14:textId="77777777" w:rsidR="007E73CC" w:rsidRPr="009E41F3" w:rsidRDefault="007E73CC" w:rsidP="00AE6003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>
        <w:t xml:space="preserve">Veškeré změny a doplňky smlouvy budou uskutečněny po vzájemné dohodě smluvních </w:t>
      </w:r>
      <w:r w:rsidRPr="009E41F3">
        <w:rPr>
          <w:color w:val="000000" w:themeColor="text1"/>
        </w:rPr>
        <w:t>stran formou písemných dodatků, podepsanými oprávněnými zástupci obou smluvních stran.</w:t>
      </w:r>
    </w:p>
    <w:p w14:paraId="31651EDD" w14:textId="5F971285" w:rsidR="009E41F3" w:rsidRPr="009E41F3" w:rsidRDefault="009E41F3" w:rsidP="009E41F3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9E41F3">
        <w:rPr>
          <w:color w:val="000000"/>
        </w:rPr>
        <w:t xml:space="preserve">V případě, že práva a povinnosti smluvních stran nejsou upraveny touto smlouvou, řídí se ustanoveními § 2586 a násl. občanského zákoníku </w:t>
      </w:r>
      <w:r w:rsidR="00BB2731">
        <w:rPr>
          <w:color w:val="000000"/>
        </w:rPr>
        <w:t xml:space="preserve">a </w:t>
      </w:r>
      <w:r w:rsidRPr="009E41F3">
        <w:rPr>
          <w:color w:val="000000"/>
        </w:rPr>
        <w:t>subsidiárně dalšími ustanoveními občanského zákoníku.</w:t>
      </w:r>
      <w:r w:rsidR="00C36843">
        <w:rPr>
          <w:color w:val="000000"/>
        </w:rPr>
        <w:t xml:space="preserve"> Smluvní strany se výslovně dohodly na vyloučení § 2359</w:t>
      </w:r>
      <w:r w:rsidR="00AE78C2">
        <w:rPr>
          <w:color w:val="000000"/>
        </w:rPr>
        <w:t xml:space="preserve"> odst. 1</w:t>
      </w:r>
      <w:r w:rsidR="00C36843">
        <w:rPr>
          <w:color w:val="000000"/>
        </w:rPr>
        <w:t>, § 2370, § 2372 odst. 2, § 2378, § 2382</w:t>
      </w:r>
      <w:r w:rsidR="00282954">
        <w:rPr>
          <w:color w:val="000000"/>
        </w:rPr>
        <w:t>, § 2605 odst. 2,</w:t>
      </w:r>
      <w:r w:rsidR="00AE78C2">
        <w:rPr>
          <w:color w:val="000000"/>
        </w:rPr>
        <w:t xml:space="preserve"> § 2618 občanského zákoníku.</w:t>
      </w:r>
    </w:p>
    <w:p w14:paraId="3EAFCE8A" w14:textId="77777777" w:rsidR="005018A9" w:rsidRDefault="009E41F3" w:rsidP="005018A9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9E41F3">
        <w:rPr>
          <w:color w:val="000000"/>
        </w:rPr>
        <w:t>Smlouva nabývá platnosti a účinnosti dnem podpisu oprávněnými zástupci smluvních stran</w:t>
      </w:r>
      <w:r w:rsidRPr="009E41F3">
        <w:rPr>
          <w:color w:val="000000" w:themeColor="text1"/>
        </w:rPr>
        <w:t>.</w:t>
      </w:r>
    </w:p>
    <w:p w14:paraId="47A73655" w14:textId="69044CD0" w:rsidR="002709AD" w:rsidRPr="005018A9" w:rsidRDefault="002709AD" w:rsidP="005018A9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5018A9">
        <w:t xml:space="preserve">Zhotovitel </w:t>
      </w:r>
      <w:r w:rsidR="00DA1124" w:rsidRPr="005018A9">
        <w:t xml:space="preserve">je </w:t>
      </w:r>
      <w:r w:rsidRPr="005018A9">
        <w:t>srozuměn s tím, že dle § 147a odst. 1 písm.</w:t>
      </w:r>
      <w:r w:rsidRPr="005018A9">
        <w:rPr>
          <w:rFonts w:eastAsia="Calibri"/>
          <w:iCs/>
        </w:rPr>
        <w:t xml:space="preserve"> a) ZVZ je Objednatel povinen uveřejnit na svém profilu zadavatele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smlouvu uzavřenou na veřejnou zakázku včetně všech jejích změn a dodatků, přičemž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profilem zadavatele se ve smyslu § 17 písm. w) ZVZ rozumí elektronický nástroj,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prostřednictvím kterého Zadavatel podle tohoto zákona uveřejňuje informace a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dokumenty ke svým veřejným zakázkám způsobem, který umožňuje neomezený a přímý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dálkový přístup, a jehož internetová adresa je uveřejněna ve Věstníku veřejných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zakázek; požadavky na náležitosti profilu Objednatele stanoví prováděcí právní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>předpis. Dále dle písmene b) § 147a odst. 1 výše uvedeného zákona je Objednatel</w:t>
      </w:r>
      <w:r w:rsidRPr="005018A9">
        <w:rPr>
          <w:color w:val="000000"/>
        </w:rPr>
        <w:t xml:space="preserve"> </w:t>
      </w:r>
      <w:r w:rsidRPr="005018A9">
        <w:rPr>
          <w:rFonts w:eastAsia="Calibri"/>
          <w:iCs/>
        </w:rPr>
        <w:t xml:space="preserve">povinen uveřejnit na svém profilu výši skutečné uhrazené ceny a dle písmene c) konečný seznam subdodavatelů Dodavatele. Zhotovitel je současně srozuměn s tím, že Objednatel je současně povinen zveřejnit obraz smlouvy a jejich případných změn (dodatků) a dalších smluv od této smlouvy odvozených včetně </w:t>
      </w:r>
      <w:proofErr w:type="spellStart"/>
      <w:r w:rsidRPr="005018A9">
        <w:rPr>
          <w:rFonts w:eastAsia="Calibri"/>
          <w:iCs/>
        </w:rPr>
        <w:t>metadat</w:t>
      </w:r>
      <w:proofErr w:type="spellEnd"/>
      <w:r w:rsidRPr="005018A9">
        <w:rPr>
          <w:rFonts w:eastAsia="Calibri"/>
          <w:iCs/>
        </w:rPr>
        <w:t xml:space="preserve"> požadovaných k uveřejnění dle zákona č. </w:t>
      </w:r>
      <w:r w:rsidR="005018A9">
        <w:rPr>
          <w:rFonts w:eastAsia="Calibri"/>
          <w:iCs/>
        </w:rPr>
        <w:t>340/2015 Sb.</w:t>
      </w:r>
      <w:r w:rsidR="00DA1124">
        <w:rPr>
          <w:rFonts w:eastAsia="Calibri"/>
          <w:iCs/>
        </w:rPr>
        <w:t>, o </w:t>
      </w:r>
      <w:r w:rsidR="005018A9">
        <w:rPr>
          <w:rFonts w:eastAsia="Calibri"/>
          <w:iCs/>
        </w:rPr>
        <w:t>registru smluv.</w:t>
      </w:r>
    </w:p>
    <w:p w14:paraId="1EDD3D47" w14:textId="77777777" w:rsidR="009E41F3" w:rsidRPr="009E41F3" w:rsidRDefault="009E41F3" w:rsidP="009E41F3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9E41F3">
        <w:rPr>
          <w:color w:val="000000"/>
        </w:rPr>
        <w:lastRenderedPageBreak/>
        <w:t xml:space="preserve">Smlouva je vyhotovena ve </w:t>
      </w:r>
      <w:r w:rsidRPr="009E41F3">
        <w:rPr>
          <w:color w:val="000000" w:themeColor="text1"/>
        </w:rPr>
        <w:t>4</w:t>
      </w:r>
      <w:r w:rsidRPr="009E41F3">
        <w:rPr>
          <w:color w:val="000000"/>
        </w:rPr>
        <w:t xml:space="preserve"> stejnopisech každý s platností originálu, z nichž objednatel obdrží </w:t>
      </w:r>
      <w:r w:rsidRPr="009E41F3">
        <w:rPr>
          <w:color w:val="000000" w:themeColor="text1"/>
        </w:rPr>
        <w:t xml:space="preserve">2 </w:t>
      </w:r>
      <w:r w:rsidRPr="009E41F3">
        <w:rPr>
          <w:color w:val="000000"/>
        </w:rPr>
        <w:t xml:space="preserve">výtisky a zhotovitel obdrží </w:t>
      </w:r>
      <w:r w:rsidRPr="009E41F3">
        <w:rPr>
          <w:color w:val="000000" w:themeColor="text1"/>
        </w:rPr>
        <w:t>2</w:t>
      </w:r>
      <w:r w:rsidRPr="009E41F3">
        <w:rPr>
          <w:color w:val="000000"/>
        </w:rPr>
        <w:t xml:space="preserve"> výtisky.</w:t>
      </w:r>
    </w:p>
    <w:p w14:paraId="5CDD8E6F" w14:textId="77777777" w:rsidR="00E6763E" w:rsidRPr="00E6763E" w:rsidRDefault="009E41F3" w:rsidP="003D3C5C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E6763E">
        <w:rPr>
          <w:color w:val="000000"/>
        </w:rPr>
        <w:t xml:space="preserve">Ukončením účinnosti této smlouvy nejsou dotčena ustanovení smlouvy týkající se záruk, nároku z vadného plnění, nároku z náhrady škody, nároku ze smluvních pokut či úroků z prodlení, ustanovení o ochraně informací, licenčních ujednání, ani další ustanovení a nároky, z jejichž povahy vyplývá, že mají trvat i po zániku účinnosti této smlouvy. </w:t>
      </w:r>
    </w:p>
    <w:p w14:paraId="7F8159FE" w14:textId="3AAE2186" w:rsidR="009E41F3" w:rsidRPr="00E6763E" w:rsidRDefault="009E41F3" w:rsidP="003D3C5C">
      <w:pPr>
        <w:numPr>
          <w:ilvl w:val="0"/>
          <w:numId w:val="22"/>
        </w:numPr>
        <w:spacing w:before="80"/>
        <w:ind w:left="357" w:hanging="357"/>
        <w:jc w:val="both"/>
        <w:rPr>
          <w:color w:val="000000" w:themeColor="text1"/>
        </w:rPr>
      </w:pPr>
      <w:r w:rsidRPr="00E6763E">
        <w:rPr>
          <w:color w:val="000000"/>
        </w:rPr>
        <w:t>Smluvní strany prohlašují, že se s obsahem smlouvy seznámily, rozumějí mu 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20665B96" w14:textId="77777777" w:rsidR="009D0C77" w:rsidRDefault="009D0C77" w:rsidP="008F6B1D">
      <w:pPr>
        <w:spacing w:before="80"/>
        <w:ind w:left="357"/>
        <w:jc w:val="both"/>
        <w:rPr>
          <w:color w:val="000000" w:themeColor="text1"/>
        </w:rPr>
      </w:pPr>
    </w:p>
    <w:p w14:paraId="11D45C24" w14:textId="77777777" w:rsidR="0065073E" w:rsidRDefault="0065073E" w:rsidP="008F6B1D">
      <w:pPr>
        <w:spacing w:before="80"/>
        <w:ind w:left="357"/>
        <w:jc w:val="both"/>
        <w:rPr>
          <w:color w:val="000000" w:themeColor="text1"/>
        </w:rPr>
      </w:pPr>
    </w:p>
    <w:p w14:paraId="3EEA7C50" w14:textId="77777777" w:rsidR="007E2ACC" w:rsidRDefault="007E2ACC" w:rsidP="008F6B1D">
      <w:pPr>
        <w:spacing w:before="80"/>
        <w:ind w:left="357"/>
        <w:jc w:val="both"/>
        <w:rPr>
          <w:color w:val="000000" w:themeColor="text1"/>
        </w:rPr>
      </w:pPr>
    </w:p>
    <w:p w14:paraId="44AFD078" w14:textId="77777777" w:rsidR="007E2ACC" w:rsidRDefault="007E2ACC" w:rsidP="008F6B1D">
      <w:pPr>
        <w:spacing w:before="80"/>
        <w:ind w:left="357"/>
        <w:jc w:val="both"/>
        <w:rPr>
          <w:color w:val="000000" w:themeColor="text1"/>
        </w:rPr>
      </w:pPr>
    </w:p>
    <w:p w14:paraId="1ADF91F8" w14:textId="77777777" w:rsidR="0065073E" w:rsidRDefault="0065073E" w:rsidP="008F6B1D">
      <w:pPr>
        <w:spacing w:before="80"/>
        <w:ind w:left="357"/>
        <w:jc w:val="both"/>
        <w:rPr>
          <w:color w:val="000000" w:themeColor="text1"/>
        </w:rPr>
      </w:pPr>
    </w:p>
    <w:p w14:paraId="0DEF961D" w14:textId="77777777" w:rsidR="009D0C77" w:rsidRDefault="009D0C77" w:rsidP="009E41F3">
      <w:pPr>
        <w:tabs>
          <w:tab w:val="left" w:pos="0"/>
          <w:tab w:val="left" w:pos="720"/>
          <w:tab w:val="left" w:pos="8400"/>
        </w:tabs>
        <w:jc w:val="both"/>
        <w:rPr>
          <w:color w:val="000000" w:themeColor="text1"/>
        </w:rPr>
      </w:pPr>
    </w:p>
    <w:p w14:paraId="3B5E80CC" w14:textId="09ADE0C4" w:rsidR="009E41F3" w:rsidRPr="009E41F3" w:rsidRDefault="008F6B1D" w:rsidP="009E41F3">
      <w:pPr>
        <w:tabs>
          <w:tab w:val="left" w:pos="0"/>
          <w:tab w:val="left" w:pos="720"/>
          <w:tab w:val="left" w:pos="8400"/>
        </w:tabs>
        <w:jc w:val="both"/>
      </w:pPr>
      <w:r>
        <w:t>V Praze dne ……</w:t>
      </w:r>
      <w:proofErr w:type="gramStart"/>
      <w:r>
        <w:t>…</w:t>
      </w:r>
      <w:r w:rsidR="009E41F3" w:rsidRPr="009E41F3">
        <w:t xml:space="preserve">          </w:t>
      </w:r>
      <w:r w:rsidR="009E41F3">
        <w:t xml:space="preserve">                          </w:t>
      </w:r>
      <w:r>
        <w:t xml:space="preserve">       V Praze</w:t>
      </w:r>
      <w:proofErr w:type="gramEnd"/>
      <w:r>
        <w:t xml:space="preserve"> dne ………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9E41F3" w:rsidRPr="009E41F3" w14:paraId="46F95086" w14:textId="77777777" w:rsidTr="009E41F3">
        <w:trPr>
          <w:trHeight w:val="1589"/>
        </w:trPr>
        <w:tc>
          <w:tcPr>
            <w:tcW w:w="4556" w:type="dxa"/>
          </w:tcPr>
          <w:p w14:paraId="337FD6AB" w14:textId="77777777" w:rsidR="009E41F3" w:rsidRPr="009E41F3" w:rsidRDefault="009E41F3" w:rsidP="00065506">
            <w:pPr>
              <w:pBdr>
                <w:bottom w:val="single" w:sz="12" w:space="1" w:color="auto"/>
              </w:pBdr>
            </w:pPr>
          </w:p>
          <w:p w14:paraId="190145DB" w14:textId="08A0ED75" w:rsidR="00B0612D" w:rsidRPr="009E41F3" w:rsidRDefault="00B0612D" w:rsidP="00B0612D">
            <w:r w:rsidRPr="009E41F3">
              <w:t>Výzkumný ústav meliorací a ochrany půdy, v. v. i.</w:t>
            </w:r>
          </w:p>
          <w:p w14:paraId="60E197E8" w14:textId="77777777" w:rsidR="00B0612D" w:rsidRPr="009E41F3" w:rsidRDefault="00B0612D" w:rsidP="00B0612D">
            <w:pPr>
              <w:tabs>
                <w:tab w:val="left" w:pos="4820"/>
              </w:tabs>
            </w:pPr>
            <w:r w:rsidRPr="009E41F3">
              <w:t>Ing. Jiří Hladík, Ph.D.</w:t>
            </w:r>
          </w:p>
          <w:p w14:paraId="498D85B5" w14:textId="77777777" w:rsidR="00B0612D" w:rsidRPr="009E41F3" w:rsidRDefault="00B0612D" w:rsidP="00B0612D">
            <w:pPr>
              <w:tabs>
                <w:tab w:val="left" w:pos="4820"/>
              </w:tabs>
            </w:pPr>
            <w:r w:rsidRPr="009E41F3">
              <w:t>ředitel ústavu</w:t>
            </w:r>
          </w:p>
          <w:p w14:paraId="3CC79F9E" w14:textId="77777777" w:rsidR="009E41F3" w:rsidRPr="009E41F3" w:rsidRDefault="009E41F3" w:rsidP="00065506"/>
        </w:tc>
        <w:tc>
          <w:tcPr>
            <w:tcW w:w="4563" w:type="dxa"/>
          </w:tcPr>
          <w:p w14:paraId="514336FB" w14:textId="77777777" w:rsidR="009E41F3" w:rsidRPr="009E41F3" w:rsidRDefault="009E41F3" w:rsidP="00065506">
            <w:pPr>
              <w:pBdr>
                <w:bottom w:val="single" w:sz="12" w:space="1" w:color="auto"/>
              </w:pBdr>
            </w:pPr>
          </w:p>
          <w:p w14:paraId="611FB89C" w14:textId="77777777" w:rsidR="009E41F3" w:rsidRPr="00455449" w:rsidRDefault="00455449" w:rsidP="00B0612D">
            <w:pPr>
              <w:tabs>
                <w:tab w:val="left" w:pos="4820"/>
              </w:tabs>
            </w:pPr>
            <w:r w:rsidRPr="00455449">
              <w:t>ZD Krásná Hora, a.s.</w:t>
            </w:r>
          </w:p>
          <w:p w14:paraId="512B6925" w14:textId="77777777" w:rsidR="00455449" w:rsidRPr="00455449" w:rsidRDefault="00455449" w:rsidP="00B0612D">
            <w:pPr>
              <w:tabs>
                <w:tab w:val="left" w:pos="4820"/>
              </w:tabs>
            </w:pPr>
          </w:p>
          <w:p w14:paraId="5D51809D" w14:textId="2FF2FB75" w:rsidR="00455449" w:rsidRPr="00455449" w:rsidRDefault="00455449" w:rsidP="00B0612D">
            <w:pPr>
              <w:tabs>
                <w:tab w:val="left" w:pos="4820"/>
              </w:tabs>
            </w:pPr>
            <w:r w:rsidRPr="00455449">
              <w:t>Ing. Jiří Zelenka</w:t>
            </w:r>
          </w:p>
          <w:p w14:paraId="01CA3FAC" w14:textId="7F2E9E56" w:rsidR="00455449" w:rsidRPr="009E41F3" w:rsidRDefault="00455449" w:rsidP="00455449">
            <w:pPr>
              <w:tabs>
                <w:tab w:val="left" w:pos="4820"/>
              </w:tabs>
              <w:rPr>
                <w:i/>
              </w:rPr>
            </w:pPr>
            <w:r w:rsidRPr="00455449">
              <w:t>předseda představenstva</w:t>
            </w:r>
          </w:p>
        </w:tc>
      </w:tr>
    </w:tbl>
    <w:p w14:paraId="6592F082" w14:textId="77777777" w:rsidR="005938A1" w:rsidRDefault="005938A1">
      <w:pPr>
        <w:jc w:val="both"/>
      </w:pPr>
    </w:p>
    <w:p w14:paraId="5121952D" w14:textId="77777777" w:rsidR="005938A1" w:rsidRPr="005938A1" w:rsidRDefault="005938A1" w:rsidP="005938A1"/>
    <w:p w14:paraId="1064B30C" w14:textId="77777777" w:rsidR="005938A1" w:rsidRDefault="005938A1" w:rsidP="005938A1"/>
    <w:p w14:paraId="023582B8" w14:textId="15E75554" w:rsidR="005938A1" w:rsidRDefault="005938A1"/>
    <w:sectPr w:rsidR="005938A1" w:rsidSect="00E722D6">
      <w:footerReference w:type="default" r:id="rId9"/>
      <w:pgSz w:w="11906" w:h="16838"/>
      <w:pgMar w:top="1077" w:right="1361" w:bottom="107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1BE87" w14:textId="77777777" w:rsidR="00794F3A" w:rsidRDefault="00794F3A" w:rsidP="00B62761">
      <w:r>
        <w:separator/>
      </w:r>
    </w:p>
  </w:endnote>
  <w:endnote w:type="continuationSeparator" w:id="0">
    <w:p w14:paraId="68B41A6A" w14:textId="77777777" w:rsidR="00794F3A" w:rsidRDefault="00794F3A" w:rsidP="00B6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56136"/>
      <w:docPartObj>
        <w:docPartGallery w:val="Page Numbers (Bottom of Page)"/>
        <w:docPartUnique/>
      </w:docPartObj>
    </w:sdtPr>
    <w:sdtEndPr/>
    <w:sdtContent>
      <w:p w14:paraId="68F30FBC" w14:textId="77777777" w:rsidR="00F01208" w:rsidRDefault="00F01208">
        <w:pPr>
          <w:pStyle w:val="Zpat"/>
          <w:jc w:val="center"/>
        </w:pPr>
      </w:p>
      <w:p w14:paraId="7CE54765" w14:textId="4FAF94B5" w:rsidR="00E6763E" w:rsidRDefault="00E67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C7">
          <w:rPr>
            <w:noProof/>
          </w:rPr>
          <w:t>1</w:t>
        </w:r>
        <w:r>
          <w:fldChar w:fldCharType="end"/>
        </w:r>
      </w:p>
    </w:sdtContent>
  </w:sdt>
  <w:p w14:paraId="45551740" w14:textId="77777777" w:rsidR="00E6763E" w:rsidRDefault="00E67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057F6" w14:textId="77777777" w:rsidR="00794F3A" w:rsidRDefault="00794F3A" w:rsidP="00B62761">
      <w:r>
        <w:separator/>
      </w:r>
    </w:p>
  </w:footnote>
  <w:footnote w:type="continuationSeparator" w:id="0">
    <w:p w14:paraId="27DB0A3A" w14:textId="77777777" w:rsidR="00794F3A" w:rsidRDefault="00794F3A" w:rsidP="00B6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04F"/>
    <w:multiLevelType w:val="hybridMultilevel"/>
    <w:tmpl w:val="6B18D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B0E73"/>
    <w:multiLevelType w:val="hybridMultilevel"/>
    <w:tmpl w:val="3D4ACA10"/>
    <w:lvl w:ilvl="0" w:tplc="98B83B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86366E5"/>
    <w:multiLevelType w:val="hybridMultilevel"/>
    <w:tmpl w:val="13C4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95D7C"/>
    <w:multiLevelType w:val="hybridMultilevel"/>
    <w:tmpl w:val="428A3D4E"/>
    <w:lvl w:ilvl="0" w:tplc="7096C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A7139F2"/>
    <w:multiLevelType w:val="hybridMultilevel"/>
    <w:tmpl w:val="1D522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E2E29"/>
    <w:multiLevelType w:val="hybridMultilevel"/>
    <w:tmpl w:val="33C69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95794"/>
    <w:multiLevelType w:val="hybridMultilevel"/>
    <w:tmpl w:val="47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E7989"/>
    <w:multiLevelType w:val="hybridMultilevel"/>
    <w:tmpl w:val="8F5C2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11CD6"/>
    <w:multiLevelType w:val="singleLevel"/>
    <w:tmpl w:val="A3D6DA6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16E03DCC"/>
    <w:multiLevelType w:val="hybridMultilevel"/>
    <w:tmpl w:val="66EAA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048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05D06"/>
    <w:multiLevelType w:val="hybridMultilevel"/>
    <w:tmpl w:val="5932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16897"/>
    <w:multiLevelType w:val="hybridMultilevel"/>
    <w:tmpl w:val="8CB4468A"/>
    <w:lvl w:ilvl="0" w:tplc="50A8A6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F08F8"/>
    <w:multiLevelType w:val="hybridMultilevel"/>
    <w:tmpl w:val="1578E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6AB8"/>
    <w:multiLevelType w:val="hybridMultilevel"/>
    <w:tmpl w:val="D826E462"/>
    <w:lvl w:ilvl="0" w:tplc="82187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7CDA"/>
    <w:multiLevelType w:val="hybridMultilevel"/>
    <w:tmpl w:val="08C0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360D5"/>
    <w:multiLevelType w:val="hybridMultilevel"/>
    <w:tmpl w:val="E0E40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33284"/>
    <w:multiLevelType w:val="hybridMultilevel"/>
    <w:tmpl w:val="E700A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67EC9"/>
    <w:multiLevelType w:val="hybridMultilevel"/>
    <w:tmpl w:val="6A4C6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2E4C"/>
    <w:multiLevelType w:val="hybridMultilevel"/>
    <w:tmpl w:val="BB7C2C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32F2F"/>
    <w:multiLevelType w:val="hybridMultilevel"/>
    <w:tmpl w:val="9DE29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2B02"/>
    <w:multiLevelType w:val="hybridMultilevel"/>
    <w:tmpl w:val="5BA4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6C6"/>
    <w:multiLevelType w:val="hybridMultilevel"/>
    <w:tmpl w:val="C90E9BBC"/>
    <w:lvl w:ilvl="0" w:tplc="ABA2E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4425E"/>
    <w:multiLevelType w:val="hybridMultilevel"/>
    <w:tmpl w:val="8A5C62D6"/>
    <w:lvl w:ilvl="0" w:tplc="0405000F">
      <w:start w:val="1"/>
      <w:numFmt w:val="decimal"/>
      <w:lvlText w:val="%1."/>
      <w:lvlJc w:val="left"/>
      <w:pPr>
        <w:ind w:left="23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F03331"/>
    <w:multiLevelType w:val="hybridMultilevel"/>
    <w:tmpl w:val="0AFCC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6C2C3A"/>
    <w:multiLevelType w:val="hybridMultilevel"/>
    <w:tmpl w:val="ACFCE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EB2F48"/>
    <w:multiLevelType w:val="multilevel"/>
    <w:tmpl w:val="0EB8FF20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hAnsi="Arial" w:cs="Times New Roman"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851" w:hanging="284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FC72596"/>
    <w:multiLevelType w:val="hybridMultilevel"/>
    <w:tmpl w:val="68E21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15A5A"/>
    <w:multiLevelType w:val="hybridMultilevel"/>
    <w:tmpl w:val="32D69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C6B22"/>
    <w:multiLevelType w:val="hybridMultilevel"/>
    <w:tmpl w:val="5AB2DF4C"/>
    <w:lvl w:ilvl="0" w:tplc="0854E0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B5451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66597"/>
    <w:multiLevelType w:val="hybridMultilevel"/>
    <w:tmpl w:val="2FA89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B6AFB"/>
    <w:multiLevelType w:val="hybridMultilevel"/>
    <w:tmpl w:val="F31879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09492C"/>
    <w:multiLevelType w:val="hybridMultilevel"/>
    <w:tmpl w:val="C2B07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A1099"/>
    <w:multiLevelType w:val="hybridMultilevel"/>
    <w:tmpl w:val="F5B4B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0030C"/>
    <w:multiLevelType w:val="hybridMultilevel"/>
    <w:tmpl w:val="22FEE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9">
    <w:nsid w:val="70D27DAC"/>
    <w:multiLevelType w:val="hybridMultilevel"/>
    <w:tmpl w:val="FE5EEFF6"/>
    <w:lvl w:ilvl="0" w:tplc="006817B6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0">
    <w:nsid w:val="71616851"/>
    <w:multiLevelType w:val="hybridMultilevel"/>
    <w:tmpl w:val="5D5028F8"/>
    <w:lvl w:ilvl="0" w:tplc="82187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42662"/>
    <w:multiLevelType w:val="hybridMultilevel"/>
    <w:tmpl w:val="F08CD6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17E71"/>
    <w:multiLevelType w:val="hybridMultilevel"/>
    <w:tmpl w:val="072A38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EA491B"/>
    <w:multiLevelType w:val="hybridMultilevel"/>
    <w:tmpl w:val="A37C39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8"/>
  </w:num>
  <w:num w:numId="5">
    <w:abstractNumId w:val="37"/>
  </w:num>
  <w:num w:numId="6">
    <w:abstractNumId w:val="34"/>
  </w:num>
  <w:num w:numId="7">
    <w:abstractNumId w:val="2"/>
  </w:num>
  <w:num w:numId="8">
    <w:abstractNumId w:val="13"/>
  </w:num>
  <w:num w:numId="9">
    <w:abstractNumId w:val="31"/>
  </w:num>
  <w:num w:numId="10">
    <w:abstractNumId w:val="0"/>
  </w:num>
  <w:num w:numId="11">
    <w:abstractNumId w:val="4"/>
  </w:num>
  <w:num w:numId="12">
    <w:abstractNumId w:val="28"/>
  </w:num>
  <w:num w:numId="13">
    <w:abstractNumId w:val="21"/>
  </w:num>
  <w:num w:numId="14">
    <w:abstractNumId w:val="7"/>
  </w:num>
  <w:num w:numId="15">
    <w:abstractNumId w:val="22"/>
  </w:num>
  <w:num w:numId="16">
    <w:abstractNumId w:val="30"/>
  </w:num>
  <w:num w:numId="17">
    <w:abstractNumId w:val="23"/>
  </w:num>
  <w:num w:numId="18">
    <w:abstractNumId w:val="42"/>
  </w:num>
  <w:num w:numId="19">
    <w:abstractNumId w:val="18"/>
  </w:num>
  <w:num w:numId="20">
    <w:abstractNumId w:val="26"/>
  </w:num>
  <w:num w:numId="21">
    <w:abstractNumId w:val="14"/>
  </w:num>
  <w:num w:numId="22">
    <w:abstractNumId w:val="10"/>
  </w:num>
  <w:num w:numId="23">
    <w:abstractNumId w:val="19"/>
  </w:num>
  <w:num w:numId="24">
    <w:abstractNumId w:val="25"/>
  </w:num>
  <w:num w:numId="25">
    <w:abstractNumId w:val="43"/>
  </w:num>
  <w:num w:numId="26">
    <w:abstractNumId w:val="39"/>
  </w:num>
  <w:num w:numId="27">
    <w:abstractNumId w:val="6"/>
  </w:num>
  <w:num w:numId="28">
    <w:abstractNumId w:val="3"/>
  </w:num>
  <w:num w:numId="29">
    <w:abstractNumId w:val="15"/>
  </w:num>
  <w:num w:numId="30">
    <w:abstractNumId w:val="16"/>
  </w:num>
  <w:num w:numId="31">
    <w:abstractNumId w:val="40"/>
  </w:num>
  <w:num w:numId="32">
    <w:abstractNumId w:val="41"/>
  </w:num>
  <w:num w:numId="33">
    <w:abstractNumId w:val="24"/>
  </w:num>
  <w:num w:numId="34">
    <w:abstractNumId w:val="38"/>
  </w:num>
  <w:num w:numId="35">
    <w:abstractNumId w:val="17"/>
  </w:num>
  <w:num w:numId="36">
    <w:abstractNumId w:val="1"/>
  </w:num>
  <w:num w:numId="37">
    <w:abstractNumId w:val="5"/>
  </w:num>
  <w:num w:numId="38">
    <w:abstractNumId w:val="9"/>
  </w:num>
  <w:num w:numId="39">
    <w:abstractNumId w:val="36"/>
  </w:num>
  <w:num w:numId="40">
    <w:abstractNumId w:val="20"/>
  </w:num>
  <w:num w:numId="41">
    <w:abstractNumId w:val="35"/>
  </w:num>
  <w:num w:numId="42">
    <w:abstractNumId w:val="32"/>
  </w:num>
  <w:num w:numId="43">
    <w:abstractNumId w:val="33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8"/>
    <w:rsid w:val="00010B3D"/>
    <w:rsid w:val="000228CB"/>
    <w:rsid w:val="0002399B"/>
    <w:rsid w:val="00023A29"/>
    <w:rsid w:val="00025F0B"/>
    <w:rsid w:val="000324E6"/>
    <w:rsid w:val="000366A5"/>
    <w:rsid w:val="00041A08"/>
    <w:rsid w:val="000458D5"/>
    <w:rsid w:val="00050467"/>
    <w:rsid w:val="0005086B"/>
    <w:rsid w:val="00053018"/>
    <w:rsid w:val="000576D0"/>
    <w:rsid w:val="00065506"/>
    <w:rsid w:val="000714DF"/>
    <w:rsid w:val="00081890"/>
    <w:rsid w:val="000870BB"/>
    <w:rsid w:val="000918D0"/>
    <w:rsid w:val="000940A6"/>
    <w:rsid w:val="00094F72"/>
    <w:rsid w:val="000B36EF"/>
    <w:rsid w:val="000B50A9"/>
    <w:rsid w:val="000C701A"/>
    <w:rsid w:val="000F4B8A"/>
    <w:rsid w:val="001028DE"/>
    <w:rsid w:val="001172EB"/>
    <w:rsid w:val="00125948"/>
    <w:rsid w:val="00152C17"/>
    <w:rsid w:val="00156088"/>
    <w:rsid w:val="00157C5E"/>
    <w:rsid w:val="00160759"/>
    <w:rsid w:val="001743A9"/>
    <w:rsid w:val="00183BB2"/>
    <w:rsid w:val="00187BBD"/>
    <w:rsid w:val="001925A4"/>
    <w:rsid w:val="00192DCC"/>
    <w:rsid w:val="00193F89"/>
    <w:rsid w:val="00195300"/>
    <w:rsid w:val="001A4615"/>
    <w:rsid w:val="001A4719"/>
    <w:rsid w:val="001A694D"/>
    <w:rsid w:val="001B3AA7"/>
    <w:rsid w:val="001C44D5"/>
    <w:rsid w:val="001C5C99"/>
    <w:rsid w:val="001D5319"/>
    <w:rsid w:val="001F056C"/>
    <w:rsid w:val="001F3023"/>
    <w:rsid w:val="001F330D"/>
    <w:rsid w:val="002134CE"/>
    <w:rsid w:val="002164A3"/>
    <w:rsid w:val="002200EE"/>
    <w:rsid w:val="00220621"/>
    <w:rsid w:val="00221829"/>
    <w:rsid w:val="00222B62"/>
    <w:rsid w:val="002323DC"/>
    <w:rsid w:val="002362C2"/>
    <w:rsid w:val="00245FEB"/>
    <w:rsid w:val="00264CD6"/>
    <w:rsid w:val="00270755"/>
    <w:rsid w:val="002709AD"/>
    <w:rsid w:val="0028054F"/>
    <w:rsid w:val="00282954"/>
    <w:rsid w:val="00290BE9"/>
    <w:rsid w:val="002935F0"/>
    <w:rsid w:val="0029541A"/>
    <w:rsid w:val="002A2D70"/>
    <w:rsid w:val="002B6787"/>
    <w:rsid w:val="002B78DE"/>
    <w:rsid w:val="002C4EC9"/>
    <w:rsid w:val="002C59AD"/>
    <w:rsid w:val="002D0E78"/>
    <w:rsid w:val="002D2E58"/>
    <w:rsid w:val="002D4148"/>
    <w:rsid w:val="00306586"/>
    <w:rsid w:val="003120EE"/>
    <w:rsid w:val="0031224C"/>
    <w:rsid w:val="00314701"/>
    <w:rsid w:val="00322458"/>
    <w:rsid w:val="003510EE"/>
    <w:rsid w:val="003639FB"/>
    <w:rsid w:val="00374963"/>
    <w:rsid w:val="0038582D"/>
    <w:rsid w:val="003A26FE"/>
    <w:rsid w:val="003A6987"/>
    <w:rsid w:val="003B04A4"/>
    <w:rsid w:val="003B37F7"/>
    <w:rsid w:val="003B4340"/>
    <w:rsid w:val="003C09DD"/>
    <w:rsid w:val="003D698D"/>
    <w:rsid w:val="003F6A4D"/>
    <w:rsid w:val="00400BE0"/>
    <w:rsid w:val="00406C01"/>
    <w:rsid w:val="00415513"/>
    <w:rsid w:val="00415DAD"/>
    <w:rsid w:val="0042605A"/>
    <w:rsid w:val="004319AF"/>
    <w:rsid w:val="0044175F"/>
    <w:rsid w:val="00444ABE"/>
    <w:rsid w:val="00455449"/>
    <w:rsid w:val="004558EE"/>
    <w:rsid w:val="004647FF"/>
    <w:rsid w:val="004715FE"/>
    <w:rsid w:val="00480423"/>
    <w:rsid w:val="00491CE8"/>
    <w:rsid w:val="00492013"/>
    <w:rsid w:val="004942E2"/>
    <w:rsid w:val="004A07F7"/>
    <w:rsid w:val="004A100D"/>
    <w:rsid w:val="004A6338"/>
    <w:rsid w:val="004B18CD"/>
    <w:rsid w:val="004C157A"/>
    <w:rsid w:val="004D57D0"/>
    <w:rsid w:val="004E5A71"/>
    <w:rsid w:val="005018A9"/>
    <w:rsid w:val="005019E7"/>
    <w:rsid w:val="00505187"/>
    <w:rsid w:val="005062C1"/>
    <w:rsid w:val="005324E6"/>
    <w:rsid w:val="00537E9A"/>
    <w:rsid w:val="00545CD0"/>
    <w:rsid w:val="005568C0"/>
    <w:rsid w:val="00566178"/>
    <w:rsid w:val="00566284"/>
    <w:rsid w:val="005669AA"/>
    <w:rsid w:val="00570E15"/>
    <w:rsid w:val="00585A74"/>
    <w:rsid w:val="005938A1"/>
    <w:rsid w:val="005952A9"/>
    <w:rsid w:val="005971FC"/>
    <w:rsid w:val="005A3E0B"/>
    <w:rsid w:val="005A461A"/>
    <w:rsid w:val="005B75E7"/>
    <w:rsid w:val="005C5F25"/>
    <w:rsid w:val="005C7B45"/>
    <w:rsid w:val="005D4630"/>
    <w:rsid w:val="005D7B02"/>
    <w:rsid w:val="005E2F8A"/>
    <w:rsid w:val="005F2A35"/>
    <w:rsid w:val="005F511D"/>
    <w:rsid w:val="006051C2"/>
    <w:rsid w:val="006217C1"/>
    <w:rsid w:val="00626654"/>
    <w:rsid w:val="00640C26"/>
    <w:rsid w:val="00643CB3"/>
    <w:rsid w:val="0065073E"/>
    <w:rsid w:val="0065146B"/>
    <w:rsid w:val="00653996"/>
    <w:rsid w:val="006607EE"/>
    <w:rsid w:val="00660F44"/>
    <w:rsid w:val="006620E0"/>
    <w:rsid w:val="00670F34"/>
    <w:rsid w:val="006824B4"/>
    <w:rsid w:val="006847A7"/>
    <w:rsid w:val="00695875"/>
    <w:rsid w:val="006E193E"/>
    <w:rsid w:val="006F051C"/>
    <w:rsid w:val="006F204B"/>
    <w:rsid w:val="006F43D5"/>
    <w:rsid w:val="006F725C"/>
    <w:rsid w:val="00703E6C"/>
    <w:rsid w:val="00716FED"/>
    <w:rsid w:val="007207A2"/>
    <w:rsid w:val="0073028E"/>
    <w:rsid w:val="00735E37"/>
    <w:rsid w:val="00754085"/>
    <w:rsid w:val="007546AD"/>
    <w:rsid w:val="007552AE"/>
    <w:rsid w:val="007602AD"/>
    <w:rsid w:val="00767016"/>
    <w:rsid w:val="00771D88"/>
    <w:rsid w:val="00777043"/>
    <w:rsid w:val="00781247"/>
    <w:rsid w:val="00786196"/>
    <w:rsid w:val="00790768"/>
    <w:rsid w:val="00791C65"/>
    <w:rsid w:val="00794F3A"/>
    <w:rsid w:val="00795EE8"/>
    <w:rsid w:val="007A02B5"/>
    <w:rsid w:val="007E2ACC"/>
    <w:rsid w:val="007E5863"/>
    <w:rsid w:val="007E73CC"/>
    <w:rsid w:val="00806084"/>
    <w:rsid w:val="008115E9"/>
    <w:rsid w:val="008175DB"/>
    <w:rsid w:val="00824994"/>
    <w:rsid w:val="00827CE7"/>
    <w:rsid w:val="008332AD"/>
    <w:rsid w:val="0084472A"/>
    <w:rsid w:val="00844CD0"/>
    <w:rsid w:val="00847A87"/>
    <w:rsid w:val="008668B4"/>
    <w:rsid w:val="00872608"/>
    <w:rsid w:val="00872EBF"/>
    <w:rsid w:val="00875589"/>
    <w:rsid w:val="00883E5C"/>
    <w:rsid w:val="00885C2B"/>
    <w:rsid w:val="008860DF"/>
    <w:rsid w:val="008A47B6"/>
    <w:rsid w:val="008A4DBE"/>
    <w:rsid w:val="008A5C9E"/>
    <w:rsid w:val="008A6BB8"/>
    <w:rsid w:val="008A74D0"/>
    <w:rsid w:val="008C04CC"/>
    <w:rsid w:val="008D6AAE"/>
    <w:rsid w:val="008F6B1D"/>
    <w:rsid w:val="008F7FA4"/>
    <w:rsid w:val="009067BC"/>
    <w:rsid w:val="00917DC9"/>
    <w:rsid w:val="00925DA5"/>
    <w:rsid w:val="00933BDA"/>
    <w:rsid w:val="00946499"/>
    <w:rsid w:val="00951053"/>
    <w:rsid w:val="0095511A"/>
    <w:rsid w:val="0097339C"/>
    <w:rsid w:val="00976541"/>
    <w:rsid w:val="0097697C"/>
    <w:rsid w:val="00981170"/>
    <w:rsid w:val="0099105E"/>
    <w:rsid w:val="009926AF"/>
    <w:rsid w:val="00996BDA"/>
    <w:rsid w:val="009A6A39"/>
    <w:rsid w:val="009B485E"/>
    <w:rsid w:val="009C0A77"/>
    <w:rsid w:val="009D0C77"/>
    <w:rsid w:val="009D6C4D"/>
    <w:rsid w:val="009E3C08"/>
    <w:rsid w:val="009E41F3"/>
    <w:rsid w:val="009E642B"/>
    <w:rsid w:val="009F13C5"/>
    <w:rsid w:val="009F4C63"/>
    <w:rsid w:val="009F6FC3"/>
    <w:rsid w:val="00A00099"/>
    <w:rsid w:val="00A10DDA"/>
    <w:rsid w:val="00A14860"/>
    <w:rsid w:val="00A21819"/>
    <w:rsid w:val="00A5056F"/>
    <w:rsid w:val="00A5233A"/>
    <w:rsid w:val="00A56524"/>
    <w:rsid w:val="00A57FD2"/>
    <w:rsid w:val="00A62166"/>
    <w:rsid w:val="00A65DE0"/>
    <w:rsid w:val="00A66E4C"/>
    <w:rsid w:val="00A6726C"/>
    <w:rsid w:val="00A86E9F"/>
    <w:rsid w:val="00A93E65"/>
    <w:rsid w:val="00AB037F"/>
    <w:rsid w:val="00AB1CBD"/>
    <w:rsid w:val="00AB62D1"/>
    <w:rsid w:val="00AC78E2"/>
    <w:rsid w:val="00AD0296"/>
    <w:rsid w:val="00AE0EC0"/>
    <w:rsid w:val="00AE6003"/>
    <w:rsid w:val="00AE78C2"/>
    <w:rsid w:val="00AF2BFF"/>
    <w:rsid w:val="00B0612D"/>
    <w:rsid w:val="00B11BBC"/>
    <w:rsid w:val="00B17273"/>
    <w:rsid w:val="00B225C9"/>
    <w:rsid w:val="00B22759"/>
    <w:rsid w:val="00B23558"/>
    <w:rsid w:val="00B32862"/>
    <w:rsid w:val="00B35E06"/>
    <w:rsid w:val="00B60CD6"/>
    <w:rsid w:val="00B62761"/>
    <w:rsid w:val="00B6783A"/>
    <w:rsid w:val="00B731D6"/>
    <w:rsid w:val="00B8613D"/>
    <w:rsid w:val="00B86945"/>
    <w:rsid w:val="00B92E61"/>
    <w:rsid w:val="00B95613"/>
    <w:rsid w:val="00BA0DB0"/>
    <w:rsid w:val="00BA1EE4"/>
    <w:rsid w:val="00BB2731"/>
    <w:rsid w:val="00BB6DC7"/>
    <w:rsid w:val="00BC6B27"/>
    <w:rsid w:val="00BD66D5"/>
    <w:rsid w:val="00BE03C9"/>
    <w:rsid w:val="00BE299B"/>
    <w:rsid w:val="00BE69D0"/>
    <w:rsid w:val="00BF0A5F"/>
    <w:rsid w:val="00C029EE"/>
    <w:rsid w:val="00C03520"/>
    <w:rsid w:val="00C03DEB"/>
    <w:rsid w:val="00C07C98"/>
    <w:rsid w:val="00C242CF"/>
    <w:rsid w:val="00C34014"/>
    <w:rsid w:val="00C35F5A"/>
    <w:rsid w:val="00C36843"/>
    <w:rsid w:val="00C5228C"/>
    <w:rsid w:val="00C544BB"/>
    <w:rsid w:val="00C9396B"/>
    <w:rsid w:val="00C94254"/>
    <w:rsid w:val="00C96850"/>
    <w:rsid w:val="00CB06AB"/>
    <w:rsid w:val="00CB092D"/>
    <w:rsid w:val="00CC151F"/>
    <w:rsid w:val="00CC2505"/>
    <w:rsid w:val="00CC64CC"/>
    <w:rsid w:val="00CE0A63"/>
    <w:rsid w:val="00CE3062"/>
    <w:rsid w:val="00CF0EDA"/>
    <w:rsid w:val="00D01190"/>
    <w:rsid w:val="00D01BEA"/>
    <w:rsid w:val="00D05025"/>
    <w:rsid w:val="00D12142"/>
    <w:rsid w:val="00D12984"/>
    <w:rsid w:val="00D13A81"/>
    <w:rsid w:val="00D322BB"/>
    <w:rsid w:val="00D3293F"/>
    <w:rsid w:val="00D44379"/>
    <w:rsid w:val="00D44F38"/>
    <w:rsid w:val="00D63AEE"/>
    <w:rsid w:val="00D67FAE"/>
    <w:rsid w:val="00D74F2D"/>
    <w:rsid w:val="00D76DC4"/>
    <w:rsid w:val="00D80739"/>
    <w:rsid w:val="00D80C1F"/>
    <w:rsid w:val="00D90617"/>
    <w:rsid w:val="00D95278"/>
    <w:rsid w:val="00D9565D"/>
    <w:rsid w:val="00DA1124"/>
    <w:rsid w:val="00DA16EA"/>
    <w:rsid w:val="00DC170B"/>
    <w:rsid w:val="00DD049E"/>
    <w:rsid w:val="00DD2FC5"/>
    <w:rsid w:val="00DD721A"/>
    <w:rsid w:val="00E134B2"/>
    <w:rsid w:val="00E14DB2"/>
    <w:rsid w:val="00E41AB8"/>
    <w:rsid w:val="00E46102"/>
    <w:rsid w:val="00E529DB"/>
    <w:rsid w:val="00E66F18"/>
    <w:rsid w:val="00E6763E"/>
    <w:rsid w:val="00E70A00"/>
    <w:rsid w:val="00E722D6"/>
    <w:rsid w:val="00E85B8E"/>
    <w:rsid w:val="00E860C6"/>
    <w:rsid w:val="00E918D4"/>
    <w:rsid w:val="00E9346C"/>
    <w:rsid w:val="00EA4F7E"/>
    <w:rsid w:val="00EA6BDD"/>
    <w:rsid w:val="00EB2BBF"/>
    <w:rsid w:val="00ED0028"/>
    <w:rsid w:val="00ED6399"/>
    <w:rsid w:val="00EE21DE"/>
    <w:rsid w:val="00EF4073"/>
    <w:rsid w:val="00F01208"/>
    <w:rsid w:val="00F034BF"/>
    <w:rsid w:val="00F15556"/>
    <w:rsid w:val="00F20DFF"/>
    <w:rsid w:val="00F221D5"/>
    <w:rsid w:val="00F3665B"/>
    <w:rsid w:val="00F41A33"/>
    <w:rsid w:val="00F4391D"/>
    <w:rsid w:val="00F452C9"/>
    <w:rsid w:val="00F45F61"/>
    <w:rsid w:val="00F632CB"/>
    <w:rsid w:val="00F718F5"/>
    <w:rsid w:val="00F73EC9"/>
    <w:rsid w:val="00F820BB"/>
    <w:rsid w:val="00FB3496"/>
    <w:rsid w:val="00FB4AA0"/>
    <w:rsid w:val="00FB5F88"/>
    <w:rsid w:val="00FC1693"/>
    <w:rsid w:val="00FC5BD1"/>
    <w:rsid w:val="00FD2862"/>
    <w:rsid w:val="00FD34C7"/>
    <w:rsid w:val="00FD7984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80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63"/>
    <w:rPr>
      <w:sz w:val="24"/>
      <w:szCs w:val="24"/>
    </w:rPr>
  </w:style>
  <w:style w:type="paragraph" w:styleId="Nadpis1">
    <w:name w:val="heading 1"/>
    <w:basedOn w:val="Normln"/>
    <w:next w:val="Normln"/>
    <w:qFormat/>
    <w:rsid w:val="007E5863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7E5863"/>
    <w:pPr>
      <w:keepNext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1C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E5863"/>
    <w:pPr>
      <w:keepNext/>
      <w:outlineLvl w:val="3"/>
    </w:pPr>
    <w:rPr>
      <w:sz w:val="28"/>
      <w:szCs w:val="20"/>
    </w:rPr>
  </w:style>
  <w:style w:type="paragraph" w:styleId="Nadpis6">
    <w:name w:val="heading 6"/>
    <w:basedOn w:val="Normln"/>
    <w:next w:val="Normln"/>
    <w:qFormat/>
    <w:rsid w:val="007E5863"/>
    <w:pPr>
      <w:keepNext/>
      <w:jc w:val="center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E5863"/>
    <w:pPr>
      <w:jc w:val="both"/>
    </w:pPr>
    <w:rPr>
      <w:sz w:val="32"/>
      <w:szCs w:val="20"/>
    </w:rPr>
  </w:style>
  <w:style w:type="paragraph" w:styleId="Zkladntext3">
    <w:name w:val="Body Text 3"/>
    <w:basedOn w:val="Normln"/>
    <w:rsid w:val="007E5863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B62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27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627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7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3F89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9"/>
    <w:semiHidden/>
    <w:rsid w:val="00491C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771D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771D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59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938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93E6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3E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3E6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3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3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63"/>
    <w:rPr>
      <w:sz w:val="24"/>
      <w:szCs w:val="24"/>
    </w:rPr>
  </w:style>
  <w:style w:type="paragraph" w:styleId="Nadpis1">
    <w:name w:val="heading 1"/>
    <w:basedOn w:val="Normln"/>
    <w:next w:val="Normln"/>
    <w:qFormat/>
    <w:rsid w:val="007E5863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7E5863"/>
    <w:pPr>
      <w:keepNext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1C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E5863"/>
    <w:pPr>
      <w:keepNext/>
      <w:outlineLvl w:val="3"/>
    </w:pPr>
    <w:rPr>
      <w:sz w:val="28"/>
      <w:szCs w:val="20"/>
    </w:rPr>
  </w:style>
  <w:style w:type="paragraph" w:styleId="Nadpis6">
    <w:name w:val="heading 6"/>
    <w:basedOn w:val="Normln"/>
    <w:next w:val="Normln"/>
    <w:qFormat/>
    <w:rsid w:val="007E5863"/>
    <w:pPr>
      <w:keepNext/>
      <w:jc w:val="center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E5863"/>
    <w:pPr>
      <w:jc w:val="both"/>
    </w:pPr>
    <w:rPr>
      <w:sz w:val="32"/>
      <w:szCs w:val="20"/>
    </w:rPr>
  </w:style>
  <w:style w:type="paragraph" w:styleId="Zkladntext3">
    <w:name w:val="Body Text 3"/>
    <w:basedOn w:val="Normln"/>
    <w:rsid w:val="007E5863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B62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27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627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7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3F89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9"/>
    <w:semiHidden/>
    <w:rsid w:val="00491C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771D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771D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59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938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93E6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3E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3E6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3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CA72-073F-454D-A17C-6D854889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VUZT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petrjevic</dc:creator>
  <cp:lastModifiedBy>Zámečníková Hana</cp:lastModifiedBy>
  <cp:revision>3</cp:revision>
  <cp:lastPrinted>2016-06-27T14:24:00Z</cp:lastPrinted>
  <dcterms:created xsi:type="dcterms:W3CDTF">2016-12-06T10:29:00Z</dcterms:created>
  <dcterms:modified xsi:type="dcterms:W3CDTF">2016-12-06T11:04:00Z</dcterms:modified>
</cp:coreProperties>
</file>